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52201E">
      <w:pPr>
        <w:rPr>
          <w:rFonts w:ascii="仿宋_GB2312" w:hAnsi="仿宋_GB2312" w:eastAsia="仿宋_GB2312" w:cs="仿宋_GB2312"/>
          <w:color w:val="auto"/>
          <w:sz w:val="36"/>
          <w:szCs w:val="36"/>
        </w:rPr>
      </w:pPr>
    </w:p>
    <w:p w14:paraId="647BE0C8">
      <w:pPr>
        <w:rPr>
          <w:rFonts w:ascii="仿宋_GB2312" w:hAnsi="仿宋_GB2312" w:eastAsia="仿宋_GB2312" w:cs="仿宋_GB2312"/>
          <w:color w:val="auto"/>
          <w:sz w:val="36"/>
          <w:szCs w:val="36"/>
        </w:rPr>
      </w:pPr>
    </w:p>
    <w:p w14:paraId="0C99FF1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outlineLvl w:val="0"/>
        <w:rPr>
          <w:rFonts w:hint="eastAsia" w:ascii="方正小标宋_GBK" w:eastAsia="方正小标宋_GBK"/>
          <w:bCs/>
          <w:color w:val="auto"/>
          <w:sz w:val="72"/>
          <w:szCs w:val="72"/>
        </w:rPr>
      </w:pPr>
      <w:bookmarkStart w:id="0" w:name="_Toc12660"/>
      <w:bookmarkStart w:id="1" w:name="_Toc23783"/>
      <w:bookmarkStart w:id="2" w:name="_Toc6897"/>
      <w:bookmarkStart w:id="3" w:name="_Toc9996"/>
      <w:bookmarkStart w:id="4" w:name="_Toc2551"/>
      <w:r>
        <w:rPr>
          <w:rFonts w:hint="eastAsia" w:ascii="方正小标宋_GBK" w:eastAsia="方正小标宋_GBK"/>
          <w:bCs/>
          <w:color w:val="auto"/>
          <w:sz w:val="72"/>
          <w:szCs w:val="72"/>
        </w:rPr>
        <w:t>建设项目环境影响报告表</w:t>
      </w:r>
      <w:bookmarkEnd w:id="0"/>
      <w:bookmarkEnd w:id="1"/>
      <w:bookmarkEnd w:id="2"/>
      <w:bookmarkEnd w:id="3"/>
      <w:bookmarkEnd w:id="4"/>
    </w:p>
    <w:p w14:paraId="4276578D">
      <w:pPr>
        <w:keepNext w:val="0"/>
        <w:keepLines w:val="0"/>
        <w:pageBreakBefore w:val="0"/>
        <w:widowControl w:val="0"/>
        <w:kinsoku/>
        <w:wordWrap/>
        <w:overflowPunct/>
        <w:topLinePunct w:val="0"/>
        <w:autoSpaceDE/>
        <w:autoSpaceDN/>
        <w:bidi w:val="0"/>
        <w:adjustRightInd w:val="0"/>
        <w:snapToGrid w:val="0"/>
        <w:spacing w:before="192" w:beforeLines="80"/>
        <w:ind w:firstLine="0" w:firstLineChars="0"/>
        <w:jc w:val="center"/>
        <w:textAlignment w:val="auto"/>
        <w:rPr>
          <w:rFonts w:hint="eastAsia" w:ascii="楷体_GB2312" w:eastAsia="楷体_GB2312"/>
          <w:bCs/>
          <w:color w:val="auto"/>
          <w:sz w:val="48"/>
          <w:szCs w:val="48"/>
        </w:rPr>
      </w:pPr>
      <w:r>
        <w:rPr>
          <w:rFonts w:hint="eastAsia" w:ascii="楷体_GB2312" w:eastAsia="楷体_GB2312"/>
          <w:bCs/>
          <w:color w:val="auto"/>
          <w:sz w:val="48"/>
          <w:szCs w:val="48"/>
        </w:rPr>
        <w:t>（污染影响类）</w:t>
      </w:r>
    </w:p>
    <w:p w14:paraId="0EC1D70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eastAsia="仿宋"/>
          <w:color w:val="auto"/>
          <w:sz w:val="44"/>
          <w:szCs w:val="44"/>
        </w:rPr>
      </w:pPr>
    </w:p>
    <w:p w14:paraId="0BD9CE92">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eastAsia="仿宋"/>
          <w:color w:val="auto"/>
          <w:sz w:val="44"/>
          <w:szCs w:val="44"/>
        </w:rPr>
      </w:pPr>
    </w:p>
    <w:p w14:paraId="2266B7C5">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eastAsia="仿宋"/>
          <w:color w:val="auto"/>
          <w:sz w:val="44"/>
          <w:szCs w:val="44"/>
        </w:rPr>
      </w:pPr>
    </w:p>
    <w:tbl>
      <w:tblPr>
        <w:tblStyle w:val="13"/>
        <w:tblW w:w="890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658"/>
        <w:gridCol w:w="1108"/>
        <w:gridCol w:w="6140"/>
      </w:tblGrid>
      <w:tr w14:paraId="02FAA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658" w:type="dxa"/>
            <w:vMerge w:val="restart"/>
            <w:tcBorders>
              <w:bottom w:val="single" w:color="auto" w:sz="4" w:space="0"/>
            </w:tcBorders>
            <w:noWrap w:val="0"/>
            <w:vAlign w:val="top"/>
          </w:tcPr>
          <w:p w14:paraId="5D993B72">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hint="eastAsia" w:ascii="仿宋_GB2312" w:eastAsia="仿宋_GB2312"/>
                <w:color w:val="auto"/>
                <w:sz w:val="36"/>
                <w:szCs w:val="36"/>
                <w:u w:val="single"/>
              </w:rPr>
            </w:pPr>
            <w:r>
              <w:rPr>
                <w:rFonts w:hint="eastAsia" w:ascii="仿宋_GB2312" w:eastAsia="仿宋_GB2312"/>
                <w:color w:val="auto"/>
                <w:sz w:val="36"/>
                <w:szCs w:val="36"/>
              </w:rPr>
              <w:t>项目名称：</w:t>
            </w:r>
          </w:p>
        </w:tc>
        <w:tc>
          <w:tcPr>
            <w:tcW w:w="7248" w:type="dxa"/>
            <w:gridSpan w:val="2"/>
            <w:tcBorders>
              <w:bottom w:val="single" w:color="auto" w:sz="4" w:space="0"/>
            </w:tcBorders>
            <w:noWrap w:val="0"/>
            <w:vAlign w:val="top"/>
          </w:tcPr>
          <w:p w14:paraId="6BB7A440">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distribute"/>
              <w:textAlignment w:val="auto"/>
              <w:rPr>
                <w:rFonts w:hint="eastAsia" w:ascii="仿宋_GB2312" w:eastAsia="仿宋_GB2312"/>
                <w:color w:val="auto"/>
                <w:sz w:val="36"/>
                <w:szCs w:val="36"/>
                <w:lang w:val="en-US" w:eastAsia="zh-CN"/>
              </w:rPr>
            </w:pPr>
            <w:r>
              <w:rPr>
                <w:rFonts w:hint="eastAsia" w:ascii="仿宋_GB2312" w:eastAsia="仿宋_GB2312"/>
                <w:color w:val="auto"/>
                <w:sz w:val="36"/>
                <w:szCs w:val="36"/>
                <w:lang w:val="en-US" w:eastAsia="zh-CN"/>
              </w:rPr>
              <w:t>衡阳京泰建材有限公司年处理24万吨建筑垃</w:t>
            </w:r>
          </w:p>
        </w:tc>
      </w:tr>
      <w:tr w14:paraId="09C68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jc w:val="center"/>
        </w:trPr>
        <w:tc>
          <w:tcPr>
            <w:tcW w:w="1658" w:type="dxa"/>
            <w:vMerge w:val="continue"/>
            <w:tcBorders>
              <w:top w:val="single" w:color="auto" w:sz="4" w:space="0"/>
              <w:bottom w:val="nil"/>
            </w:tcBorders>
            <w:noWrap w:val="0"/>
            <w:vAlign w:val="top"/>
          </w:tcPr>
          <w:p w14:paraId="315E1BB8">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hint="eastAsia" w:ascii="仿宋_GB2312" w:eastAsia="仿宋_GB2312"/>
                <w:color w:val="auto"/>
                <w:sz w:val="36"/>
                <w:szCs w:val="36"/>
              </w:rPr>
            </w:pPr>
          </w:p>
        </w:tc>
        <w:tc>
          <w:tcPr>
            <w:tcW w:w="7248" w:type="dxa"/>
            <w:gridSpan w:val="2"/>
            <w:tcBorders>
              <w:top w:val="single" w:color="auto" w:sz="4" w:space="0"/>
              <w:bottom w:val="single" w:color="auto" w:sz="4" w:space="0"/>
            </w:tcBorders>
            <w:noWrap w:val="0"/>
            <w:vAlign w:val="top"/>
          </w:tcPr>
          <w:p w14:paraId="07D3793D">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rPr>
                <w:rFonts w:hint="eastAsia" w:ascii="仿宋_GB2312" w:eastAsia="仿宋_GB2312"/>
                <w:color w:val="auto"/>
                <w:sz w:val="36"/>
                <w:szCs w:val="36"/>
                <w:lang w:val="en-US" w:eastAsia="zh-CN"/>
              </w:rPr>
            </w:pPr>
            <w:r>
              <w:rPr>
                <w:rFonts w:hint="eastAsia" w:ascii="仿宋_GB2312" w:eastAsia="仿宋_GB2312"/>
                <w:color w:val="auto"/>
                <w:sz w:val="36"/>
                <w:szCs w:val="36"/>
                <w:lang w:val="en-US" w:eastAsia="zh-CN"/>
              </w:rPr>
              <w:t>圾、</w:t>
            </w:r>
            <w:bookmarkStart w:id="521" w:name="_GoBack"/>
            <w:bookmarkEnd w:id="521"/>
            <w:r>
              <w:rPr>
                <w:rFonts w:hint="eastAsia" w:ascii="仿宋_GB2312" w:eastAsia="仿宋_GB2312"/>
                <w:color w:val="auto"/>
                <w:sz w:val="36"/>
                <w:szCs w:val="36"/>
                <w:lang w:val="en-US" w:eastAsia="zh-CN"/>
              </w:rPr>
              <w:t>装修垃圾和一般工业固体废物综合利用改</w:t>
            </w:r>
          </w:p>
        </w:tc>
      </w:tr>
      <w:tr w14:paraId="16B08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jc w:val="center"/>
        </w:trPr>
        <w:tc>
          <w:tcPr>
            <w:tcW w:w="1658" w:type="dxa"/>
            <w:vMerge w:val="continue"/>
            <w:tcBorders>
              <w:bottom w:val="nil"/>
            </w:tcBorders>
            <w:noWrap w:val="0"/>
            <w:vAlign w:val="top"/>
          </w:tcPr>
          <w:p w14:paraId="4B629EFA">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rPr>
                <w:color w:val="auto"/>
              </w:rPr>
            </w:pPr>
          </w:p>
        </w:tc>
        <w:tc>
          <w:tcPr>
            <w:tcW w:w="7248" w:type="dxa"/>
            <w:gridSpan w:val="2"/>
            <w:tcBorders>
              <w:top w:val="single" w:color="auto" w:sz="4" w:space="0"/>
              <w:bottom w:val="single" w:color="auto" w:sz="4" w:space="0"/>
            </w:tcBorders>
            <w:noWrap w:val="0"/>
            <w:vAlign w:val="top"/>
          </w:tcPr>
          <w:p w14:paraId="1216E6B3">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rPr>
                <w:rFonts w:hint="eastAsia" w:ascii="仿宋_GB2312" w:eastAsia="仿宋_GB2312"/>
                <w:color w:val="auto"/>
                <w:sz w:val="36"/>
                <w:szCs w:val="36"/>
                <w:lang w:val="en-US" w:eastAsia="zh-CN"/>
              </w:rPr>
            </w:pPr>
            <w:r>
              <w:rPr>
                <w:rFonts w:hint="eastAsia" w:ascii="仿宋_GB2312" w:eastAsia="仿宋_GB2312"/>
                <w:color w:val="auto"/>
                <w:sz w:val="36"/>
                <w:szCs w:val="36"/>
                <w:lang w:val="en-US" w:eastAsia="zh-CN"/>
              </w:rPr>
              <w:t>建项目</w:t>
            </w:r>
          </w:p>
        </w:tc>
      </w:tr>
      <w:tr w14:paraId="3AE7F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766" w:type="dxa"/>
            <w:gridSpan w:val="2"/>
            <w:tcBorders>
              <w:top w:val="nil"/>
            </w:tcBorders>
            <w:noWrap w:val="0"/>
            <w:vAlign w:val="top"/>
          </w:tcPr>
          <w:p w14:paraId="4BD59335">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ascii="仿宋_GB2312" w:eastAsia="仿宋_GB2312"/>
                <w:color w:val="auto"/>
                <w:sz w:val="36"/>
                <w:szCs w:val="36"/>
                <w:u w:val="single"/>
              </w:rPr>
            </w:pPr>
            <w:r>
              <w:rPr>
                <w:rFonts w:hint="eastAsia" w:ascii="仿宋_GB2312" w:eastAsia="仿宋_GB2312"/>
                <w:color w:val="auto"/>
                <w:sz w:val="36"/>
                <w:szCs w:val="36"/>
              </w:rPr>
              <w:t>建设单位（盖章）：</w:t>
            </w:r>
          </w:p>
        </w:tc>
        <w:tc>
          <w:tcPr>
            <w:tcW w:w="6140" w:type="dxa"/>
            <w:tcBorders>
              <w:top w:val="nil"/>
              <w:bottom w:val="single" w:color="auto" w:sz="4" w:space="0"/>
            </w:tcBorders>
            <w:noWrap w:val="0"/>
            <w:vAlign w:val="top"/>
          </w:tcPr>
          <w:p w14:paraId="3B9B8025">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hint="eastAsia" w:ascii="仿宋_GB2312" w:eastAsia="仿宋_GB2312"/>
                <w:color w:val="auto"/>
                <w:sz w:val="36"/>
                <w:szCs w:val="36"/>
              </w:rPr>
            </w:pPr>
            <w:r>
              <w:rPr>
                <w:rFonts w:hint="eastAsia" w:ascii="仿宋_GB2312" w:eastAsia="仿宋_GB2312"/>
                <w:color w:val="auto"/>
                <w:sz w:val="36"/>
                <w:szCs w:val="36"/>
                <w:lang w:val="en-US" w:eastAsia="zh-CN"/>
              </w:rPr>
              <w:t>衡阳京泰建材有限公司</w:t>
            </w:r>
          </w:p>
        </w:tc>
      </w:tr>
      <w:tr w14:paraId="41FFF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658" w:type="dxa"/>
            <w:tcBorders>
              <w:bottom w:val="nil"/>
            </w:tcBorders>
            <w:noWrap w:val="0"/>
            <w:vAlign w:val="top"/>
          </w:tcPr>
          <w:p w14:paraId="169AA0D6">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hint="eastAsia" w:ascii="仿宋_GB2312" w:eastAsia="仿宋_GB2312"/>
                <w:color w:val="auto"/>
                <w:sz w:val="36"/>
                <w:szCs w:val="36"/>
              </w:rPr>
            </w:pPr>
            <w:r>
              <w:rPr>
                <w:rFonts w:hint="eastAsia" w:ascii="仿宋_GB2312" w:eastAsia="仿宋_GB2312"/>
                <w:color w:val="auto"/>
                <w:sz w:val="36"/>
                <w:szCs w:val="36"/>
              </w:rPr>
              <w:t>编制日期：</w:t>
            </w:r>
          </w:p>
        </w:tc>
        <w:tc>
          <w:tcPr>
            <w:tcW w:w="7248" w:type="dxa"/>
            <w:gridSpan w:val="2"/>
            <w:tcBorders>
              <w:bottom w:val="single" w:color="auto" w:sz="4" w:space="0"/>
            </w:tcBorders>
            <w:noWrap w:val="0"/>
            <w:vAlign w:val="top"/>
          </w:tcPr>
          <w:p w14:paraId="02E19487">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hint="default" w:ascii="仿宋_GB2312" w:eastAsia="仿宋_GB2312"/>
                <w:color w:val="auto"/>
                <w:sz w:val="36"/>
                <w:szCs w:val="36"/>
                <w:lang w:val="en-US" w:eastAsia="zh-CN"/>
              </w:rPr>
            </w:pPr>
            <w:r>
              <w:rPr>
                <w:rFonts w:hint="eastAsia" w:ascii="仿宋_GB2312" w:eastAsia="仿宋_GB2312"/>
                <w:color w:val="auto"/>
                <w:sz w:val="36"/>
                <w:szCs w:val="36"/>
                <w:lang w:val="en-US" w:eastAsia="zh-CN"/>
              </w:rPr>
              <w:t>二〇二四年三月</w:t>
            </w:r>
          </w:p>
        </w:tc>
      </w:tr>
    </w:tbl>
    <w:p w14:paraId="5F988940">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hint="eastAsia" w:ascii="仿宋_GB2312" w:eastAsia="仿宋_GB2312"/>
          <w:color w:val="auto"/>
          <w:sz w:val="36"/>
          <w:szCs w:val="36"/>
        </w:rPr>
      </w:pPr>
    </w:p>
    <w:p w14:paraId="57C153CC">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textAlignment w:val="auto"/>
        <w:rPr>
          <w:rFonts w:ascii="仿宋_GB2312" w:eastAsia="仿宋_GB2312"/>
          <w:color w:val="auto"/>
          <w:sz w:val="36"/>
          <w:szCs w:val="36"/>
          <w:u w:val="single"/>
        </w:rPr>
      </w:pPr>
      <w:bookmarkStart w:id="5" w:name="_Hlk57884087"/>
    </w:p>
    <w:p w14:paraId="39775334">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textAlignment w:val="auto"/>
        <w:rPr>
          <w:rFonts w:ascii="仿宋_GB2312" w:eastAsia="仿宋_GB2312"/>
          <w:color w:val="auto"/>
          <w:sz w:val="36"/>
          <w:szCs w:val="36"/>
        </w:rPr>
      </w:pPr>
    </w:p>
    <w:p w14:paraId="201F334F">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textAlignment w:val="auto"/>
        <w:rPr>
          <w:rFonts w:ascii="仿宋_GB2312" w:eastAsia="仿宋_GB2312"/>
          <w:color w:val="auto"/>
          <w:sz w:val="36"/>
          <w:szCs w:val="36"/>
        </w:rPr>
      </w:pPr>
    </w:p>
    <w:p w14:paraId="0CE84100">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textAlignment w:val="auto"/>
        <w:rPr>
          <w:rFonts w:hint="eastAsia" w:ascii="仿宋_GB2312" w:eastAsia="仿宋_GB2312"/>
          <w:color w:val="auto"/>
          <w:sz w:val="36"/>
          <w:szCs w:val="36"/>
        </w:rPr>
      </w:pPr>
    </w:p>
    <w:bookmarkEnd w:id="5"/>
    <w:p w14:paraId="43717311">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hint="eastAsia" w:ascii="楷体_GB2312" w:eastAsia="楷体_GB2312"/>
          <w:color w:val="auto"/>
          <w:sz w:val="36"/>
          <w:szCs w:val="36"/>
        </w:rPr>
      </w:pPr>
      <w:r>
        <w:rPr>
          <w:rFonts w:hint="eastAsia" w:ascii="楷体_GB2312" w:eastAsia="楷体_GB2312"/>
          <w:color w:val="auto"/>
          <w:sz w:val="36"/>
          <w:szCs w:val="36"/>
        </w:rPr>
        <w:t>中华人民共和国生态环境部制</w:t>
      </w:r>
    </w:p>
    <w:p w14:paraId="42A0C006">
      <w:pPr>
        <w:rPr>
          <w:rFonts w:ascii="仿宋_GB2312" w:eastAsia="仿宋_GB2312"/>
          <w:color w:val="auto"/>
          <w:sz w:val="36"/>
          <w:szCs w:val="36"/>
        </w:rPr>
      </w:pPr>
      <w:r>
        <w:rPr>
          <w:rFonts w:ascii="仿宋_GB2312" w:eastAsia="仿宋_GB2312"/>
          <w:color w:val="auto"/>
          <w:sz w:val="36"/>
          <w:szCs w:val="36"/>
        </w:rPr>
        <w:br w:type="page"/>
      </w:r>
    </w:p>
    <w:p w14:paraId="2D37911B">
      <w:pPr>
        <w:pStyle w:val="5"/>
        <w:keepNext/>
        <w:keepLines/>
        <w:pageBreakBefore w:val="0"/>
        <w:widowControl w:val="0"/>
        <w:kinsoku/>
        <w:wordWrap/>
        <w:overflowPunct/>
        <w:topLinePunct w:val="0"/>
        <w:autoSpaceDE/>
        <w:autoSpaceDN/>
        <w:bidi w:val="0"/>
        <w:snapToGrid w:val="0"/>
        <w:spacing w:line="240" w:lineRule="auto"/>
        <w:jc w:val="center"/>
        <w:textAlignment w:val="auto"/>
        <w:rPr>
          <w:rFonts w:hint="eastAsia"/>
          <w:color w:val="auto"/>
          <w:lang w:val="en-US" w:eastAsia="zh-CN"/>
        </w:rPr>
      </w:pPr>
      <w:r>
        <w:rPr>
          <w:rFonts w:hint="eastAsia"/>
          <w:color w:val="auto"/>
          <w:lang w:val="en-US" w:eastAsia="zh-CN"/>
        </w:rPr>
        <w:t>衡阳京泰建材有限公司年处理24万吨建筑垃圾、装修垃圾</w:t>
      </w:r>
    </w:p>
    <w:p w14:paraId="46FC6077">
      <w:pPr>
        <w:pStyle w:val="5"/>
        <w:keepNext/>
        <w:keepLines/>
        <w:pageBreakBefore w:val="0"/>
        <w:widowControl w:val="0"/>
        <w:kinsoku/>
        <w:wordWrap/>
        <w:overflowPunct/>
        <w:topLinePunct w:val="0"/>
        <w:autoSpaceDE/>
        <w:autoSpaceDN/>
        <w:bidi w:val="0"/>
        <w:snapToGrid w:val="0"/>
        <w:spacing w:line="240" w:lineRule="auto"/>
        <w:jc w:val="center"/>
        <w:textAlignment w:val="auto"/>
        <w:rPr>
          <w:rFonts w:hint="eastAsia"/>
          <w:color w:val="auto"/>
          <w:lang w:val="en-US" w:eastAsia="zh-CN"/>
        </w:rPr>
      </w:pPr>
      <w:r>
        <w:rPr>
          <w:rFonts w:hint="eastAsia"/>
          <w:color w:val="auto"/>
          <w:lang w:val="en-US" w:eastAsia="zh-CN"/>
        </w:rPr>
        <w:t>和一般工业固体废物综合利用改建项目</w:t>
      </w:r>
    </w:p>
    <w:p w14:paraId="4B4762C0">
      <w:pPr>
        <w:pStyle w:val="5"/>
        <w:keepNext/>
        <w:keepLines/>
        <w:pageBreakBefore w:val="0"/>
        <w:widowControl w:val="0"/>
        <w:kinsoku/>
        <w:wordWrap/>
        <w:overflowPunct/>
        <w:topLinePunct w:val="0"/>
        <w:autoSpaceDE/>
        <w:autoSpaceDN/>
        <w:bidi w:val="0"/>
        <w:adjustRightInd/>
        <w:snapToGrid w:val="0"/>
        <w:spacing w:line="240" w:lineRule="auto"/>
        <w:jc w:val="center"/>
        <w:textAlignment w:val="auto"/>
        <w:rPr>
          <w:rFonts w:hint="eastAsia"/>
          <w:color w:val="auto"/>
          <w:lang w:val="en-US" w:eastAsia="zh-CN"/>
        </w:rPr>
      </w:pPr>
      <w:r>
        <w:rPr>
          <w:rFonts w:hint="eastAsia"/>
          <w:color w:val="auto"/>
          <w:lang w:val="en-US" w:eastAsia="zh-CN"/>
        </w:rPr>
        <w:t>环境影响报告表技术评审综合意见修改说明</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
        <w:gridCol w:w="4725"/>
        <w:gridCol w:w="3877"/>
      </w:tblGrid>
      <w:tr w14:paraId="250EB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vAlign w:val="center"/>
          </w:tcPr>
          <w:p w14:paraId="5F78FAE5">
            <w:pPr>
              <w:pStyle w:val="17"/>
              <w:bidi w:val="0"/>
              <w:jc w:val="center"/>
              <w:rPr>
                <w:rFonts w:hint="default"/>
                <w:color w:val="auto"/>
                <w:vertAlign w:val="baseline"/>
                <w:lang w:val="en-US" w:eastAsia="zh-CN"/>
              </w:rPr>
            </w:pPr>
            <w:r>
              <w:rPr>
                <w:rFonts w:hint="eastAsia"/>
                <w:color w:val="auto"/>
                <w:vertAlign w:val="baseline"/>
                <w:lang w:val="en-US" w:eastAsia="zh-CN"/>
              </w:rPr>
              <w:t>序号</w:t>
            </w:r>
          </w:p>
        </w:tc>
        <w:tc>
          <w:tcPr>
            <w:tcW w:w="4725" w:type="dxa"/>
            <w:vAlign w:val="center"/>
          </w:tcPr>
          <w:p w14:paraId="616FB826">
            <w:pPr>
              <w:pStyle w:val="17"/>
              <w:bidi w:val="0"/>
              <w:jc w:val="center"/>
              <w:rPr>
                <w:rFonts w:hint="default"/>
                <w:color w:val="auto"/>
                <w:vertAlign w:val="baseline"/>
                <w:lang w:val="en-US" w:eastAsia="zh-CN"/>
              </w:rPr>
            </w:pPr>
            <w:r>
              <w:rPr>
                <w:rFonts w:hint="eastAsia"/>
                <w:color w:val="auto"/>
                <w:vertAlign w:val="baseline"/>
                <w:lang w:val="en-US" w:eastAsia="zh-CN"/>
              </w:rPr>
              <w:t>专家评审意见</w:t>
            </w:r>
          </w:p>
        </w:tc>
        <w:tc>
          <w:tcPr>
            <w:tcW w:w="3877" w:type="dxa"/>
            <w:vAlign w:val="center"/>
          </w:tcPr>
          <w:p w14:paraId="7B60E1C7">
            <w:pPr>
              <w:pStyle w:val="17"/>
              <w:bidi w:val="0"/>
              <w:jc w:val="center"/>
              <w:rPr>
                <w:rFonts w:hint="default"/>
                <w:color w:val="auto"/>
                <w:vertAlign w:val="baseline"/>
                <w:lang w:val="en-US" w:eastAsia="zh-CN"/>
              </w:rPr>
            </w:pPr>
            <w:r>
              <w:rPr>
                <w:rFonts w:hint="eastAsia"/>
                <w:color w:val="auto"/>
                <w:vertAlign w:val="baseline"/>
                <w:lang w:val="en-US" w:eastAsia="zh-CN"/>
              </w:rPr>
              <w:t>修改说明</w:t>
            </w:r>
          </w:p>
        </w:tc>
      </w:tr>
      <w:tr w14:paraId="35084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vAlign w:val="center"/>
          </w:tcPr>
          <w:p w14:paraId="7E7A0AA3">
            <w:pPr>
              <w:pStyle w:val="17"/>
              <w:bidi w:val="0"/>
              <w:jc w:val="center"/>
              <w:rPr>
                <w:rFonts w:hint="default"/>
                <w:color w:val="auto"/>
                <w:vertAlign w:val="baseline"/>
                <w:lang w:val="en-US" w:eastAsia="zh-CN"/>
              </w:rPr>
            </w:pPr>
            <w:r>
              <w:rPr>
                <w:rFonts w:hint="eastAsia"/>
                <w:color w:val="auto"/>
                <w:vertAlign w:val="baseline"/>
                <w:lang w:val="en-US" w:eastAsia="zh-CN"/>
              </w:rPr>
              <w:t>1</w:t>
            </w:r>
          </w:p>
        </w:tc>
        <w:tc>
          <w:tcPr>
            <w:tcW w:w="4725" w:type="dxa"/>
            <w:vAlign w:val="center"/>
          </w:tcPr>
          <w:p w14:paraId="0811D807">
            <w:pPr>
              <w:pStyle w:val="17"/>
              <w:bidi w:val="0"/>
              <w:jc w:val="both"/>
              <w:rPr>
                <w:rFonts w:hint="default"/>
                <w:color w:val="auto"/>
                <w:vertAlign w:val="baseline"/>
                <w:lang w:val="en-US" w:eastAsia="zh-CN"/>
              </w:rPr>
            </w:pPr>
            <w:r>
              <w:rPr>
                <w:rFonts w:hint="eastAsia"/>
                <w:color w:val="auto"/>
                <w:vertAlign w:val="baseline"/>
                <w:lang w:val="en-US" w:eastAsia="zh-CN"/>
              </w:rPr>
              <w:t>补充说明各类原料合法来源；明确作为原料使用的一般工业固体废物类型及入场要求；明确1#生产厂房和2#生产厂房的封闭建设要求；细化不同的产品对应的不同储运工程（原料堆场及产品堆场）、环保工程的建设内容；完善原辅材料消耗量（缺水泥），</w:t>
            </w:r>
            <w:r>
              <w:rPr>
                <w:rFonts w:hint="eastAsia"/>
                <w:color w:val="auto"/>
                <w:highlight w:val="none"/>
                <w:vertAlign w:val="baseline"/>
                <w:lang w:val="en-US" w:eastAsia="zh-CN"/>
              </w:rPr>
              <w:t>补充物料平衡。</w:t>
            </w:r>
          </w:p>
        </w:tc>
        <w:tc>
          <w:tcPr>
            <w:tcW w:w="3877" w:type="dxa"/>
            <w:vAlign w:val="center"/>
          </w:tcPr>
          <w:p w14:paraId="497EED66">
            <w:pPr>
              <w:pStyle w:val="17"/>
              <w:bidi w:val="0"/>
              <w:jc w:val="both"/>
              <w:rPr>
                <w:rFonts w:hint="eastAsia"/>
                <w:color w:val="auto"/>
                <w:vertAlign w:val="baseline"/>
                <w:lang w:val="en-US" w:eastAsia="zh-CN"/>
              </w:rPr>
            </w:pPr>
            <w:r>
              <w:rPr>
                <w:rFonts w:hint="eastAsia"/>
                <w:color w:val="auto"/>
                <w:vertAlign w:val="baseline"/>
                <w:lang w:val="en-US" w:eastAsia="zh-CN"/>
              </w:rPr>
              <w:t>①P17已说明各类原料合法来源；</w:t>
            </w:r>
          </w:p>
          <w:p w14:paraId="63C517B1">
            <w:pPr>
              <w:pStyle w:val="17"/>
              <w:bidi w:val="0"/>
              <w:jc w:val="both"/>
              <w:rPr>
                <w:rFonts w:hint="eastAsia"/>
                <w:color w:val="auto"/>
                <w:vertAlign w:val="baseline"/>
                <w:lang w:val="en-US" w:eastAsia="zh-CN"/>
              </w:rPr>
            </w:pPr>
            <w:r>
              <w:rPr>
                <w:rFonts w:hint="eastAsia"/>
                <w:color w:val="auto"/>
                <w:vertAlign w:val="baseline"/>
                <w:lang w:val="en-US" w:eastAsia="zh-CN"/>
              </w:rPr>
              <w:t>②P17已明确作为原料使用的一般工业固体废物类型及入场要求；</w:t>
            </w:r>
          </w:p>
          <w:p w14:paraId="3FBE09DD">
            <w:pPr>
              <w:pStyle w:val="17"/>
              <w:bidi w:val="0"/>
              <w:jc w:val="both"/>
              <w:rPr>
                <w:rFonts w:hint="eastAsia"/>
                <w:color w:val="auto"/>
                <w:vertAlign w:val="baseline"/>
                <w:lang w:val="en-US" w:eastAsia="zh-CN"/>
              </w:rPr>
            </w:pPr>
            <w:r>
              <w:rPr>
                <w:rFonts w:hint="eastAsia"/>
                <w:color w:val="auto"/>
                <w:vertAlign w:val="baseline"/>
                <w:lang w:val="en-US" w:eastAsia="zh-CN"/>
              </w:rPr>
              <w:t>③P13已明确1#生产厂房和2#生产厂房的封闭建设要求；</w:t>
            </w:r>
          </w:p>
          <w:p w14:paraId="00211622">
            <w:pPr>
              <w:pStyle w:val="17"/>
              <w:bidi w:val="0"/>
              <w:jc w:val="both"/>
              <w:rPr>
                <w:rFonts w:hint="eastAsia"/>
                <w:color w:val="auto"/>
                <w:vertAlign w:val="baseline"/>
                <w:lang w:val="en-US" w:eastAsia="zh-CN"/>
              </w:rPr>
            </w:pPr>
            <w:r>
              <w:rPr>
                <w:rFonts w:hint="eastAsia"/>
                <w:color w:val="auto"/>
                <w:vertAlign w:val="baseline"/>
                <w:lang w:val="en-US" w:eastAsia="zh-CN"/>
              </w:rPr>
              <w:t>④P13已细化不同的产品对应的不同储运工程、环保工程的建设内容；</w:t>
            </w:r>
          </w:p>
          <w:p w14:paraId="1962A884">
            <w:pPr>
              <w:pStyle w:val="17"/>
              <w:bidi w:val="0"/>
              <w:jc w:val="both"/>
              <w:rPr>
                <w:rFonts w:hint="eastAsia"/>
                <w:color w:val="auto"/>
                <w:vertAlign w:val="baseline"/>
                <w:lang w:val="en-US" w:eastAsia="zh-CN"/>
              </w:rPr>
            </w:pPr>
            <w:r>
              <w:rPr>
                <w:rFonts w:hint="eastAsia"/>
                <w:color w:val="auto"/>
                <w:vertAlign w:val="baseline"/>
                <w:lang w:val="en-US" w:eastAsia="zh-CN"/>
              </w:rPr>
              <w:t>⑤P17已完善原辅材料消耗量；</w:t>
            </w:r>
          </w:p>
          <w:p w14:paraId="3BC6EE13">
            <w:pPr>
              <w:pStyle w:val="17"/>
              <w:bidi w:val="0"/>
              <w:jc w:val="both"/>
              <w:rPr>
                <w:rFonts w:hint="default"/>
                <w:color w:val="auto"/>
                <w:vertAlign w:val="baseline"/>
                <w:lang w:val="en-US" w:eastAsia="zh-CN"/>
              </w:rPr>
            </w:pPr>
            <w:r>
              <w:rPr>
                <w:rFonts w:hint="eastAsia"/>
                <w:color w:val="auto"/>
                <w:vertAlign w:val="baseline"/>
                <w:lang w:val="en-US" w:eastAsia="zh-CN"/>
              </w:rPr>
              <w:t>⑥P23已补充物料平衡。</w:t>
            </w:r>
          </w:p>
        </w:tc>
      </w:tr>
      <w:tr w14:paraId="0558A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vAlign w:val="center"/>
          </w:tcPr>
          <w:p w14:paraId="63AA58AD">
            <w:pPr>
              <w:pStyle w:val="17"/>
              <w:bidi w:val="0"/>
              <w:jc w:val="center"/>
              <w:rPr>
                <w:rFonts w:hint="default"/>
                <w:color w:val="auto"/>
                <w:vertAlign w:val="baseline"/>
                <w:lang w:val="en-US" w:eastAsia="zh-CN"/>
              </w:rPr>
            </w:pPr>
            <w:r>
              <w:rPr>
                <w:rFonts w:hint="eastAsia"/>
                <w:color w:val="auto"/>
                <w:vertAlign w:val="baseline"/>
                <w:lang w:val="en-US" w:eastAsia="zh-CN"/>
              </w:rPr>
              <w:t>2</w:t>
            </w:r>
          </w:p>
        </w:tc>
        <w:tc>
          <w:tcPr>
            <w:tcW w:w="4725" w:type="dxa"/>
            <w:vAlign w:val="center"/>
          </w:tcPr>
          <w:p w14:paraId="0B9BBA72">
            <w:pPr>
              <w:pStyle w:val="17"/>
              <w:bidi w:val="0"/>
              <w:jc w:val="both"/>
              <w:rPr>
                <w:rFonts w:hint="default"/>
                <w:color w:val="auto"/>
                <w:vertAlign w:val="baseline"/>
                <w:lang w:val="en-US" w:eastAsia="zh-CN"/>
              </w:rPr>
            </w:pPr>
            <w:r>
              <w:rPr>
                <w:rFonts w:hint="eastAsia"/>
                <w:color w:val="auto"/>
                <w:vertAlign w:val="baseline"/>
                <w:lang w:val="en-US" w:eastAsia="zh-CN"/>
              </w:rPr>
              <w:t>建议分别列出各类产品的生产工艺流程及产排污节点图（图2-3分别列出如何分出粉料、细骨料、粗骨料，是否都入砖块、水稳砂？图2-4核实水泥投加次序，在搅拌后投加？），细化工艺流程说明。</w:t>
            </w:r>
          </w:p>
        </w:tc>
        <w:tc>
          <w:tcPr>
            <w:tcW w:w="3877" w:type="dxa"/>
            <w:vAlign w:val="center"/>
          </w:tcPr>
          <w:p w14:paraId="538F9DF9">
            <w:pPr>
              <w:pStyle w:val="17"/>
              <w:bidi w:val="0"/>
              <w:jc w:val="both"/>
              <w:rPr>
                <w:rFonts w:hint="eastAsia"/>
                <w:color w:val="auto"/>
                <w:vertAlign w:val="baseline"/>
                <w:lang w:val="en-US" w:eastAsia="zh-CN"/>
              </w:rPr>
            </w:pPr>
            <w:r>
              <w:rPr>
                <w:rFonts w:hint="eastAsia"/>
                <w:color w:val="auto"/>
                <w:vertAlign w:val="baseline"/>
                <w:lang w:val="en-US" w:eastAsia="zh-CN"/>
              </w:rPr>
              <w:t>①P25-26已分别列出各类产品的生产工艺流程及产排污节点图；</w:t>
            </w:r>
          </w:p>
          <w:p w14:paraId="31E4B308">
            <w:pPr>
              <w:pStyle w:val="17"/>
              <w:bidi w:val="0"/>
              <w:jc w:val="both"/>
              <w:rPr>
                <w:rFonts w:hint="eastAsia"/>
                <w:color w:val="auto"/>
                <w:vertAlign w:val="baseline"/>
                <w:lang w:val="en-US" w:eastAsia="zh-CN"/>
              </w:rPr>
            </w:pPr>
            <w:r>
              <w:rPr>
                <w:rFonts w:hint="eastAsia"/>
                <w:color w:val="auto"/>
                <w:vertAlign w:val="baseline"/>
                <w:lang w:val="en-US" w:eastAsia="zh-CN"/>
              </w:rPr>
              <w:t>②已核实图2-4核实水泥投加次序；</w:t>
            </w:r>
          </w:p>
          <w:p w14:paraId="15A49AAA">
            <w:pPr>
              <w:pStyle w:val="17"/>
              <w:bidi w:val="0"/>
              <w:jc w:val="both"/>
              <w:rPr>
                <w:rFonts w:hint="default"/>
                <w:color w:val="auto"/>
                <w:vertAlign w:val="baseline"/>
                <w:lang w:val="en-US" w:eastAsia="zh-CN"/>
              </w:rPr>
            </w:pPr>
            <w:r>
              <w:rPr>
                <w:rFonts w:hint="eastAsia"/>
                <w:color w:val="auto"/>
                <w:vertAlign w:val="baseline"/>
                <w:lang w:val="en-US" w:eastAsia="zh-CN"/>
              </w:rPr>
              <w:t>③P26-28已细化工艺流程说明.</w:t>
            </w:r>
          </w:p>
        </w:tc>
      </w:tr>
      <w:tr w14:paraId="4D8BE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vAlign w:val="center"/>
          </w:tcPr>
          <w:p w14:paraId="1AA1B5D0">
            <w:pPr>
              <w:pStyle w:val="17"/>
              <w:bidi w:val="0"/>
              <w:jc w:val="center"/>
              <w:rPr>
                <w:rFonts w:hint="default"/>
                <w:color w:val="auto"/>
                <w:vertAlign w:val="baseline"/>
                <w:lang w:val="en-US" w:eastAsia="zh-CN"/>
              </w:rPr>
            </w:pPr>
            <w:r>
              <w:rPr>
                <w:rFonts w:hint="eastAsia"/>
                <w:color w:val="auto"/>
                <w:vertAlign w:val="baseline"/>
                <w:lang w:val="en-US" w:eastAsia="zh-CN"/>
              </w:rPr>
              <w:t>3</w:t>
            </w:r>
          </w:p>
        </w:tc>
        <w:tc>
          <w:tcPr>
            <w:tcW w:w="4725" w:type="dxa"/>
            <w:vAlign w:val="center"/>
          </w:tcPr>
          <w:p w14:paraId="6B1B0461">
            <w:pPr>
              <w:pStyle w:val="17"/>
              <w:bidi w:val="0"/>
              <w:jc w:val="both"/>
              <w:rPr>
                <w:rFonts w:hint="default"/>
                <w:color w:val="auto"/>
                <w:vertAlign w:val="baseline"/>
                <w:lang w:val="en-US" w:eastAsia="zh-CN"/>
              </w:rPr>
            </w:pPr>
            <w:r>
              <w:rPr>
                <w:rFonts w:hint="eastAsia"/>
                <w:color w:val="auto"/>
                <w:vertAlign w:val="baseline"/>
                <w:lang w:val="en-US" w:eastAsia="zh-CN"/>
              </w:rPr>
              <w:t>核实、细化调查现有工程存在的主要环境问题，提出有效的“以新带老”措施；补充说明本项目依托现有成品堆场（含原滤饼堆放区）的依托可行性（堆放哪种产品，各自分区堆放面积多大？）。</w:t>
            </w:r>
          </w:p>
        </w:tc>
        <w:tc>
          <w:tcPr>
            <w:tcW w:w="3877" w:type="dxa"/>
            <w:vAlign w:val="center"/>
          </w:tcPr>
          <w:p w14:paraId="7894EF86">
            <w:pPr>
              <w:pStyle w:val="17"/>
              <w:bidi w:val="0"/>
              <w:jc w:val="both"/>
              <w:rPr>
                <w:rFonts w:hint="eastAsia"/>
                <w:color w:val="auto"/>
                <w:vertAlign w:val="baseline"/>
                <w:lang w:val="en-US" w:eastAsia="zh-CN"/>
              </w:rPr>
            </w:pPr>
            <w:r>
              <w:rPr>
                <w:rFonts w:hint="eastAsia"/>
                <w:color w:val="auto"/>
                <w:vertAlign w:val="baseline"/>
                <w:lang w:val="en-US" w:eastAsia="zh-CN"/>
              </w:rPr>
              <w:t>①P39已核实、细化调查现有工程存在的主要环境问题，并提出“以新带老”措施；</w:t>
            </w:r>
          </w:p>
          <w:p w14:paraId="16A1281A">
            <w:pPr>
              <w:pStyle w:val="17"/>
              <w:bidi w:val="0"/>
              <w:jc w:val="both"/>
              <w:rPr>
                <w:rFonts w:hint="default"/>
                <w:color w:val="auto"/>
                <w:vertAlign w:val="baseline"/>
                <w:lang w:val="en-US" w:eastAsia="zh-CN"/>
              </w:rPr>
            </w:pPr>
            <w:r>
              <w:rPr>
                <w:rFonts w:hint="eastAsia"/>
                <w:color w:val="auto"/>
                <w:vertAlign w:val="baseline"/>
                <w:lang w:val="en-US" w:eastAsia="zh-CN"/>
              </w:rPr>
              <w:t>②P15已补充说明本项目依托现有成品堆场（含原滤饼堆放区）的依托可行性。</w:t>
            </w:r>
          </w:p>
        </w:tc>
      </w:tr>
      <w:tr w14:paraId="4C1B8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vAlign w:val="center"/>
          </w:tcPr>
          <w:p w14:paraId="4D605932">
            <w:pPr>
              <w:pStyle w:val="17"/>
              <w:bidi w:val="0"/>
              <w:jc w:val="center"/>
              <w:rPr>
                <w:rFonts w:hint="default"/>
                <w:color w:val="auto"/>
                <w:vertAlign w:val="baseline"/>
                <w:lang w:val="en-US" w:eastAsia="zh-CN"/>
              </w:rPr>
            </w:pPr>
            <w:r>
              <w:rPr>
                <w:rFonts w:hint="eastAsia"/>
                <w:color w:val="auto"/>
                <w:vertAlign w:val="baseline"/>
                <w:lang w:val="en-US" w:eastAsia="zh-CN"/>
              </w:rPr>
              <w:t>4</w:t>
            </w:r>
          </w:p>
        </w:tc>
        <w:tc>
          <w:tcPr>
            <w:tcW w:w="4725" w:type="dxa"/>
            <w:vAlign w:val="center"/>
          </w:tcPr>
          <w:p w14:paraId="533EE063">
            <w:pPr>
              <w:pStyle w:val="17"/>
              <w:bidi w:val="0"/>
              <w:jc w:val="both"/>
              <w:rPr>
                <w:rFonts w:hint="default"/>
                <w:color w:val="auto"/>
                <w:vertAlign w:val="baseline"/>
                <w:lang w:val="en-US" w:eastAsia="zh-CN"/>
              </w:rPr>
            </w:pPr>
            <w:r>
              <w:rPr>
                <w:rFonts w:hint="eastAsia"/>
                <w:color w:val="auto"/>
                <w:vertAlign w:val="baseline"/>
                <w:lang w:val="en-US" w:eastAsia="zh-CN"/>
              </w:rPr>
              <w:t>完善区域环境空气、地表水环境质量现状评价（采用2023年数据）；污染物补充水泥装卸、料仓等无组织排放的颗粒物，及搅拌系统有组织排放的颗粒物，分别执行《水泥工业大气污染物排放标准》（GB 4915-2013）表2中的大气污染源特别排放限制及表3中的无组织排放浓度限值。</w:t>
            </w:r>
          </w:p>
        </w:tc>
        <w:tc>
          <w:tcPr>
            <w:tcW w:w="3877" w:type="dxa"/>
            <w:vAlign w:val="center"/>
          </w:tcPr>
          <w:p w14:paraId="2FFB583E">
            <w:pPr>
              <w:pStyle w:val="17"/>
              <w:bidi w:val="0"/>
              <w:jc w:val="both"/>
              <w:rPr>
                <w:rFonts w:hint="eastAsia"/>
                <w:color w:val="auto"/>
                <w:vertAlign w:val="baseline"/>
                <w:lang w:val="en-US" w:eastAsia="zh-CN"/>
              </w:rPr>
            </w:pPr>
            <w:r>
              <w:rPr>
                <w:rFonts w:hint="eastAsia"/>
                <w:color w:val="auto"/>
                <w:vertAlign w:val="baseline"/>
                <w:lang w:val="en-US" w:eastAsia="zh-CN"/>
              </w:rPr>
              <w:t>①P40已完善区域环境空气、地表水环境质量现状评价；</w:t>
            </w:r>
          </w:p>
          <w:p w14:paraId="173DC532">
            <w:pPr>
              <w:pStyle w:val="17"/>
              <w:bidi w:val="0"/>
              <w:jc w:val="both"/>
              <w:rPr>
                <w:rFonts w:hint="default"/>
                <w:color w:val="auto"/>
                <w:vertAlign w:val="baseline"/>
                <w:lang w:val="en-US" w:eastAsia="zh-CN"/>
              </w:rPr>
            </w:pPr>
            <w:r>
              <w:rPr>
                <w:rFonts w:hint="eastAsia"/>
                <w:color w:val="auto"/>
                <w:vertAlign w:val="baseline"/>
                <w:lang w:val="en-US" w:eastAsia="zh-CN"/>
              </w:rPr>
              <w:t>②P28已补充水泥装卸、料仓等无组织排放的颗粒物。。</w:t>
            </w:r>
          </w:p>
        </w:tc>
      </w:tr>
      <w:tr w14:paraId="6CB3B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vAlign w:val="center"/>
          </w:tcPr>
          <w:p w14:paraId="3B73A261">
            <w:pPr>
              <w:pStyle w:val="17"/>
              <w:bidi w:val="0"/>
              <w:jc w:val="center"/>
              <w:rPr>
                <w:rFonts w:hint="default"/>
                <w:color w:val="auto"/>
                <w:vertAlign w:val="baseline"/>
                <w:lang w:val="en-US" w:eastAsia="zh-CN"/>
              </w:rPr>
            </w:pPr>
            <w:r>
              <w:rPr>
                <w:rFonts w:hint="eastAsia"/>
                <w:color w:val="auto"/>
                <w:vertAlign w:val="baseline"/>
                <w:lang w:val="en-US" w:eastAsia="zh-CN"/>
              </w:rPr>
              <w:t>5</w:t>
            </w:r>
          </w:p>
        </w:tc>
        <w:tc>
          <w:tcPr>
            <w:tcW w:w="4725" w:type="dxa"/>
            <w:vAlign w:val="center"/>
          </w:tcPr>
          <w:p w14:paraId="2D3F85D3">
            <w:pPr>
              <w:pStyle w:val="17"/>
              <w:bidi w:val="0"/>
              <w:jc w:val="both"/>
              <w:rPr>
                <w:rFonts w:hint="default"/>
                <w:color w:val="auto"/>
                <w:vertAlign w:val="baseline"/>
                <w:lang w:val="en-US" w:eastAsia="zh-CN"/>
              </w:rPr>
            </w:pPr>
            <w:r>
              <w:rPr>
                <w:rFonts w:hint="eastAsia"/>
                <w:color w:val="auto"/>
                <w:vertAlign w:val="baseline"/>
                <w:lang w:val="en-US" w:eastAsia="zh-CN"/>
              </w:rPr>
              <w:t>核实有组织、无组织污染物产、排源强，提出原料入棚、喷雾抑尘、布袋除尘器、洗车平台等有针对性的防尘措施及要求，明确各产尘点的排放方式，明确捕集点、布袋除尘器的数量、风机的风量、排气筒的内径等技术参数（表4-5缺水泥入筒仓，是否采用二次除尘？执行的标准是GB 4915-2013，不是大气综排GB 16297-1996）。</w:t>
            </w:r>
          </w:p>
        </w:tc>
        <w:tc>
          <w:tcPr>
            <w:tcW w:w="3877" w:type="dxa"/>
            <w:vAlign w:val="center"/>
          </w:tcPr>
          <w:p w14:paraId="43C8BD0B">
            <w:pPr>
              <w:pStyle w:val="17"/>
              <w:bidi w:val="0"/>
              <w:jc w:val="both"/>
              <w:rPr>
                <w:rFonts w:hint="default"/>
                <w:color w:val="auto"/>
                <w:vertAlign w:val="baseline"/>
                <w:lang w:val="en-US" w:eastAsia="zh-CN"/>
              </w:rPr>
            </w:pPr>
            <w:r>
              <w:rPr>
                <w:rFonts w:hint="eastAsia"/>
                <w:color w:val="auto"/>
                <w:vertAlign w:val="baseline"/>
                <w:lang w:val="en-US" w:eastAsia="zh-CN"/>
              </w:rPr>
              <w:t>①第四章已核实有组织、无组织污染物产、排源强并提出防尘措施及要求，已明确各产尘点的排放方式，明确捕集点、布袋除尘器的数量、风机的风量、排气筒的内径等技术参数。</w:t>
            </w:r>
          </w:p>
        </w:tc>
      </w:tr>
      <w:tr w14:paraId="127E8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vAlign w:val="center"/>
          </w:tcPr>
          <w:p w14:paraId="0CAB24F2">
            <w:pPr>
              <w:pStyle w:val="17"/>
              <w:bidi w:val="0"/>
              <w:jc w:val="center"/>
              <w:rPr>
                <w:rFonts w:hint="default"/>
                <w:color w:val="auto"/>
                <w:vertAlign w:val="baseline"/>
                <w:lang w:val="en-US" w:eastAsia="zh-CN"/>
              </w:rPr>
            </w:pPr>
            <w:r>
              <w:rPr>
                <w:rFonts w:hint="eastAsia"/>
                <w:color w:val="auto"/>
                <w:vertAlign w:val="baseline"/>
                <w:lang w:val="en-US" w:eastAsia="zh-CN"/>
              </w:rPr>
              <w:t>6</w:t>
            </w:r>
          </w:p>
        </w:tc>
        <w:tc>
          <w:tcPr>
            <w:tcW w:w="4725" w:type="dxa"/>
            <w:vAlign w:val="center"/>
          </w:tcPr>
          <w:p w14:paraId="3244D982">
            <w:pPr>
              <w:pStyle w:val="17"/>
              <w:bidi w:val="0"/>
              <w:jc w:val="both"/>
              <w:rPr>
                <w:rFonts w:hint="default"/>
                <w:color w:val="auto"/>
                <w:vertAlign w:val="baseline"/>
                <w:lang w:val="en-US" w:eastAsia="zh-CN"/>
              </w:rPr>
            </w:pPr>
            <w:r>
              <w:rPr>
                <w:rFonts w:hint="eastAsia"/>
                <w:color w:val="auto"/>
                <w:vertAlign w:val="baseline"/>
                <w:lang w:val="en-US" w:eastAsia="zh-CN"/>
              </w:rPr>
              <w:t>根据场地地形，明确初雨池容积、个数、位置，说明初雨池收集范围；说明截排水沟和初雨收集管网建设要求。</w:t>
            </w:r>
          </w:p>
        </w:tc>
        <w:tc>
          <w:tcPr>
            <w:tcW w:w="3877" w:type="dxa"/>
            <w:vAlign w:val="center"/>
          </w:tcPr>
          <w:p w14:paraId="4912CACD">
            <w:pPr>
              <w:pStyle w:val="17"/>
              <w:bidi w:val="0"/>
              <w:jc w:val="both"/>
              <w:rPr>
                <w:rFonts w:hint="eastAsia"/>
                <w:color w:val="auto"/>
                <w:vertAlign w:val="baseline"/>
                <w:lang w:val="en-US" w:eastAsia="zh-CN"/>
              </w:rPr>
            </w:pPr>
            <w:r>
              <w:rPr>
                <w:rFonts w:hint="eastAsia"/>
                <w:color w:val="auto"/>
                <w:vertAlign w:val="baseline"/>
                <w:lang w:val="en-US" w:eastAsia="zh-CN"/>
              </w:rPr>
              <w:t>①P13已明确初雨池容积、个数、位置；</w:t>
            </w:r>
          </w:p>
          <w:p w14:paraId="6EDF6340">
            <w:pPr>
              <w:pStyle w:val="17"/>
              <w:bidi w:val="0"/>
              <w:jc w:val="both"/>
              <w:rPr>
                <w:rFonts w:hint="eastAsia"/>
                <w:color w:val="auto"/>
                <w:vertAlign w:val="baseline"/>
                <w:lang w:val="en-US" w:eastAsia="zh-CN"/>
              </w:rPr>
            </w:pPr>
            <w:r>
              <w:rPr>
                <w:rFonts w:hint="eastAsia"/>
                <w:color w:val="auto"/>
                <w:vertAlign w:val="baseline"/>
                <w:lang w:val="en-US" w:eastAsia="zh-CN"/>
              </w:rPr>
              <w:t>②P21已说明初雨池收集范围；</w:t>
            </w:r>
          </w:p>
          <w:p w14:paraId="07AB6C49">
            <w:pPr>
              <w:pStyle w:val="17"/>
              <w:bidi w:val="0"/>
              <w:jc w:val="both"/>
              <w:rPr>
                <w:rFonts w:hint="default"/>
                <w:color w:val="auto"/>
                <w:vertAlign w:val="baseline"/>
                <w:lang w:val="en-US" w:eastAsia="zh-CN"/>
              </w:rPr>
            </w:pPr>
            <w:r>
              <w:rPr>
                <w:rFonts w:hint="eastAsia"/>
                <w:color w:val="auto"/>
                <w:vertAlign w:val="baseline"/>
                <w:lang w:val="en-US" w:eastAsia="zh-CN"/>
              </w:rPr>
              <w:t>③P21已说明截排水沟和初雨收集管网建设要求</w:t>
            </w:r>
          </w:p>
        </w:tc>
      </w:tr>
      <w:tr w14:paraId="5882F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vAlign w:val="center"/>
          </w:tcPr>
          <w:p w14:paraId="1DE147CD">
            <w:pPr>
              <w:pStyle w:val="17"/>
              <w:bidi w:val="0"/>
              <w:jc w:val="center"/>
              <w:rPr>
                <w:rFonts w:hint="default"/>
                <w:color w:val="auto"/>
                <w:vertAlign w:val="baseline"/>
                <w:lang w:val="en-US" w:eastAsia="zh-CN"/>
              </w:rPr>
            </w:pPr>
            <w:r>
              <w:rPr>
                <w:rFonts w:hint="eastAsia"/>
                <w:color w:val="auto"/>
                <w:vertAlign w:val="baseline"/>
                <w:lang w:val="en-US" w:eastAsia="zh-CN"/>
              </w:rPr>
              <w:t>7</w:t>
            </w:r>
          </w:p>
        </w:tc>
        <w:tc>
          <w:tcPr>
            <w:tcW w:w="4725" w:type="dxa"/>
            <w:vAlign w:val="center"/>
          </w:tcPr>
          <w:p w14:paraId="34F05A24">
            <w:pPr>
              <w:pStyle w:val="17"/>
              <w:bidi w:val="0"/>
              <w:jc w:val="both"/>
              <w:rPr>
                <w:rFonts w:hint="default"/>
                <w:color w:val="auto"/>
                <w:vertAlign w:val="baseline"/>
                <w:lang w:val="en-US" w:eastAsia="zh-CN"/>
              </w:rPr>
            </w:pPr>
            <w:r>
              <w:rPr>
                <w:rFonts w:hint="eastAsia"/>
                <w:color w:val="auto"/>
                <w:vertAlign w:val="baseline"/>
                <w:lang w:val="en-US" w:eastAsia="zh-CN"/>
              </w:rPr>
              <w:t>补充制砖养护用水收集利用的方式，补充生活污水经化粪池处理后用作农肥消纳的可行性。</w:t>
            </w:r>
          </w:p>
        </w:tc>
        <w:tc>
          <w:tcPr>
            <w:tcW w:w="3877" w:type="dxa"/>
            <w:vAlign w:val="center"/>
          </w:tcPr>
          <w:p w14:paraId="10CC8D0E">
            <w:pPr>
              <w:pStyle w:val="17"/>
              <w:bidi w:val="0"/>
              <w:jc w:val="both"/>
              <w:rPr>
                <w:rFonts w:hint="eastAsia"/>
                <w:color w:val="auto"/>
                <w:vertAlign w:val="baseline"/>
                <w:lang w:val="en-US" w:eastAsia="zh-CN"/>
              </w:rPr>
            </w:pPr>
            <w:r>
              <w:rPr>
                <w:rFonts w:hint="eastAsia"/>
                <w:color w:val="auto"/>
                <w:vertAlign w:val="baseline"/>
                <w:lang w:val="en-US" w:eastAsia="zh-CN"/>
              </w:rPr>
              <w:t>①P18-19已补充制砖养护用水收集利用的方式；</w:t>
            </w:r>
          </w:p>
          <w:p w14:paraId="5FBEA042">
            <w:pPr>
              <w:pStyle w:val="17"/>
              <w:bidi w:val="0"/>
              <w:jc w:val="both"/>
              <w:rPr>
                <w:rFonts w:hint="default"/>
                <w:color w:val="auto"/>
                <w:vertAlign w:val="baseline"/>
                <w:lang w:val="en-US" w:eastAsia="zh-CN"/>
              </w:rPr>
            </w:pPr>
            <w:r>
              <w:rPr>
                <w:rFonts w:hint="eastAsia"/>
                <w:color w:val="auto"/>
                <w:vertAlign w:val="baseline"/>
                <w:lang w:val="en-US" w:eastAsia="zh-CN"/>
              </w:rPr>
              <w:t>②P14已补充生活污水经化粪池处理后用作农肥消纳的可行性。</w:t>
            </w:r>
          </w:p>
        </w:tc>
      </w:tr>
      <w:tr w14:paraId="5A59A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vAlign w:val="center"/>
          </w:tcPr>
          <w:p w14:paraId="489F28B2">
            <w:pPr>
              <w:pStyle w:val="17"/>
              <w:bidi w:val="0"/>
              <w:jc w:val="center"/>
              <w:rPr>
                <w:rFonts w:hint="default"/>
                <w:color w:val="auto"/>
                <w:vertAlign w:val="baseline"/>
                <w:lang w:val="en-US" w:eastAsia="zh-CN"/>
              </w:rPr>
            </w:pPr>
            <w:r>
              <w:rPr>
                <w:rFonts w:hint="eastAsia"/>
                <w:color w:val="auto"/>
                <w:vertAlign w:val="baseline"/>
                <w:lang w:val="en-US" w:eastAsia="zh-CN"/>
              </w:rPr>
              <w:t>8</w:t>
            </w:r>
          </w:p>
        </w:tc>
        <w:tc>
          <w:tcPr>
            <w:tcW w:w="4725" w:type="dxa"/>
            <w:vAlign w:val="center"/>
          </w:tcPr>
          <w:p w14:paraId="66716F42">
            <w:pPr>
              <w:pStyle w:val="17"/>
              <w:bidi w:val="0"/>
              <w:jc w:val="both"/>
              <w:rPr>
                <w:rFonts w:hint="default"/>
                <w:color w:val="auto"/>
                <w:vertAlign w:val="baseline"/>
                <w:lang w:val="en-US" w:eastAsia="zh-CN"/>
              </w:rPr>
            </w:pPr>
            <w:r>
              <w:rPr>
                <w:rFonts w:hint="eastAsia"/>
                <w:color w:val="auto"/>
                <w:vertAlign w:val="baseline"/>
                <w:lang w:val="en-US" w:eastAsia="zh-CN"/>
              </w:rPr>
              <w:t>完善项目平面布置图（图示各类原料及产品分区堆放位置及初雨池等环保设施的位置）；完善污染物排放量汇总表。</w:t>
            </w:r>
          </w:p>
        </w:tc>
        <w:tc>
          <w:tcPr>
            <w:tcW w:w="3877" w:type="dxa"/>
            <w:vAlign w:val="center"/>
          </w:tcPr>
          <w:p w14:paraId="41D65753">
            <w:pPr>
              <w:pStyle w:val="17"/>
              <w:bidi w:val="0"/>
              <w:jc w:val="both"/>
              <w:rPr>
                <w:rFonts w:hint="eastAsia"/>
                <w:color w:val="auto"/>
                <w:vertAlign w:val="baseline"/>
                <w:lang w:val="en-US" w:eastAsia="zh-CN"/>
              </w:rPr>
            </w:pPr>
            <w:r>
              <w:rPr>
                <w:rFonts w:hint="eastAsia"/>
                <w:color w:val="auto"/>
                <w:vertAlign w:val="baseline"/>
                <w:lang w:val="en-US" w:eastAsia="zh-CN"/>
              </w:rPr>
              <w:t>①P84已完善项目平面布置图；</w:t>
            </w:r>
          </w:p>
          <w:p w14:paraId="01405EFC">
            <w:pPr>
              <w:pStyle w:val="17"/>
              <w:bidi w:val="0"/>
              <w:jc w:val="both"/>
              <w:rPr>
                <w:rFonts w:hint="default"/>
                <w:color w:val="auto"/>
                <w:vertAlign w:val="baseline"/>
                <w:lang w:val="en-US" w:eastAsia="zh-CN"/>
              </w:rPr>
            </w:pPr>
            <w:r>
              <w:rPr>
                <w:rFonts w:hint="eastAsia"/>
                <w:color w:val="auto"/>
                <w:vertAlign w:val="baseline"/>
                <w:lang w:val="en-US" w:eastAsia="zh-CN"/>
              </w:rPr>
              <w:t>②P81已完善污染物排放量汇总表。</w:t>
            </w:r>
          </w:p>
        </w:tc>
      </w:tr>
    </w:tbl>
    <w:p w14:paraId="3C320B6F">
      <w:pPr>
        <w:pStyle w:val="5"/>
        <w:bidi w:val="0"/>
        <w:jc w:val="center"/>
        <w:rPr>
          <w:color w:val="auto"/>
          <w:lang w:val="en-US" w:eastAsia="zh-CN"/>
        </w:rPr>
      </w:pPr>
      <w:r>
        <w:rPr>
          <w:color w:val="auto"/>
          <w:lang w:val="en-US" w:eastAsia="zh-CN"/>
        </w:rPr>
        <w:br w:type="page"/>
      </w:r>
    </w:p>
    <w:sdt>
      <w:sdtPr>
        <w:rPr>
          <w:rFonts w:ascii="宋体" w:hAnsi="宋体" w:eastAsia="宋体" w:cs="Times New Roman"/>
          <w:color w:val="auto"/>
          <w:kern w:val="2"/>
          <w:sz w:val="21"/>
          <w:szCs w:val="24"/>
          <w:lang w:val="en-US" w:eastAsia="zh-CN" w:bidi="ar-SA"/>
        </w:rPr>
        <w:id w:val="147480038"/>
        <w15:color w:val="DBDBDB"/>
        <w:docPartObj>
          <w:docPartGallery w:val="Table of Contents"/>
          <w:docPartUnique/>
        </w:docPartObj>
      </w:sdtPr>
      <w:sdtEndPr>
        <w:rPr>
          <w:rFonts w:ascii="宋体" w:hAnsi="宋体" w:eastAsia="宋体" w:cs="Times New Roman"/>
          <w:color w:val="auto"/>
          <w:kern w:val="2"/>
          <w:sz w:val="21"/>
          <w:szCs w:val="24"/>
          <w:lang w:val="en-US" w:eastAsia="zh-CN" w:bidi="ar-SA"/>
        </w:rPr>
      </w:sdtEndPr>
      <w:sdtContent>
        <w:p w14:paraId="699A110A">
          <w:pPr>
            <w:pStyle w:val="2"/>
            <w:bidi w:val="0"/>
            <w:rPr>
              <w:color w:val="auto"/>
            </w:rPr>
          </w:pPr>
          <w:bookmarkStart w:id="6" w:name="_Toc9482"/>
          <w:bookmarkStart w:id="7" w:name="_Toc16275"/>
          <w:bookmarkStart w:id="8" w:name="_Toc32371"/>
          <w:bookmarkStart w:id="9" w:name="_Toc10609"/>
          <w:r>
            <w:rPr>
              <w:rFonts w:ascii="宋体" w:hAnsi="宋体" w:eastAsia="宋体"/>
              <w:color w:val="auto"/>
              <w:sz w:val="30"/>
              <w:szCs w:val="30"/>
            </w:rPr>
            <w:t>目</w:t>
          </w:r>
          <w:r>
            <w:rPr>
              <w:rFonts w:hint="eastAsia" w:ascii="宋体" w:hAnsi="宋体" w:eastAsia="宋体"/>
              <w:color w:val="auto"/>
              <w:sz w:val="30"/>
              <w:szCs w:val="30"/>
              <w:lang w:val="en-US" w:eastAsia="zh-CN"/>
            </w:rPr>
            <w:t xml:space="preserve">  </w:t>
          </w:r>
          <w:r>
            <w:rPr>
              <w:rFonts w:ascii="宋体" w:hAnsi="宋体" w:eastAsia="宋体"/>
              <w:color w:val="auto"/>
              <w:sz w:val="30"/>
              <w:szCs w:val="30"/>
            </w:rPr>
            <w:t>录</w:t>
          </w:r>
          <w:bookmarkEnd w:id="6"/>
          <w:bookmarkEnd w:id="7"/>
          <w:bookmarkEnd w:id="8"/>
          <w:bookmarkEnd w:id="9"/>
        </w:p>
        <w:p w14:paraId="49172668">
          <w:pPr>
            <w:pStyle w:val="10"/>
            <w:keepNext w:val="0"/>
            <w:keepLines w:val="0"/>
            <w:pageBreakBefore w:val="0"/>
            <w:widowControl w:val="0"/>
            <w:tabs>
              <w:tab w:val="right" w:leader="dot" w:pos="8844"/>
            </w:tabs>
            <w:kinsoku/>
            <w:wordWrap/>
            <w:overflowPunct/>
            <w:topLinePunct w:val="0"/>
            <w:autoSpaceDE/>
            <w:autoSpaceDN/>
            <w:bidi w:val="0"/>
            <w:adjustRightInd w:val="0"/>
            <w:snapToGrid w:val="0"/>
            <w:ind w:firstLine="0" w:firstLineChars="0"/>
            <w:textAlignment w:val="auto"/>
            <w:rPr>
              <w:color w:val="auto"/>
            </w:rPr>
          </w:pPr>
          <w:r>
            <w:rPr>
              <w:color w:val="auto"/>
            </w:rPr>
            <w:fldChar w:fldCharType="begin"/>
          </w:r>
          <w:r>
            <w:rPr>
              <w:color w:val="auto"/>
            </w:rPr>
            <w:instrText xml:space="preserve">TOC \o "1-3" \h \u </w:instrText>
          </w:r>
          <w:r>
            <w:rPr>
              <w:color w:val="auto"/>
            </w:rPr>
            <w:fldChar w:fldCharType="separate"/>
          </w:r>
          <w:r>
            <w:rPr>
              <w:color w:val="auto"/>
            </w:rPr>
            <w:fldChar w:fldCharType="begin"/>
          </w:r>
          <w:r>
            <w:rPr>
              <w:color w:val="auto"/>
            </w:rPr>
            <w:instrText xml:space="preserve"> HYPERLINK \l _Toc1532 </w:instrText>
          </w:r>
          <w:r>
            <w:rPr>
              <w:color w:val="auto"/>
            </w:rPr>
            <w:fldChar w:fldCharType="separate"/>
          </w:r>
          <w:r>
            <w:rPr>
              <w:rFonts w:hint="eastAsia"/>
              <w:color w:val="auto"/>
            </w:rPr>
            <w:t>一、建设项目基本情况</w:t>
          </w:r>
          <w:r>
            <w:rPr>
              <w:color w:val="auto"/>
            </w:rPr>
            <w:tab/>
          </w:r>
          <w:r>
            <w:rPr>
              <w:color w:val="auto"/>
            </w:rPr>
            <w:fldChar w:fldCharType="begin"/>
          </w:r>
          <w:r>
            <w:rPr>
              <w:color w:val="auto"/>
            </w:rPr>
            <w:instrText xml:space="preserve"> PAGEREF _Toc1532 \h </w:instrText>
          </w:r>
          <w:r>
            <w:rPr>
              <w:color w:val="auto"/>
            </w:rPr>
            <w:fldChar w:fldCharType="separate"/>
          </w:r>
          <w:r>
            <w:rPr>
              <w:color w:val="auto"/>
            </w:rPr>
            <w:t>1</w:t>
          </w:r>
          <w:r>
            <w:rPr>
              <w:color w:val="auto"/>
            </w:rPr>
            <w:fldChar w:fldCharType="end"/>
          </w:r>
          <w:r>
            <w:rPr>
              <w:color w:val="auto"/>
            </w:rPr>
            <w:fldChar w:fldCharType="end"/>
          </w:r>
        </w:p>
        <w:p w14:paraId="25A22378">
          <w:pPr>
            <w:pStyle w:val="10"/>
            <w:keepNext w:val="0"/>
            <w:keepLines w:val="0"/>
            <w:pageBreakBefore w:val="0"/>
            <w:widowControl w:val="0"/>
            <w:tabs>
              <w:tab w:val="right" w:leader="dot" w:pos="8844"/>
            </w:tabs>
            <w:kinsoku/>
            <w:wordWrap/>
            <w:overflowPunct/>
            <w:topLinePunct w:val="0"/>
            <w:autoSpaceDE/>
            <w:autoSpaceDN/>
            <w:bidi w:val="0"/>
            <w:adjustRightInd w:val="0"/>
            <w:snapToGrid w:val="0"/>
            <w:ind w:firstLine="0" w:firstLineChars="0"/>
            <w:textAlignment w:val="auto"/>
            <w:rPr>
              <w:color w:val="auto"/>
            </w:rPr>
          </w:pPr>
          <w:r>
            <w:rPr>
              <w:color w:val="auto"/>
            </w:rPr>
            <w:fldChar w:fldCharType="begin"/>
          </w:r>
          <w:r>
            <w:rPr>
              <w:color w:val="auto"/>
            </w:rPr>
            <w:instrText xml:space="preserve"> HYPERLINK \l _Toc6070 </w:instrText>
          </w:r>
          <w:r>
            <w:rPr>
              <w:color w:val="auto"/>
            </w:rPr>
            <w:fldChar w:fldCharType="separate"/>
          </w:r>
          <w:r>
            <w:rPr>
              <w:rFonts w:hint="eastAsia"/>
              <w:color w:val="auto"/>
            </w:rPr>
            <w:t>二、建设项目工程分析</w:t>
          </w:r>
          <w:r>
            <w:rPr>
              <w:color w:val="auto"/>
            </w:rPr>
            <w:tab/>
          </w:r>
          <w:r>
            <w:rPr>
              <w:color w:val="auto"/>
            </w:rPr>
            <w:fldChar w:fldCharType="begin"/>
          </w:r>
          <w:r>
            <w:rPr>
              <w:color w:val="auto"/>
            </w:rPr>
            <w:instrText xml:space="preserve"> PAGEREF _Toc6070 \h </w:instrText>
          </w:r>
          <w:r>
            <w:rPr>
              <w:color w:val="auto"/>
            </w:rPr>
            <w:fldChar w:fldCharType="separate"/>
          </w:r>
          <w:r>
            <w:rPr>
              <w:color w:val="auto"/>
            </w:rPr>
            <w:t>11</w:t>
          </w:r>
          <w:r>
            <w:rPr>
              <w:color w:val="auto"/>
            </w:rPr>
            <w:fldChar w:fldCharType="end"/>
          </w:r>
          <w:r>
            <w:rPr>
              <w:color w:val="auto"/>
            </w:rPr>
            <w:fldChar w:fldCharType="end"/>
          </w:r>
        </w:p>
        <w:p w14:paraId="4816F824">
          <w:pPr>
            <w:pStyle w:val="10"/>
            <w:keepNext w:val="0"/>
            <w:keepLines w:val="0"/>
            <w:pageBreakBefore w:val="0"/>
            <w:widowControl w:val="0"/>
            <w:tabs>
              <w:tab w:val="right" w:leader="dot" w:pos="8844"/>
            </w:tabs>
            <w:kinsoku/>
            <w:wordWrap/>
            <w:overflowPunct/>
            <w:topLinePunct w:val="0"/>
            <w:autoSpaceDE/>
            <w:autoSpaceDN/>
            <w:bidi w:val="0"/>
            <w:adjustRightInd w:val="0"/>
            <w:snapToGrid w:val="0"/>
            <w:ind w:firstLine="0" w:firstLineChars="0"/>
            <w:textAlignment w:val="auto"/>
            <w:rPr>
              <w:color w:val="auto"/>
            </w:rPr>
          </w:pPr>
          <w:r>
            <w:rPr>
              <w:color w:val="auto"/>
            </w:rPr>
            <w:fldChar w:fldCharType="begin"/>
          </w:r>
          <w:r>
            <w:rPr>
              <w:color w:val="auto"/>
            </w:rPr>
            <w:instrText xml:space="preserve"> HYPERLINK \l _Toc31260 </w:instrText>
          </w:r>
          <w:r>
            <w:rPr>
              <w:color w:val="auto"/>
            </w:rPr>
            <w:fldChar w:fldCharType="separate"/>
          </w:r>
          <w:r>
            <w:rPr>
              <w:rFonts w:hint="eastAsia"/>
              <w:color w:val="auto"/>
            </w:rPr>
            <w:t>三、区域环境质量现状、环境保护目标及评价标准</w:t>
          </w:r>
          <w:r>
            <w:rPr>
              <w:color w:val="auto"/>
            </w:rPr>
            <w:tab/>
          </w:r>
          <w:r>
            <w:rPr>
              <w:color w:val="auto"/>
            </w:rPr>
            <w:fldChar w:fldCharType="begin"/>
          </w:r>
          <w:r>
            <w:rPr>
              <w:color w:val="auto"/>
            </w:rPr>
            <w:instrText xml:space="preserve"> PAGEREF _Toc31260 \h </w:instrText>
          </w:r>
          <w:r>
            <w:rPr>
              <w:color w:val="auto"/>
            </w:rPr>
            <w:fldChar w:fldCharType="separate"/>
          </w:r>
          <w:r>
            <w:rPr>
              <w:color w:val="auto"/>
            </w:rPr>
            <w:t>39</w:t>
          </w:r>
          <w:r>
            <w:rPr>
              <w:color w:val="auto"/>
            </w:rPr>
            <w:fldChar w:fldCharType="end"/>
          </w:r>
          <w:r>
            <w:rPr>
              <w:color w:val="auto"/>
            </w:rPr>
            <w:fldChar w:fldCharType="end"/>
          </w:r>
        </w:p>
        <w:p w14:paraId="2B32150F">
          <w:pPr>
            <w:pStyle w:val="10"/>
            <w:keepNext w:val="0"/>
            <w:keepLines w:val="0"/>
            <w:pageBreakBefore w:val="0"/>
            <w:widowControl w:val="0"/>
            <w:tabs>
              <w:tab w:val="right" w:leader="dot" w:pos="8844"/>
            </w:tabs>
            <w:kinsoku/>
            <w:wordWrap/>
            <w:overflowPunct/>
            <w:topLinePunct w:val="0"/>
            <w:autoSpaceDE/>
            <w:autoSpaceDN/>
            <w:bidi w:val="0"/>
            <w:adjustRightInd w:val="0"/>
            <w:snapToGrid w:val="0"/>
            <w:ind w:firstLine="0" w:firstLineChars="0"/>
            <w:textAlignment w:val="auto"/>
            <w:rPr>
              <w:color w:val="auto"/>
            </w:rPr>
          </w:pPr>
          <w:r>
            <w:rPr>
              <w:color w:val="auto"/>
            </w:rPr>
            <w:fldChar w:fldCharType="begin"/>
          </w:r>
          <w:r>
            <w:rPr>
              <w:color w:val="auto"/>
            </w:rPr>
            <w:instrText xml:space="preserve"> HYPERLINK \l _Toc6567 </w:instrText>
          </w:r>
          <w:r>
            <w:rPr>
              <w:color w:val="auto"/>
            </w:rPr>
            <w:fldChar w:fldCharType="separate"/>
          </w:r>
          <w:r>
            <w:rPr>
              <w:rFonts w:hint="eastAsia"/>
              <w:color w:val="auto"/>
            </w:rPr>
            <w:t>四、主要环境影响和保护措施</w:t>
          </w:r>
          <w:r>
            <w:rPr>
              <w:color w:val="auto"/>
            </w:rPr>
            <w:tab/>
          </w:r>
          <w:r>
            <w:rPr>
              <w:color w:val="auto"/>
            </w:rPr>
            <w:fldChar w:fldCharType="begin"/>
          </w:r>
          <w:r>
            <w:rPr>
              <w:color w:val="auto"/>
            </w:rPr>
            <w:instrText xml:space="preserve"> PAGEREF _Toc6567 \h </w:instrText>
          </w:r>
          <w:r>
            <w:rPr>
              <w:color w:val="auto"/>
            </w:rPr>
            <w:fldChar w:fldCharType="separate"/>
          </w:r>
          <w:r>
            <w:rPr>
              <w:color w:val="auto"/>
            </w:rPr>
            <w:t>46</w:t>
          </w:r>
          <w:r>
            <w:rPr>
              <w:color w:val="auto"/>
            </w:rPr>
            <w:fldChar w:fldCharType="end"/>
          </w:r>
          <w:r>
            <w:rPr>
              <w:color w:val="auto"/>
            </w:rPr>
            <w:fldChar w:fldCharType="end"/>
          </w:r>
        </w:p>
        <w:p w14:paraId="6039D11F">
          <w:pPr>
            <w:pStyle w:val="10"/>
            <w:keepNext w:val="0"/>
            <w:keepLines w:val="0"/>
            <w:pageBreakBefore w:val="0"/>
            <w:widowControl w:val="0"/>
            <w:tabs>
              <w:tab w:val="right" w:leader="dot" w:pos="8844"/>
            </w:tabs>
            <w:kinsoku/>
            <w:wordWrap/>
            <w:overflowPunct/>
            <w:topLinePunct w:val="0"/>
            <w:autoSpaceDE/>
            <w:autoSpaceDN/>
            <w:bidi w:val="0"/>
            <w:adjustRightInd w:val="0"/>
            <w:snapToGrid w:val="0"/>
            <w:ind w:firstLine="0" w:firstLineChars="0"/>
            <w:textAlignment w:val="auto"/>
            <w:rPr>
              <w:color w:val="auto"/>
            </w:rPr>
          </w:pPr>
          <w:r>
            <w:rPr>
              <w:color w:val="auto"/>
            </w:rPr>
            <w:fldChar w:fldCharType="begin"/>
          </w:r>
          <w:r>
            <w:rPr>
              <w:color w:val="auto"/>
            </w:rPr>
            <w:instrText xml:space="preserve"> HYPERLINK \l _Toc21295 </w:instrText>
          </w:r>
          <w:r>
            <w:rPr>
              <w:color w:val="auto"/>
            </w:rPr>
            <w:fldChar w:fldCharType="separate"/>
          </w:r>
          <w:r>
            <w:rPr>
              <w:rFonts w:hint="eastAsia"/>
              <w:color w:val="auto"/>
            </w:rPr>
            <w:t>五、环境保护措施监督检查清单</w:t>
          </w:r>
          <w:r>
            <w:rPr>
              <w:color w:val="auto"/>
            </w:rPr>
            <w:tab/>
          </w:r>
          <w:r>
            <w:rPr>
              <w:color w:val="auto"/>
            </w:rPr>
            <w:fldChar w:fldCharType="begin"/>
          </w:r>
          <w:r>
            <w:rPr>
              <w:color w:val="auto"/>
            </w:rPr>
            <w:instrText xml:space="preserve"> PAGEREF _Toc21295 \h </w:instrText>
          </w:r>
          <w:r>
            <w:rPr>
              <w:color w:val="auto"/>
            </w:rPr>
            <w:fldChar w:fldCharType="separate"/>
          </w:r>
          <w:r>
            <w:rPr>
              <w:color w:val="auto"/>
            </w:rPr>
            <w:t>76</w:t>
          </w:r>
          <w:r>
            <w:rPr>
              <w:color w:val="auto"/>
            </w:rPr>
            <w:fldChar w:fldCharType="end"/>
          </w:r>
          <w:r>
            <w:rPr>
              <w:color w:val="auto"/>
            </w:rPr>
            <w:fldChar w:fldCharType="end"/>
          </w:r>
        </w:p>
        <w:p w14:paraId="47FAAAEE">
          <w:pPr>
            <w:pStyle w:val="10"/>
            <w:keepNext w:val="0"/>
            <w:keepLines w:val="0"/>
            <w:pageBreakBefore w:val="0"/>
            <w:widowControl w:val="0"/>
            <w:tabs>
              <w:tab w:val="right" w:leader="dot" w:pos="8844"/>
            </w:tabs>
            <w:kinsoku/>
            <w:wordWrap/>
            <w:overflowPunct/>
            <w:topLinePunct w:val="0"/>
            <w:autoSpaceDE/>
            <w:autoSpaceDN/>
            <w:bidi w:val="0"/>
            <w:adjustRightInd w:val="0"/>
            <w:snapToGrid w:val="0"/>
            <w:ind w:firstLine="0" w:firstLineChars="0"/>
            <w:textAlignment w:val="auto"/>
            <w:rPr>
              <w:color w:val="auto"/>
            </w:rPr>
          </w:pPr>
          <w:r>
            <w:rPr>
              <w:color w:val="auto"/>
            </w:rPr>
            <w:fldChar w:fldCharType="begin"/>
          </w:r>
          <w:r>
            <w:rPr>
              <w:color w:val="auto"/>
            </w:rPr>
            <w:instrText xml:space="preserve"> HYPERLINK \l _Toc11621 </w:instrText>
          </w:r>
          <w:r>
            <w:rPr>
              <w:color w:val="auto"/>
            </w:rPr>
            <w:fldChar w:fldCharType="separate"/>
          </w:r>
          <w:r>
            <w:rPr>
              <w:rFonts w:hint="eastAsia"/>
              <w:color w:val="auto"/>
            </w:rPr>
            <w:t>六、结论</w:t>
          </w:r>
          <w:r>
            <w:rPr>
              <w:color w:val="auto"/>
            </w:rPr>
            <w:tab/>
          </w:r>
          <w:r>
            <w:rPr>
              <w:color w:val="auto"/>
            </w:rPr>
            <w:fldChar w:fldCharType="begin"/>
          </w:r>
          <w:r>
            <w:rPr>
              <w:color w:val="auto"/>
            </w:rPr>
            <w:instrText xml:space="preserve"> PAGEREF _Toc11621 \h </w:instrText>
          </w:r>
          <w:r>
            <w:rPr>
              <w:color w:val="auto"/>
            </w:rPr>
            <w:fldChar w:fldCharType="separate"/>
          </w:r>
          <w:r>
            <w:rPr>
              <w:color w:val="auto"/>
            </w:rPr>
            <w:t>79</w:t>
          </w:r>
          <w:r>
            <w:rPr>
              <w:color w:val="auto"/>
            </w:rPr>
            <w:fldChar w:fldCharType="end"/>
          </w:r>
          <w:r>
            <w:rPr>
              <w:color w:val="auto"/>
            </w:rPr>
            <w:fldChar w:fldCharType="end"/>
          </w:r>
        </w:p>
        <w:p w14:paraId="2F9F8C74">
          <w:pPr>
            <w:pStyle w:val="10"/>
            <w:keepNext w:val="0"/>
            <w:keepLines w:val="0"/>
            <w:pageBreakBefore w:val="0"/>
            <w:widowControl w:val="0"/>
            <w:tabs>
              <w:tab w:val="right" w:leader="dot" w:pos="8844"/>
            </w:tabs>
            <w:kinsoku/>
            <w:wordWrap/>
            <w:overflowPunct/>
            <w:topLinePunct w:val="0"/>
            <w:autoSpaceDE/>
            <w:autoSpaceDN/>
            <w:bidi w:val="0"/>
            <w:adjustRightInd w:val="0"/>
            <w:snapToGrid w:val="0"/>
            <w:ind w:firstLine="0" w:firstLineChars="0"/>
            <w:textAlignment w:val="auto"/>
            <w:rPr>
              <w:color w:val="auto"/>
            </w:rPr>
          </w:pPr>
          <w:r>
            <w:rPr>
              <w:color w:val="auto"/>
            </w:rPr>
            <w:fldChar w:fldCharType="begin"/>
          </w:r>
          <w:r>
            <w:rPr>
              <w:color w:val="auto"/>
            </w:rPr>
            <w:instrText xml:space="preserve"> HYPERLINK \l _Toc8336 </w:instrText>
          </w:r>
          <w:r>
            <w:rPr>
              <w:color w:val="auto"/>
            </w:rPr>
            <w:fldChar w:fldCharType="separate"/>
          </w:r>
          <w:r>
            <w:rPr>
              <w:rFonts w:hint="eastAsia"/>
              <w:color w:val="auto"/>
            </w:rPr>
            <w:t>附表</w:t>
          </w:r>
          <w:r>
            <w:rPr>
              <w:color w:val="auto"/>
            </w:rPr>
            <w:tab/>
          </w:r>
          <w:r>
            <w:rPr>
              <w:color w:val="auto"/>
            </w:rPr>
            <w:fldChar w:fldCharType="begin"/>
          </w:r>
          <w:r>
            <w:rPr>
              <w:color w:val="auto"/>
            </w:rPr>
            <w:instrText xml:space="preserve"> PAGEREF _Toc8336 \h </w:instrText>
          </w:r>
          <w:r>
            <w:rPr>
              <w:color w:val="auto"/>
            </w:rPr>
            <w:fldChar w:fldCharType="separate"/>
          </w:r>
          <w:r>
            <w:rPr>
              <w:color w:val="auto"/>
            </w:rPr>
            <w:t>80</w:t>
          </w:r>
          <w:r>
            <w:rPr>
              <w:color w:val="auto"/>
            </w:rPr>
            <w:fldChar w:fldCharType="end"/>
          </w:r>
          <w:r>
            <w:rPr>
              <w:color w:val="auto"/>
            </w:rPr>
            <w:fldChar w:fldCharType="end"/>
          </w:r>
        </w:p>
        <w:p w14:paraId="164CEB04">
          <w:pPr>
            <w:pStyle w:val="10"/>
            <w:keepNext w:val="0"/>
            <w:keepLines w:val="0"/>
            <w:pageBreakBefore w:val="0"/>
            <w:widowControl w:val="0"/>
            <w:tabs>
              <w:tab w:val="right" w:leader="dot" w:pos="8844"/>
            </w:tabs>
            <w:kinsoku/>
            <w:wordWrap/>
            <w:overflowPunct/>
            <w:topLinePunct w:val="0"/>
            <w:autoSpaceDE/>
            <w:autoSpaceDN/>
            <w:bidi w:val="0"/>
            <w:adjustRightInd w:val="0"/>
            <w:snapToGrid w:val="0"/>
            <w:ind w:firstLine="0" w:firstLineChars="0"/>
            <w:textAlignment w:val="auto"/>
            <w:rPr>
              <w:color w:val="auto"/>
            </w:rPr>
          </w:pPr>
          <w:r>
            <w:rPr>
              <w:color w:val="auto"/>
            </w:rPr>
            <w:fldChar w:fldCharType="begin"/>
          </w:r>
          <w:r>
            <w:rPr>
              <w:color w:val="auto"/>
            </w:rPr>
            <w:instrText xml:space="preserve"> HYPERLINK \l _Toc12032 </w:instrText>
          </w:r>
          <w:r>
            <w:rPr>
              <w:color w:val="auto"/>
            </w:rPr>
            <w:fldChar w:fldCharType="separate"/>
          </w:r>
          <w:r>
            <w:rPr>
              <w:rFonts w:hint="eastAsia"/>
              <w:color w:val="auto"/>
              <w:lang w:val="en-US" w:eastAsia="zh-CN"/>
            </w:rPr>
            <w:t>附图1 项目地理位置图</w:t>
          </w:r>
          <w:r>
            <w:rPr>
              <w:color w:val="auto"/>
            </w:rPr>
            <w:tab/>
          </w:r>
          <w:r>
            <w:rPr>
              <w:color w:val="auto"/>
            </w:rPr>
            <w:fldChar w:fldCharType="begin"/>
          </w:r>
          <w:r>
            <w:rPr>
              <w:color w:val="auto"/>
            </w:rPr>
            <w:instrText xml:space="preserve"> PAGEREF _Toc12032 \h </w:instrText>
          </w:r>
          <w:r>
            <w:rPr>
              <w:color w:val="auto"/>
            </w:rPr>
            <w:fldChar w:fldCharType="separate"/>
          </w:r>
          <w:r>
            <w:rPr>
              <w:color w:val="auto"/>
            </w:rPr>
            <w:t>82</w:t>
          </w:r>
          <w:r>
            <w:rPr>
              <w:color w:val="auto"/>
            </w:rPr>
            <w:fldChar w:fldCharType="end"/>
          </w:r>
          <w:r>
            <w:rPr>
              <w:color w:val="auto"/>
            </w:rPr>
            <w:fldChar w:fldCharType="end"/>
          </w:r>
        </w:p>
        <w:p w14:paraId="20078CF1">
          <w:pPr>
            <w:pStyle w:val="10"/>
            <w:keepNext w:val="0"/>
            <w:keepLines w:val="0"/>
            <w:pageBreakBefore w:val="0"/>
            <w:widowControl w:val="0"/>
            <w:tabs>
              <w:tab w:val="right" w:leader="dot" w:pos="8844"/>
            </w:tabs>
            <w:kinsoku/>
            <w:wordWrap/>
            <w:overflowPunct/>
            <w:topLinePunct w:val="0"/>
            <w:autoSpaceDE/>
            <w:autoSpaceDN/>
            <w:bidi w:val="0"/>
            <w:adjustRightInd w:val="0"/>
            <w:snapToGrid w:val="0"/>
            <w:ind w:firstLine="0" w:firstLineChars="0"/>
            <w:textAlignment w:val="auto"/>
            <w:rPr>
              <w:color w:val="auto"/>
            </w:rPr>
          </w:pPr>
          <w:r>
            <w:rPr>
              <w:color w:val="auto"/>
            </w:rPr>
            <w:fldChar w:fldCharType="begin"/>
          </w:r>
          <w:r>
            <w:rPr>
              <w:color w:val="auto"/>
            </w:rPr>
            <w:instrText xml:space="preserve"> HYPERLINK \l _Toc5298 </w:instrText>
          </w:r>
          <w:r>
            <w:rPr>
              <w:color w:val="auto"/>
            </w:rPr>
            <w:fldChar w:fldCharType="separate"/>
          </w:r>
          <w:r>
            <w:rPr>
              <w:rFonts w:hint="eastAsia"/>
              <w:color w:val="auto"/>
              <w:lang w:val="en-US" w:eastAsia="zh-CN"/>
            </w:rPr>
            <w:t>附图2 项目总平面布置图</w:t>
          </w:r>
          <w:r>
            <w:rPr>
              <w:color w:val="auto"/>
            </w:rPr>
            <w:tab/>
          </w:r>
          <w:r>
            <w:rPr>
              <w:color w:val="auto"/>
            </w:rPr>
            <w:fldChar w:fldCharType="begin"/>
          </w:r>
          <w:r>
            <w:rPr>
              <w:color w:val="auto"/>
            </w:rPr>
            <w:instrText xml:space="preserve"> PAGEREF _Toc5298 \h </w:instrText>
          </w:r>
          <w:r>
            <w:rPr>
              <w:color w:val="auto"/>
            </w:rPr>
            <w:fldChar w:fldCharType="separate"/>
          </w:r>
          <w:r>
            <w:rPr>
              <w:color w:val="auto"/>
            </w:rPr>
            <w:t>83</w:t>
          </w:r>
          <w:r>
            <w:rPr>
              <w:color w:val="auto"/>
            </w:rPr>
            <w:fldChar w:fldCharType="end"/>
          </w:r>
          <w:r>
            <w:rPr>
              <w:color w:val="auto"/>
            </w:rPr>
            <w:fldChar w:fldCharType="end"/>
          </w:r>
        </w:p>
        <w:p w14:paraId="44626D34">
          <w:pPr>
            <w:pStyle w:val="10"/>
            <w:keepNext w:val="0"/>
            <w:keepLines w:val="0"/>
            <w:pageBreakBefore w:val="0"/>
            <w:widowControl w:val="0"/>
            <w:tabs>
              <w:tab w:val="right" w:leader="dot" w:pos="8844"/>
            </w:tabs>
            <w:kinsoku/>
            <w:wordWrap/>
            <w:overflowPunct/>
            <w:topLinePunct w:val="0"/>
            <w:autoSpaceDE/>
            <w:autoSpaceDN/>
            <w:bidi w:val="0"/>
            <w:adjustRightInd w:val="0"/>
            <w:snapToGrid w:val="0"/>
            <w:ind w:firstLine="0" w:firstLineChars="0"/>
            <w:textAlignment w:val="auto"/>
            <w:rPr>
              <w:color w:val="auto"/>
            </w:rPr>
          </w:pPr>
          <w:r>
            <w:rPr>
              <w:color w:val="auto"/>
            </w:rPr>
            <w:fldChar w:fldCharType="begin"/>
          </w:r>
          <w:r>
            <w:rPr>
              <w:color w:val="auto"/>
            </w:rPr>
            <w:instrText xml:space="preserve"> HYPERLINK \l _Toc15273 </w:instrText>
          </w:r>
          <w:r>
            <w:rPr>
              <w:color w:val="auto"/>
            </w:rPr>
            <w:fldChar w:fldCharType="separate"/>
          </w:r>
          <w:r>
            <w:rPr>
              <w:rFonts w:hint="eastAsia"/>
              <w:color w:val="auto"/>
              <w:lang w:val="en-US" w:eastAsia="zh-CN"/>
            </w:rPr>
            <w:t>附图3 项目环境保护目标分布图</w:t>
          </w:r>
          <w:r>
            <w:rPr>
              <w:color w:val="auto"/>
            </w:rPr>
            <w:tab/>
          </w:r>
          <w:r>
            <w:rPr>
              <w:color w:val="auto"/>
            </w:rPr>
            <w:fldChar w:fldCharType="begin"/>
          </w:r>
          <w:r>
            <w:rPr>
              <w:color w:val="auto"/>
            </w:rPr>
            <w:instrText xml:space="preserve"> PAGEREF _Toc15273 \h </w:instrText>
          </w:r>
          <w:r>
            <w:rPr>
              <w:color w:val="auto"/>
            </w:rPr>
            <w:fldChar w:fldCharType="separate"/>
          </w:r>
          <w:r>
            <w:rPr>
              <w:color w:val="auto"/>
            </w:rPr>
            <w:t>84</w:t>
          </w:r>
          <w:r>
            <w:rPr>
              <w:color w:val="auto"/>
            </w:rPr>
            <w:fldChar w:fldCharType="end"/>
          </w:r>
          <w:r>
            <w:rPr>
              <w:color w:val="auto"/>
            </w:rPr>
            <w:fldChar w:fldCharType="end"/>
          </w:r>
        </w:p>
        <w:p w14:paraId="6E4FAA90">
          <w:pPr>
            <w:pStyle w:val="10"/>
            <w:keepNext w:val="0"/>
            <w:keepLines w:val="0"/>
            <w:pageBreakBefore w:val="0"/>
            <w:widowControl w:val="0"/>
            <w:tabs>
              <w:tab w:val="right" w:leader="dot" w:pos="8844"/>
            </w:tabs>
            <w:kinsoku/>
            <w:wordWrap/>
            <w:overflowPunct/>
            <w:topLinePunct w:val="0"/>
            <w:autoSpaceDE/>
            <w:autoSpaceDN/>
            <w:bidi w:val="0"/>
            <w:adjustRightInd w:val="0"/>
            <w:snapToGrid w:val="0"/>
            <w:ind w:firstLine="0" w:firstLineChars="0"/>
            <w:textAlignment w:val="auto"/>
            <w:rPr>
              <w:color w:val="auto"/>
            </w:rPr>
          </w:pPr>
          <w:r>
            <w:rPr>
              <w:color w:val="auto"/>
            </w:rPr>
            <w:fldChar w:fldCharType="begin"/>
          </w:r>
          <w:r>
            <w:rPr>
              <w:color w:val="auto"/>
            </w:rPr>
            <w:instrText xml:space="preserve"> HYPERLINK \l _Toc27018 </w:instrText>
          </w:r>
          <w:r>
            <w:rPr>
              <w:color w:val="auto"/>
            </w:rPr>
            <w:fldChar w:fldCharType="separate"/>
          </w:r>
          <w:r>
            <w:rPr>
              <w:rFonts w:hint="eastAsia"/>
              <w:color w:val="auto"/>
              <w:lang w:val="en-US" w:eastAsia="zh-CN"/>
            </w:rPr>
            <w:t>附图4 本项目噪声检测布点图</w:t>
          </w:r>
          <w:r>
            <w:rPr>
              <w:color w:val="auto"/>
            </w:rPr>
            <w:tab/>
          </w:r>
          <w:r>
            <w:rPr>
              <w:color w:val="auto"/>
            </w:rPr>
            <w:fldChar w:fldCharType="begin"/>
          </w:r>
          <w:r>
            <w:rPr>
              <w:color w:val="auto"/>
            </w:rPr>
            <w:instrText xml:space="preserve"> PAGEREF _Toc27018 \h </w:instrText>
          </w:r>
          <w:r>
            <w:rPr>
              <w:color w:val="auto"/>
            </w:rPr>
            <w:fldChar w:fldCharType="separate"/>
          </w:r>
          <w:r>
            <w:rPr>
              <w:color w:val="auto"/>
            </w:rPr>
            <w:t>85</w:t>
          </w:r>
          <w:r>
            <w:rPr>
              <w:color w:val="auto"/>
            </w:rPr>
            <w:fldChar w:fldCharType="end"/>
          </w:r>
          <w:r>
            <w:rPr>
              <w:color w:val="auto"/>
            </w:rPr>
            <w:fldChar w:fldCharType="end"/>
          </w:r>
        </w:p>
        <w:p w14:paraId="3B33C7BD">
          <w:pPr>
            <w:pStyle w:val="10"/>
            <w:keepNext w:val="0"/>
            <w:keepLines w:val="0"/>
            <w:pageBreakBefore w:val="0"/>
            <w:widowControl w:val="0"/>
            <w:tabs>
              <w:tab w:val="right" w:leader="dot" w:pos="8844"/>
            </w:tabs>
            <w:kinsoku/>
            <w:wordWrap/>
            <w:overflowPunct/>
            <w:topLinePunct w:val="0"/>
            <w:autoSpaceDE/>
            <w:autoSpaceDN/>
            <w:bidi w:val="0"/>
            <w:adjustRightInd w:val="0"/>
            <w:snapToGrid w:val="0"/>
            <w:ind w:firstLine="0" w:firstLineChars="0"/>
            <w:textAlignment w:val="auto"/>
            <w:rPr>
              <w:color w:val="auto"/>
            </w:rPr>
          </w:pPr>
          <w:r>
            <w:rPr>
              <w:color w:val="auto"/>
            </w:rPr>
            <w:fldChar w:fldCharType="begin"/>
          </w:r>
          <w:r>
            <w:rPr>
              <w:color w:val="auto"/>
            </w:rPr>
            <w:instrText xml:space="preserve"> HYPERLINK \l _Toc14021 </w:instrText>
          </w:r>
          <w:r>
            <w:rPr>
              <w:color w:val="auto"/>
            </w:rPr>
            <w:fldChar w:fldCharType="separate"/>
          </w:r>
          <w:r>
            <w:rPr>
              <w:rFonts w:hint="eastAsia"/>
              <w:color w:val="auto"/>
              <w:lang w:val="en-US" w:eastAsia="zh-CN"/>
            </w:rPr>
            <w:t>附图5 衡阳市环境管控单元图</w:t>
          </w:r>
          <w:r>
            <w:rPr>
              <w:color w:val="auto"/>
            </w:rPr>
            <w:tab/>
          </w:r>
          <w:r>
            <w:rPr>
              <w:color w:val="auto"/>
            </w:rPr>
            <w:fldChar w:fldCharType="begin"/>
          </w:r>
          <w:r>
            <w:rPr>
              <w:color w:val="auto"/>
            </w:rPr>
            <w:instrText xml:space="preserve"> PAGEREF _Toc14021 \h </w:instrText>
          </w:r>
          <w:r>
            <w:rPr>
              <w:color w:val="auto"/>
            </w:rPr>
            <w:fldChar w:fldCharType="separate"/>
          </w:r>
          <w:r>
            <w:rPr>
              <w:color w:val="auto"/>
            </w:rPr>
            <w:t>86</w:t>
          </w:r>
          <w:r>
            <w:rPr>
              <w:color w:val="auto"/>
            </w:rPr>
            <w:fldChar w:fldCharType="end"/>
          </w:r>
          <w:r>
            <w:rPr>
              <w:color w:val="auto"/>
            </w:rPr>
            <w:fldChar w:fldCharType="end"/>
          </w:r>
        </w:p>
        <w:p w14:paraId="2EC41352">
          <w:pPr>
            <w:pStyle w:val="10"/>
            <w:keepNext w:val="0"/>
            <w:keepLines w:val="0"/>
            <w:pageBreakBefore w:val="0"/>
            <w:widowControl w:val="0"/>
            <w:tabs>
              <w:tab w:val="right" w:leader="dot" w:pos="8844"/>
            </w:tabs>
            <w:kinsoku/>
            <w:wordWrap/>
            <w:overflowPunct/>
            <w:topLinePunct w:val="0"/>
            <w:autoSpaceDE/>
            <w:autoSpaceDN/>
            <w:bidi w:val="0"/>
            <w:adjustRightInd w:val="0"/>
            <w:snapToGrid w:val="0"/>
            <w:ind w:firstLine="0" w:firstLineChars="0"/>
            <w:textAlignment w:val="auto"/>
            <w:rPr>
              <w:color w:val="auto"/>
            </w:rPr>
          </w:pPr>
          <w:r>
            <w:rPr>
              <w:color w:val="auto"/>
            </w:rPr>
            <w:fldChar w:fldCharType="begin"/>
          </w:r>
          <w:r>
            <w:rPr>
              <w:color w:val="auto"/>
            </w:rPr>
            <w:instrText xml:space="preserve"> HYPERLINK \l _Toc19691 </w:instrText>
          </w:r>
          <w:r>
            <w:rPr>
              <w:color w:val="auto"/>
            </w:rPr>
            <w:fldChar w:fldCharType="separate"/>
          </w:r>
          <w:r>
            <w:rPr>
              <w:rFonts w:hint="eastAsia"/>
              <w:color w:val="auto"/>
              <w:lang w:val="en-US" w:eastAsia="zh-CN"/>
            </w:rPr>
            <w:t>附图6 项目所在区域水系图</w:t>
          </w:r>
          <w:r>
            <w:rPr>
              <w:color w:val="auto"/>
            </w:rPr>
            <w:tab/>
          </w:r>
          <w:r>
            <w:rPr>
              <w:color w:val="auto"/>
            </w:rPr>
            <w:fldChar w:fldCharType="begin"/>
          </w:r>
          <w:r>
            <w:rPr>
              <w:color w:val="auto"/>
            </w:rPr>
            <w:instrText xml:space="preserve"> PAGEREF _Toc19691 \h </w:instrText>
          </w:r>
          <w:r>
            <w:rPr>
              <w:color w:val="auto"/>
            </w:rPr>
            <w:fldChar w:fldCharType="separate"/>
          </w:r>
          <w:r>
            <w:rPr>
              <w:color w:val="auto"/>
            </w:rPr>
            <w:t>87</w:t>
          </w:r>
          <w:r>
            <w:rPr>
              <w:color w:val="auto"/>
            </w:rPr>
            <w:fldChar w:fldCharType="end"/>
          </w:r>
          <w:r>
            <w:rPr>
              <w:color w:val="auto"/>
            </w:rPr>
            <w:fldChar w:fldCharType="end"/>
          </w:r>
        </w:p>
        <w:p w14:paraId="72C86739">
          <w:pPr>
            <w:pStyle w:val="10"/>
            <w:keepNext w:val="0"/>
            <w:keepLines w:val="0"/>
            <w:pageBreakBefore w:val="0"/>
            <w:widowControl w:val="0"/>
            <w:tabs>
              <w:tab w:val="right" w:leader="dot" w:pos="8844"/>
            </w:tabs>
            <w:kinsoku/>
            <w:wordWrap/>
            <w:overflowPunct/>
            <w:topLinePunct w:val="0"/>
            <w:autoSpaceDE/>
            <w:autoSpaceDN/>
            <w:bidi w:val="0"/>
            <w:adjustRightInd w:val="0"/>
            <w:snapToGrid w:val="0"/>
            <w:ind w:firstLine="0" w:firstLineChars="0"/>
            <w:textAlignment w:val="auto"/>
            <w:rPr>
              <w:color w:val="auto"/>
            </w:rPr>
          </w:pPr>
          <w:r>
            <w:rPr>
              <w:color w:val="auto"/>
            </w:rPr>
            <w:fldChar w:fldCharType="begin"/>
          </w:r>
          <w:r>
            <w:rPr>
              <w:color w:val="auto"/>
            </w:rPr>
            <w:instrText xml:space="preserve"> HYPERLINK \l _Toc18854 </w:instrText>
          </w:r>
          <w:r>
            <w:rPr>
              <w:color w:val="auto"/>
            </w:rPr>
            <w:fldChar w:fldCharType="separate"/>
          </w:r>
          <w:r>
            <w:rPr>
              <w:rFonts w:hint="eastAsia"/>
              <w:color w:val="auto"/>
              <w:lang w:val="en-US" w:eastAsia="zh-CN"/>
            </w:rPr>
            <w:t>附图7 现有项目排污许可证</w:t>
          </w:r>
          <w:r>
            <w:rPr>
              <w:color w:val="auto"/>
            </w:rPr>
            <w:tab/>
          </w:r>
          <w:r>
            <w:rPr>
              <w:color w:val="auto"/>
            </w:rPr>
            <w:fldChar w:fldCharType="begin"/>
          </w:r>
          <w:r>
            <w:rPr>
              <w:color w:val="auto"/>
            </w:rPr>
            <w:instrText xml:space="preserve"> PAGEREF _Toc18854 \h </w:instrText>
          </w:r>
          <w:r>
            <w:rPr>
              <w:color w:val="auto"/>
            </w:rPr>
            <w:fldChar w:fldCharType="separate"/>
          </w:r>
          <w:r>
            <w:rPr>
              <w:color w:val="auto"/>
            </w:rPr>
            <w:t>88</w:t>
          </w:r>
          <w:r>
            <w:rPr>
              <w:color w:val="auto"/>
            </w:rPr>
            <w:fldChar w:fldCharType="end"/>
          </w:r>
          <w:r>
            <w:rPr>
              <w:color w:val="auto"/>
            </w:rPr>
            <w:fldChar w:fldCharType="end"/>
          </w:r>
        </w:p>
        <w:p w14:paraId="38CE1CE1">
          <w:pPr>
            <w:pStyle w:val="10"/>
            <w:keepNext w:val="0"/>
            <w:keepLines w:val="0"/>
            <w:pageBreakBefore w:val="0"/>
            <w:widowControl w:val="0"/>
            <w:tabs>
              <w:tab w:val="right" w:leader="dot" w:pos="8844"/>
            </w:tabs>
            <w:kinsoku/>
            <w:wordWrap/>
            <w:overflowPunct/>
            <w:topLinePunct w:val="0"/>
            <w:autoSpaceDE/>
            <w:autoSpaceDN/>
            <w:bidi w:val="0"/>
            <w:adjustRightInd w:val="0"/>
            <w:snapToGrid w:val="0"/>
            <w:ind w:firstLine="0" w:firstLineChars="0"/>
            <w:textAlignment w:val="auto"/>
            <w:rPr>
              <w:color w:val="auto"/>
            </w:rPr>
          </w:pPr>
          <w:r>
            <w:rPr>
              <w:color w:val="auto"/>
            </w:rPr>
            <w:fldChar w:fldCharType="begin"/>
          </w:r>
          <w:r>
            <w:rPr>
              <w:color w:val="auto"/>
            </w:rPr>
            <w:instrText xml:space="preserve"> HYPERLINK \l _Toc11232 </w:instrText>
          </w:r>
          <w:r>
            <w:rPr>
              <w:color w:val="auto"/>
            </w:rPr>
            <w:fldChar w:fldCharType="separate"/>
          </w:r>
          <w:r>
            <w:rPr>
              <w:rFonts w:hint="eastAsia"/>
              <w:color w:val="auto"/>
              <w:lang w:val="en-US" w:eastAsia="zh-CN"/>
            </w:rPr>
            <w:t>附件1 委托书</w:t>
          </w:r>
          <w:r>
            <w:rPr>
              <w:color w:val="auto"/>
            </w:rPr>
            <w:tab/>
          </w:r>
          <w:r>
            <w:rPr>
              <w:color w:val="auto"/>
            </w:rPr>
            <w:fldChar w:fldCharType="begin"/>
          </w:r>
          <w:r>
            <w:rPr>
              <w:color w:val="auto"/>
            </w:rPr>
            <w:instrText xml:space="preserve"> PAGEREF _Toc11232 \h </w:instrText>
          </w:r>
          <w:r>
            <w:rPr>
              <w:color w:val="auto"/>
            </w:rPr>
            <w:fldChar w:fldCharType="separate"/>
          </w:r>
          <w:r>
            <w:rPr>
              <w:color w:val="auto"/>
            </w:rPr>
            <w:t>89</w:t>
          </w:r>
          <w:r>
            <w:rPr>
              <w:color w:val="auto"/>
            </w:rPr>
            <w:fldChar w:fldCharType="end"/>
          </w:r>
          <w:r>
            <w:rPr>
              <w:color w:val="auto"/>
            </w:rPr>
            <w:fldChar w:fldCharType="end"/>
          </w:r>
        </w:p>
        <w:p w14:paraId="34D95014">
          <w:pPr>
            <w:pStyle w:val="10"/>
            <w:keepNext w:val="0"/>
            <w:keepLines w:val="0"/>
            <w:pageBreakBefore w:val="0"/>
            <w:widowControl w:val="0"/>
            <w:tabs>
              <w:tab w:val="right" w:leader="dot" w:pos="8844"/>
            </w:tabs>
            <w:kinsoku/>
            <w:wordWrap/>
            <w:overflowPunct/>
            <w:topLinePunct w:val="0"/>
            <w:autoSpaceDE/>
            <w:autoSpaceDN/>
            <w:bidi w:val="0"/>
            <w:adjustRightInd w:val="0"/>
            <w:snapToGrid w:val="0"/>
            <w:ind w:firstLine="0" w:firstLineChars="0"/>
            <w:textAlignment w:val="auto"/>
            <w:rPr>
              <w:color w:val="auto"/>
            </w:rPr>
          </w:pPr>
          <w:r>
            <w:rPr>
              <w:color w:val="auto"/>
            </w:rPr>
            <w:fldChar w:fldCharType="begin"/>
          </w:r>
          <w:r>
            <w:rPr>
              <w:color w:val="auto"/>
            </w:rPr>
            <w:instrText xml:space="preserve"> HYPERLINK \l _Toc31268 </w:instrText>
          </w:r>
          <w:r>
            <w:rPr>
              <w:color w:val="auto"/>
            </w:rPr>
            <w:fldChar w:fldCharType="separate"/>
          </w:r>
          <w:r>
            <w:rPr>
              <w:rFonts w:hint="eastAsia"/>
              <w:color w:val="auto"/>
              <w:lang w:val="en-US" w:eastAsia="zh-CN"/>
            </w:rPr>
            <w:t>附件2 营业执照</w:t>
          </w:r>
          <w:r>
            <w:rPr>
              <w:color w:val="auto"/>
            </w:rPr>
            <w:tab/>
          </w:r>
          <w:r>
            <w:rPr>
              <w:color w:val="auto"/>
            </w:rPr>
            <w:fldChar w:fldCharType="begin"/>
          </w:r>
          <w:r>
            <w:rPr>
              <w:color w:val="auto"/>
            </w:rPr>
            <w:instrText xml:space="preserve"> PAGEREF _Toc31268 \h </w:instrText>
          </w:r>
          <w:r>
            <w:rPr>
              <w:color w:val="auto"/>
            </w:rPr>
            <w:fldChar w:fldCharType="separate"/>
          </w:r>
          <w:r>
            <w:rPr>
              <w:color w:val="auto"/>
            </w:rPr>
            <w:t>90</w:t>
          </w:r>
          <w:r>
            <w:rPr>
              <w:color w:val="auto"/>
            </w:rPr>
            <w:fldChar w:fldCharType="end"/>
          </w:r>
          <w:r>
            <w:rPr>
              <w:color w:val="auto"/>
            </w:rPr>
            <w:fldChar w:fldCharType="end"/>
          </w:r>
        </w:p>
        <w:p w14:paraId="2A115110">
          <w:pPr>
            <w:pStyle w:val="10"/>
            <w:keepNext w:val="0"/>
            <w:keepLines w:val="0"/>
            <w:pageBreakBefore w:val="0"/>
            <w:widowControl w:val="0"/>
            <w:tabs>
              <w:tab w:val="right" w:leader="dot" w:pos="8844"/>
            </w:tabs>
            <w:kinsoku/>
            <w:wordWrap/>
            <w:overflowPunct/>
            <w:topLinePunct w:val="0"/>
            <w:autoSpaceDE/>
            <w:autoSpaceDN/>
            <w:bidi w:val="0"/>
            <w:adjustRightInd w:val="0"/>
            <w:snapToGrid w:val="0"/>
            <w:ind w:firstLine="0" w:firstLineChars="0"/>
            <w:textAlignment w:val="auto"/>
            <w:rPr>
              <w:color w:val="auto"/>
            </w:rPr>
          </w:pPr>
          <w:r>
            <w:rPr>
              <w:color w:val="auto"/>
            </w:rPr>
            <w:fldChar w:fldCharType="begin"/>
          </w:r>
          <w:r>
            <w:rPr>
              <w:color w:val="auto"/>
            </w:rPr>
            <w:instrText xml:space="preserve"> HYPERLINK \l _Toc30191 </w:instrText>
          </w:r>
          <w:r>
            <w:rPr>
              <w:color w:val="auto"/>
            </w:rPr>
            <w:fldChar w:fldCharType="separate"/>
          </w:r>
          <w:r>
            <w:rPr>
              <w:rFonts w:hint="eastAsia"/>
              <w:color w:val="auto"/>
              <w:lang w:val="en-US" w:eastAsia="zh-CN"/>
            </w:rPr>
            <w:t>附件3 项目发改委备案</w:t>
          </w:r>
          <w:r>
            <w:rPr>
              <w:color w:val="auto"/>
            </w:rPr>
            <w:tab/>
          </w:r>
          <w:r>
            <w:rPr>
              <w:color w:val="auto"/>
            </w:rPr>
            <w:fldChar w:fldCharType="begin"/>
          </w:r>
          <w:r>
            <w:rPr>
              <w:color w:val="auto"/>
            </w:rPr>
            <w:instrText xml:space="preserve"> PAGEREF _Toc30191 \h </w:instrText>
          </w:r>
          <w:r>
            <w:rPr>
              <w:color w:val="auto"/>
            </w:rPr>
            <w:fldChar w:fldCharType="separate"/>
          </w:r>
          <w:r>
            <w:rPr>
              <w:color w:val="auto"/>
            </w:rPr>
            <w:t>91</w:t>
          </w:r>
          <w:r>
            <w:rPr>
              <w:color w:val="auto"/>
            </w:rPr>
            <w:fldChar w:fldCharType="end"/>
          </w:r>
          <w:r>
            <w:rPr>
              <w:color w:val="auto"/>
            </w:rPr>
            <w:fldChar w:fldCharType="end"/>
          </w:r>
        </w:p>
        <w:p w14:paraId="69E0857A">
          <w:pPr>
            <w:pStyle w:val="10"/>
            <w:keepNext w:val="0"/>
            <w:keepLines w:val="0"/>
            <w:pageBreakBefore w:val="0"/>
            <w:widowControl w:val="0"/>
            <w:tabs>
              <w:tab w:val="right" w:leader="dot" w:pos="8844"/>
            </w:tabs>
            <w:kinsoku/>
            <w:wordWrap/>
            <w:overflowPunct/>
            <w:topLinePunct w:val="0"/>
            <w:autoSpaceDE/>
            <w:autoSpaceDN/>
            <w:bidi w:val="0"/>
            <w:adjustRightInd w:val="0"/>
            <w:snapToGrid w:val="0"/>
            <w:ind w:firstLine="0" w:firstLineChars="0"/>
            <w:textAlignment w:val="auto"/>
            <w:rPr>
              <w:color w:val="auto"/>
            </w:rPr>
          </w:pPr>
          <w:r>
            <w:rPr>
              <w:color w:val="auto"/>
            </w:rPr>
            <w:fldChar w:fldCharType="begin"/>
          </w:r>
          <w:r>
            <w:rPr>
              <w:color w:val="auto"/>
            </w:rPr>
            <w:instrText xml:space="preserve"> HYPERLINK \l _Toc15991 </w:instrText>
          </w:r>
          <w:r>
            <w:rPr>
              <w:color w:val="auto"/>
            </w:rPr>
            <w:fldChar w:fldCharType="separate"/>
          </w:r>
          <w:r>
            <w:rPr>
              <w:rFonts w:hint="eastAsia"/>
              <w:color w:val="auto"/>
              <w:lang w:val="en-US" w:eastAsia="zh-CN"/>
            </w:rPr>
            <w:t>附件4 湖南省专精特新“小巨人”企业</w:t>
          </w:r>
          <w:r>
            <w:rPr>
              <w:color w:val="auto"/>
            </w:rPr>
            <w:tab/>
          </w:r>
          <w:r>
            <w:rPr>
              <w:color w:val="auto"/>
            </w:rPr>
            <w:fldChar w:fldCharType="begin"/>
          </w:r>
          <w:r>
            <w:rPr>
              <w:color w:val="auto"/>
            </w:rPr>
            <w:instrText xml:space="preserve"> PAGEREF _Toc15991 \h </w:instrText>
          </w:r>
          <w:r>
            <w:rPr>
              <w:color w:val="auto"/>
            </w:rPr>
            <w:fldChar w:fldCharType="separate"/>
          </w:r>
          <w:r>
            <w:rPr>
              <w:color w:val="auto"/>
            </w:rPr>
            <w:t>93</w:t>
          </w:r>
          <w:r>
            <w:rPr>
              <w:color w:val="auto"/>
            </w:rPr>
            <w:fldChar w:fldCharType="end"/>
          </w:r>
          <w:r>
            <w:rPr>
              <w:color w:val="auto"/>
            </w:rPr>
            <w:fldChar w:fldCharType="end"/>
          </w:r>
        </w:p>
        <w:p w14:paraId="0F73D0E8">
          <w:pPr>
            <w:pStyle w:val="10"/>
            <w:keepNext w:val="0"/>
            <w:keepLines w:val="0"/>
            <w:pageBreakBefore w:val="0"/>
            <w:widowControl w:val="0"/>
            <w:tabs>
              <w:tab w:val="right" w:leader="dot" w:pos="8844"/>
            </w:tabs>
            <w:kinsoku/>
            <w:wordWrap/>
            <w:overflowPunct/>
            <w:topLinePunct w:val="0"/>
            <w:autoSpaceDE/>
            <w:autoSpaceDN/>
            <w:bidi w:val="0"/>
            <w:adjustRightInd w:val="0"/>
            <w:snapToGrid w:val="0"/>
            <w:ind w:firstLine="0" w:firstLineChars="0"/>
            <w:textAlignment w:val="auto"/>
            <w:rPr>
              <w:color w:val="auto"/>
            </w:rPr>
          </w:pPr>
          <w:r>
            <w:rPr>
              <w:color w:val="auto"/>
            </w:rPr>
            <w:fldChar w:fldCharType="begin"/>
          </w:r>
          <w:r>
            <w:rPr>
              <w:color w:val="auto"/>
            </w:rPr>
            <w:instrText xml:space="preserve"> HYPERLINK \l _Toc8728 </w:instrText>
          </w:r>
          <w:r>
            <w:rPr>
              <w:color w:val="auto"/>
            </w:rPr>
            <w:fldChar w:fldCharType="separate"/>
          </w:r>
          <w:r>
            <w:rPr>
              <w:rFonts w:hint="eastAsia"/>
              <w:color w:val="auto"/>
              <w:lang w:val="en-US" w:eastAsia="zh-CN"/>
            </w:rPr>
            <w:t>附件5 关于衡阳京泰建材有限公司项目用地合法性的证明</w:t>
          </w:r>
          <w:r>
            <w:rPr>
              <w:color w:val="auto"/>
            </w:rPr>
            <w:tab/>
          </w:r>
          <w:r>
            <w:rPr>
              <w:color w:val="auto"/>
            </w:rPr>
            <w:fldChar w:fldCharType="begin"/>
          </w:r>
          <w:r>
            <w:rPr>
              <w:color w:val="auto"/>
            </w:rPr>
            <w:instrText xml:space="preserve"> PAGEREF _Toc8728 \h </w:instrText>
          </w:r>
          <w:r>
            <w:rPr>
              <w:color w:val="auto"/>
            </w:rPr>
            <w:fldChar w:fldCharType="separate"/>
          </w:r>
          <w:r>
            <w:rPr>
              <w:color w:val="auto"/>
            </w:rPr>
            <w:t>94</w:t>
          </w:r>
          <w:r>
            <w:rPr>
              <w:color w:val="auto"/>
            </w:rPr>
            <w:fldChar w:fldCharType="end"/>
          </w:r>
          <w:r>
            <w:rPr>
              <w:color w:val="auto"/>
            </w:rPr>
            <w:fldChar w:fldCharType="end"/>
          </w:r>
        </w:p>
        <w:p w14:paraId="609AD873">
          <w:pPr>
            <w:pStyle w:val="10"/>
            <w:keepNext w:val="0"/>
            <w:keepLines w:val="0"/>
            <w:pageBreakBefore w:val="0"/>
            <w:widowControl w:val="0"/>
            <w:tabs>
              <w:tab w:val="right" w:leader="dot" w:pos="8844"/>
            </w:tabs>
            <w:kinsoku/>
            <w:wordWrap/>
            <w:overflowPunct/>
            <w:topLinePunct w:val="0"/>
            <w:autoSpaceDE/>
            <w:autoSpaceDN/>
            <w:bidi w:val="0"/>
            <w:adjustRightInd w:val="0"/>
            <w:snapToGrid w:val="0"/>
            <w:ind w:firstLine="0" w:firstLineChars="0"/>
            <w:textAlignment w:val="auto"/>
            <w:rPr>
              <w:color w:val="auto"/>
            </w:rPr>
          </w:pPr>
          <w:r>
            <w:rPr>
              <w:color w:val="auto"/>
            </w:rPr>
            <w:fldChar w:fldCharType="begin"/>
          </w:r>
          <w:r>
            <w:rPr>
              <w:color w:val="auto"/>
            </w:rPr>
            <w:instrText xml:space="preserve"> HYPERLINK \l _Toc11447 </w:instrText>
          </w:r>
          <w:r>
            <w:rPr>
              <w:color w:val="auto"/>
            </w:rPr>
            <w:fldChar w:fldCharType="separate"/>
          </w:r>
          <w:r>
            <w:rPr>
              <w:rFonts w:hint="eastAsia"/>
              <w:color w:val="auto"/>
              <w:lang w:val="en-US" w:eastAsia="zh-CN"/>
            </w:rPr>
            <w:t>附件6 项目现有工程监测报告</w:t>
          </w:r>
          <w:r>
            <w:rPr>
              <w:color w:val="auto"/>
            </w:rPr>
            <w:tab/>
          </w:r>
          <w:r>
            <w:rPr>
              <w:color w:val="auto"/>
            </w:rPr>
            <w:fldChar w:fldCharType="begin"/>
          </w:r>
          <w:r>
            <w:rPr>
              <w:color w:val="auto"/>
            </w:rPr>
            <w:instrText xml:space="preserve"> PAGEREF _Toc11447 \h </w:instrText>
          </w:r>
          <w:r>
            <w:rPr>
              <w:color w:val="auto"/>
            </w:rPr>
            <w:fldChar w:fldCharType="separate"/>
          </w:r>
          <w:r>
            <w:rPr>
              <w:color w:val="auto"/>
            </w:rPr>
            <w:t>100</w:t>
          </w:r>
          <w:r>
            <w:rPr>
              <w:color w:val="auto"/>
            </w:rPr>
            <w:fldChar w:fldCharType="end"/>
          </w:r>
          <w:r>
            <w:rPr>
              <w:color w:val="auto"/>
            </w:rPr>
            <w:fldChar w:fldCharType="end"/>
          </w:r>
        </w:p>
        <w:p w14:paraId="150C3CF3">
          <w:pPr>
            <w:pStyle w:val="10"/>
            <w:keepNext w:val="0"/>
            <w:keepLines w:val="0"/>
            <w:pageBreakBefore w:val="0"/>
            <w:widowControl w:val="0"/>
            <w:tabs>
              <w:tab w:val="right" w:leader="dot" w:pos="8844"/>
            </w:tabs>
            <w:kinsoku/>
            <w:wordWrap/>
            <w:overflowPunct/>
            <w:topLinePunct w:val="0"/>
            <w:autoSpaceDE/>
            <w:autoSpaceDN/>
            <w:bidi w:val="0"/>
            <w:adjustRightInd w:val="0"/>
            <w:snapToGrid w:val="0"/>
            <w:ind w:firstLine="0" w:firstLineChars="0"/>
            <w:textAlignment w:val="auto"/>
            <w:rPr>
              <w:color w:val="auto"/>
            </w:rPr>
          </w:pPr>
          <w:r>
            <w:rPr>
              <w:color w:val="auto"/>
            </w:rPr>
            <w:fldChar w:fldCharType="begin"/>
          </w:r>
          <w:r>
            <w:rPr>
              <w:color w:val="auto"/>
            </w:rPr>
            <w:instrText xml:space="preserve"> HYPERLINK \l _Toc25792 </w:instrText>
          </w:r>
          <w:r>
            <w:rPr>
              <w:color w:val="auto"/>
            </w:rPr>
            <w:fldChar w:fldCharType="separate"/>
          </w:r>
          <w:r>
            <w:rPr>
              <w:rFonts w:hint="eastAsia"/>
              <w:color w:val="auto"/>
              <w:lang w:val="en-US" w:eastAsia="zh-CN"/>
            </w:rPr>
            <w:t>附件7 现有工程相关环评审批意见</w:t>
          </w:r>
          <w:r>
            <w:rPr>
              <w:color w:val="auto"/>
            </w:rPr>
            <w:tab/>
          </w:r>
          <w:r>
            <w:rPr>
              <w:color w:val="auto"/>
            </w:rPr>
            <w:fldChar w:fldCharType="begin"/>
          </w:r>
          <w:r>
            <w:rPr>
              <w:color w:val="auto"/>
            </w:rPr>
            <w:instrText xml:space="preserve"> PAGEREF _Toc25792 \h </w:instrText>
          </w:r>
          <w:r>
            <w:rPr>
              <w:color w:val="auto"/>
            </w:rPr>
            <w:fldChar w:fldCharType="separate"/>
          </w:r>
          <w:r>
            <w:rPr>
              <w:color w:val="auto"/>
            </w:rPr>
            <w:t>104</w:t>
          </w:r>
          <w:r>
            <w:rPr>
              <w:color w:val="auto"/>
            </w:rPr>
            <w:fldChar w:fldCharType="end"/>
          </w:r>
          <w:r>
            <w:rPr>
              <w:color w:val="auto"/>
            </w:rPr>
            <w:fldChar w:fldCharType="end"/>
          </w:r>
        </w:p>
        <w:p w14:paraId="0D66DC65">
          <w:pPr>
            <w:pStyle w:val="10"/>
            <w:keepNext w:val="0"/>
            <w:keepLines w:val="0"/>
            <w:pageBreakBefore w:val="0"/>
            <w:widowControl w:val="0"/>
            <w:tabs>
              <w:tab w:val="right" w:leader="dot" w:pos="8844"/>
            </w:tabs>
            <w:kinsoku/>
            <w:wordWrap/>
            <w:overflowPunct/>
            <w:topLinePunct w:val="0"/>
            <w:autoSpaceDE/>
            <w:autoSpaceDN/>
            <w:bidi w:val="0"/>
            <w:adjustRightInd w:val="0"/>
            <w:snapToGrid w:val="0"/>
            <w:ind w:firstLine="0" w:firstLineChars="0"/>
            <w:textAlignment w:val="auto"/>
            <w:rPr>
              <w:color w:val="auto"/>
            </w:rPr>
          </w:pPr>
          <w:r>
            <w:rPr>
              <w:color w:val="auto"/>
            </w:rPr>
            <w:fldChar w:fldCharType="begin"/>
          </w:r>
          <w:r>
            <w:rPr>
              <w:color w:val="auto"/>
            </w:rPr>
            <w:instrText xml:space="preserve"> HYPERLINK \l _Toc2980 </w:instrText>
          </w:r>
          <w:r>
            <w:rPr>
              <w:color w:val="auto"/>
            </w:rPr>
            <w:fldChar w:fldCharType="separate"/>
          </w:r>
          <w:r>
            <w:rPr>
              <w:rFonts w:hint="eastAsia"/>
              <w:color w:val="auto"/>
              <w:lang w:val="en-US" w:eastAsia="zh-CN"/>
            </w:rPr>
            <w:t>附件8 现有工程建设项目竣工环保备案登记表</w:t>
          </w:r>
          <w:r>
            <w:rPr>
              <w:color w:val="auto"/>
            </w:rPr>
            <w:tab/>
          </w:r>
          <w:r>
            <w:rPr>
              <w:color w:val="auto"/>
            </w:rPr>
            <w:fldChar w:fldCharType="begin"/>
          </w:r>
          <w:r>
            <w:rPr>
              <w:color w:val="auto"/>
            </w:rPr>
            <w:instrText xml:space="preserve"> PAGEREF _Toc2980 \h </w:instrText>
          </w:r>
          <w:r>
            <w:rPr>
              <w:color w:val="auto"/>
            </w:rPr>
            <w:fldChar w:fldCharType="separate"/>
          </w:r>
          <w:r>
            <w:rPr>
              <w:color w:val="auto"/>
            </w:rPr>
            <w:t>106</w:t>
          </w:r>
          <w:r>
            <w:rPr>
              <w:color w:val="auto"/>
            </w:rPr>
            <w:fldChar w:fldCharType="end"/>
          </w:r>
          <w:r>
            <w:rPr>
              <w:color w:val="auto"/>
            </w:rPr>
            <w:fldChar w:fldCharType="end"/>
          </w:r>
        </w:p>
        <w:p w14:paraId="59E5ED6D">
          <w:pPr>
            <w:pStyle w:val="10"/>
            <w:keepNext w:val="0"/>
            <w:keepLines w:val="0"/>
            <w:pageBreakBefore w:val="0"/>
            <w:widowControl w:val="0"/>
            <w:tabs>
              <w:tab w:val="right" w:leader="dot" w:pos="8844"/>
            </w:tabs>
            <w:kinsoku/>
            <w:wordWrap/>
            <w:overflowPunct/>
            <w:topLinePunct w:val="0"/>
            <w:autoSpaceDE/>
            <w:autoSpaceDN/>
            <w:bidi w:val="0"/>
            <w:adjustRightInd w:val="0"/>
            <w:snapToGrid w:val="0"/>
            <w:ind w:firstLine="0" w:firstLineChars="0"/>
            <w:textAlignment w:val="auto"/>
            <w:rPr>
              <w:color w:val="auto"/>
            </w:rPr>
          </w:pPr>
          <w:r>
            <w:rPr>
              <w:color w:val="auto"/>
            </w:rPr>
            <w:fldChar w:fldCharType="begin"/>
          </w:r>
          <w:r>
            <w:rPr>
              <w:color w:val="auto"/>
            </w:rPr>
            <w:instrText xml:space="preserve"> HYPERLINK \l _Toc26094 </w:instrText>
          </w:r>
          <w:r>
            <w:rPr>
              <w:color w:val="auto"/>
            </w:rPr>
            <w:fldChar w:fldCharType="separate"/>
          </w:r>
          <w:r>
            <w:rPr>
              <w:rFonts w:hint="eastAsia"/>
              <w:color w:val="auto"/>
              <w:lang w:val="en-US" w:eastAsia="zh-CN"/>
            </w:rPr>
            <w:t>附件9 现有工程建设项目竣工环保验收意见</w:t>
          </w:r>
          <w:r>
            <w:rPr>
              <w:color w:val="auto"/>
            </w:rPr>
            <w:tab/>
          </w:r>
          <w:r>
            <w:rPr>
              <w:color w:val="auto"/>
            </w:rPr>
            <w:fldChar w:fldCharType="begin"/>
          </w:r>
          <w:r>
            <w:rPr>
              <w:color w:val="auto"/>
            </w:rPr>
            <w:instrText xml:space="preserve"> PAGEREF _Toc26094 \h </w:instrText>
          </w:r>
          <w:r>
            <w:rPr>
              <w:color w:val="auto"/>
            </w:rPr>
            <w:fldChar w:fldCharType="separate"/>
          </w:r>
          <w:r>
            <w:rPr>
              <w:color w:val="auto"/>
            </w:rPr>
            <w:t>108</w:t>
          </w:r>
          <w:r>
            <w:rPr>
              <w:color w:val="auto"/>
            </w:rPr>
            <w:fldChar w:fldCharType="end"/>
          </w:r>
          <w:r>
            <w:rPr>
              <w:color w:val="auto"/>
            </w:rPr>
            <w:fldChar w:fldCharType="end"/>
          </w:r>
        </w:p>
        <w:p w14:paraId="37838978">
          <w:pPr>
            <w:pStyle w:val="10"/>
            <w:keepNext w:val="0"/>
            <w:keepLines w:val="0"/>
            <w:pageBreakBefore w:val="0"/>
            <w:widowControl w:val="0"/>
            <w:tabs>
              <w:tab w:val="right" w:leader="dot" w:pos="8844"/>
            </w:tabs>
            <w:kinsoku/>
            <w:wordWrap/>
            <w:overflowPunct/>
            <w:topLinePunct w:val="0"/>
            <w:autoSpaceDE/>
            <w:autoSpaceDN/>
            <w:bidi w:val="0"/>
            <w:adjustRightInd w:val="0"/>
            <w:snapToGrid w:val="0"/>
            <w:ind w:firstLine="0" w:firstLineChars="0"/>
            <w:textAlignment w:val="auto"/>
            <w:rPr>
              <w:color w:val="auto"/>
            </w:rPr>
          </w:pPr>
          <w:r>
            <w:rPr>
              <w:color w:val="auto"/>
            </w:rPr>
            <w:fldChar w:fldCharType="begin"/>
          </w:r>
          <w:r>
            <w:rPr>
              <w:color w:val="auto"/>
            </w:rPr>
            <w:instrText xml:space="preserve"> HYPERLINK \l _Toc30304 </w:instrText>
          </w:r>
          <w:r>
            <w:rPr>
              <w:color w:val="auto"/>
            </w:rPr>
            <w:fldChar w:fldCharType="separate"/>
          </w:r>
          <w:r>
            <w:rPr>
              <w:rFonts w:hint="eastAsia"/>
              <w:color w:val="auto"/>
              <w:lang w:val="en-US" w:eastAsia="zh-CN"/>
            </w:rPr>
            <w:t>附件10 现有工程危废协议</w:t>
          </w:r>
          <w:r>
            <w:rPr>
              <w:color w:val="auto"/>
            </w:rPr>
            <w:tab/>
          </w:r>
          <w:r>
            <w:rPr>
              <w:color w:val="auto"/>
            </w:rPr>
            <w:fldChar w:fldCharType="begin"/>
          </w:r>
          <w:r>
            <w:rPr>
              <w:color w:val="auto"/>
            </w:rPr>
            <w:instrText xml:space="preserve"> PAGEREF _Toc30304 \h </w:instrText>
          </w:r>
          <w:r>
            <w:rPr>
              <w:color w:val="auto"/>
            </w:rPr>
            <w:fldChar w:fldCharType="separate"/>
          </w:r>
          <w:r>
            <w:rPr>
              <w:color w:val="auto"/>
            </w:rPr>
            <w:t>113</w:t>
          </w:r>
          <w:r>
            <w:rPr>
              <w:color w:val="auto"/>
            </w:rPr>
            <w:fldChar w:fldCharType="end"/>
          </w:r>
          <w:r>
            <w:rPr>
              <w:color w:val="auto"/>
            </w:rPr>
            <w:fldChar w:fldCharType="end"/>
          </w:r>
        </w:p>
        <w:p w14:paraId="0614CD5D">
          <w:pPr>
            <w:pStyle w:val="10"/>
            <w:keepNext w:val="0"/>
            <w:keepLines w:val="0"/>
            <w:pageBreakBefore w:val="0"/>
            <w:widowControl w:val="0"/>
            <w:tabs>
              <w:tab w:val="right" w:leader="dot" w:pos="8844"/>
            </w:tabs>
            <w:kinsoku/>
            <w:wordWrap/>
            <w:overflowPunct/>
            <w:topLinePunct w:val="0"/>
            <w:autoSpaceDE/>
            <w:autoSpaceDN/>
            <w:bidi w:val="0"/>
            <w:adjustRightInd w:val="0"/>
            <w:snapToGrid w:val="0"/>
            <w:ind w:firstLine="0" w:firstLineChars="0"/>
            <w:textAlignment w:val="auto"/>
            <w:rPr>
              <w:color w:val="auto"/>
            </w:rPr>
          </w:pPr>
          <w:r>
            <w:rPr>
              <w:color w:val="auto"/>
            </w:rPr>
            <w:fldChar w:fldCharType="begin"/>
          </w:r>
          <w:r>
            <w:rPr>
              <w:color w:val="auto"/>
            </w:rPr>
            <w:instrText xml:space="preserve"> HYPERLINK \l _Toc649 </w:instrText>
          </w:r>
          <w:r>
            <w:rPr>
              <w:color w:val="auto"/>
            </w:rPr>
            <w:fldChar w:fldCharType="separate"/>
          </w:r>
          <w:r>
            <w:rPr>
              <w:rFonts w:hint="eastAsia"/>
              <w:color w:val="auto"/>
              <w:lang w:val="en-US" w:eastAsia="zh-CN"/>
            </w:rPr>
            <w:t>附件11 环境空气监测报告</w:t>
          </w:r>
          <w:r>
            <w:rPr>
              <w:color w:val="auto"/>
            </w:rPr>
            <w:tab/>
          </w:r>
          <w:r>
            <w:rPr>
              <w:color w:val="auto"/>
            </w:rPr>
            <w:fldChar w:fldCharType="begin"/>
          </w:r>
          <w:r>
            <w:rPr>
              <w:color w:val="auto"/>
            </w:rPr>
            <w:instrText xml:space="preserve"> PAGEREF _Toc649 \h </w:instrText>
          </w:r>
          <w:r>
            <w:rPr>
              <w:color w:val="auto"/>
            </w:rPr>
            <w:fldChar w:fldCharType="separate"/>
          </w:r>
          <w:r>
            <w:rPr>
              <w:color w:val="auto"/>
            </w:rPr>
            <w:t>115</w:t>
          </w:r>
          <w:r>
            <w:rPr>
              <w:color w:val="auto"/>
            </w:rPr>
            <w:fldChar w:fldCharType="end"/>
          </w:r>
          <w:r>
            <w:rPr>
              <w:color w:val="auto"/>
            </w:rPr>
            <w:fldChar w:fldCharType="end"/>
          </w:r>
        </w:p>
        <w:p w14:paraId="719D7FEF">
          <w:pPr>
            <w:pStyle w:val="10"/>
            <w:keepNext w:val="0"/>
            <w:keepLines w:val="0"/>
            <w:pageBreakBefore w:val="0"/>
            <w:widowControl w:val="0"/>
            <w:tabs>
              <w:tab w:val="right" w:leader="dot" w:pos="8844"/>
            </w:tabs>
            <w:kinsoku/>
            <w:wordWrap/>
            <w:overflowPunct/>
            <w:topLinePunct w:val="0"/>
            <w:autoSpaceDE/>
            <w:autoSpaceDN/>
            <w:bidi w:val="0"/>
            <w:adjustRightInd w:val="0"/>
            <w:snapToGrid w:val="0"/>
            <w:ind w:firstLine="0" w:firstLineChars="0"/>
            <w:textAlignment w:val="auto"/>
            <w:rPr>
              <w:color w:val="auto"/>
            </w:rPr>
          </w:pPr>
          <w:r>
            <w:rPr>
              <w:color w:val="auto"/>
            </w:rPr>
            <w:fldChar w:fldCharType="begin"/>
          </w:r>
          <w:r>
            <w:rPr>
              <w:color w:val="auto"/>
            </w:rPr>
            <w:instrText xml:space="preserve"> HYPERLINK \l _Toc4927 </w:instrText>
          </w:r>
          <w:r>
            <w:rPr>
              <w:color w:val="auto"/>
            </w:rPr>
            <w:fldChar w:fldCharType="separate"/>
          </w:r>
          <w:r>
            <w:rPr>
              <w:rFonts w:hint="eastAsia"/>
              <w:color w:val="auto"/>
              <w:lang w:val="en-US" w:eastAsia="zh-CN"/>
            </w:rPr>
            <w:t>附件12 声环境现状监测报告</w:t>
          </w:r>
          <w:r>
            <w:rPr>
              <w:color w:val="auto"/>
            </w:rPr>
            <w:tab/>
          </w:r>
          <w:r>
            <w:rPr>
              <w:color w:val="auto"/>
            </w:rPr>
            <w:fldChar w:fldCharType="begin"/>
          </w:r>
          <w:r>
            <w:rPr>
              <w:color w:val="auto"/>
            </w:rPr>
            <w:instrText xml:space="preserve"> PAGEREF _Toc4927 \h </w:instrText>
          </w:r>
          <w:r>
            <w:rPr>
              <w:color w:val="auto"/>
            </w:rPr>
            <w:fldChar w:fldCharType="separate"/>
          </w:r>
          <w:r>
            <w:rPr>
              <w:color w:val="auto"/>
            </w:rPr>
            <w:t>119</w:t>
          </w:r>
          <w:r>
            <w:rPr>
              <w:color w:val="auto"/>
            </w:rPr>
            <w:fldChar w:fldCharType="end"/>
          </w:r>
          <w:r>
            <w:rPr>
              <w:color w:val="auto"/>
            </w:rPr>
            <w:fldChar w:fldCharType="end"/>
          </w:r>
        </w:p>
        <w:p w14:paraId="7F067534">
          <w:pPr>
            <w:rPr>
              <w:color w:val="auto"/>
            </w:rPr>
          </w:pPr>
          <w:r>
            <w:rPr>
              <w:color w:val="auto"/>
            </w:rPr>
            <w:fldChar w:fldCharType="end"/>
          </w:r>
        </w:p>
      </w:sdtContent>
    </w:sdt>
    <w:p w14:paraId="331E8522">
      <w:pPr>
        <w:pStyle w:val="2"/>
        <w:bidi w:val="0"/>
        <w:rPr>
          <w:rFonts w:hint="eastAsia"/>
          <w:color w:val="auto"/>
        </w:rPr>
        <w:sectPr>
          <w:footerReference r:id="rId5" w:type="default"/>
          <w:pgSz w:w="11906" w:h="16838"/>
          <w:pgMar w:top="1701" w:right="1531" w:bottom="1701" w:left="1531" w:header="851" w:footer="1077" w:gutter="0"/>
          <w:pgNumType w:fmt="decimal"/>
          <w:cols w:space="720" w:num="1"/>
          <w:docGrid w:linePitch="312" w:charSpace="0"/>
        </w:sectPr>
      </w:pPr>
    </w:p>
    <w:p w14:paraId="5770C614">
      <w:pPr>
        <w:pStyle w:val="2"/>
        <w:bidi w:val="0"/>
        <w:rPr>
          <w:rFonts w:hint="eastAsia"/>
          <w:color w:val="auto"/>
        </w:rPr>
      </w:pPr>
      <w:bookmarkStart w:id="10" w:name="_Toc1532"/>
      <w:r>
        <w:rPr>
          <w:rFonts w:hint="eastAsia"/>
          <w:color w:val="auto"/>
        </w:rPr>
        <w:t>一、建设项目基本情况</w:t>
      </w:r>
      <w:bookmarkEnd w:id="10"/>
    </w:p>
    <w:tbl>
      <w:tblPr>
        <w:tblStyle w:val="12"/>
        <w:tblW w:w="4967"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981"/>
        <w:gridCol w:w="2002"/>
        <w:gridCol w:w="1882"/>
        <w:gridCol w:w="2946"/>
      </w:tblGrid>
      <w:tr w14:paraId="5072D3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1124" w:type="pct"/>
            <w:noWrap w:val="0"/>
            <w:tcMar>
              <w:top w:w="16" w:type="dxa"/>
              <w:left w:w="16" w:type="dxa"/>
              <w:right w:w="16" w:type="dxa"/>
            </w:tcMar>
            <w:vAlign w:val="center"/>
          </w:tcPr>
          <w:p w14:paraId="3694C7D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rFonts w:hint="eastAsia"/>
                <w:color w:val="auto"/>
              </w:rPr>
              <w:t>建设项目名称</w:t>
            </w:r>
          </w:p>
        </w:tc>
        <w:tc>
          <w:tcPr>
            <w:tcW w:w="3875" w:type="pct"/>
            <w:gridSpan w:val="3"/>
            <w:noWrap w:val="0"/>
            <w:vAlign w:val="center"/>
          </w:tcPr>
          <w:p w14:paraId="41BF05F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rFonts w:hint="eastAsia"/>
                <w:color w:val="auto"/>
              </w:rPr>
              <w:t>衡阳京泰建材有限公司年处理24万吨建筑垃圾、装修垃圾和一般工业固体废物综合利用</w:t>
            </w:r>
            <w:r>
              <w:rPr>
                <w:rFonts w:hint="eastAsia"/>
                <w:color w:val="auto"/>
                <w:lang w:val="en-US" w:eastAsia="zh-CN"/>
              </w:rPr>
              <w:t>改建</w:t>
            </w:r>
            <w:r>
              <w:rPr>
                <w:rFonts w:hint="eastAsia"/>
                <w:color w:val="auto"/>
              </w:rPr>
              <w:t>项目</w:t>
            </w:r>
          </w:p>
        </w:tc>
      </w:tr>
      <w:tr w14:paraId="30666E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1124" w:type="pct"/>
            <w:noWrap w:val="0"/>
            <w:tcMar>
              <w:top w:w="16" w:type="dxa"/>
              <w:left w:w="16" w:type="dxa"/>
              <w:right w:w="16" w:type="dxa"/>
            </w:tcMar>
            <w:vAlign w:val="center"/>
          </w:tcPr>
          <w:p w14:paraId="2105999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rFonts w:hint="eastAsia"/>
                <w:color w:val="auto"/>
              </w:rPr>
              <w:t>项目代码</w:t>
            </w:r>
          </w:p>
        </w:tc>
        <w:tc>
          <w:tcPr>
            <w:tcW w:w="3875" w:type="pct"/>
            <w:gridSpan w:val="3"/>
            <w:noWrap w:val="0"/>
            <w:vAlign w:val="center"/>
          </w:tcPr>
          <w:p w14:paraId="0185C77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lang w:val="en-US" w:eastAsia="zh-CN"/>
              </w:rPr>
            </w:pPr>
            <w:r>
              <w:rPr>
                <w:rFonts w:hint="eastAsia"/>
                <w:color w:val="auto"/>
                <w:lang w:val="en-US" w:eastAsia="zh-CN"/>
              </w:rPr>
              <w:t>2019-430408-42-03-013840</w:t>
            </w:r>
          </w:p>
        </w:tc>
      </w:tr>
      <w:tr w14:paraId="037A18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1124" w:type="pct"/>
            <w:noWrap w:val="0"/>
            <w:tcMar>
              <w:top w:w="16" w:type="dxa"/>
              <w:left w:w="16" w:type="dxa"/>
              <w:right w:w="16" w:type="dxa"/>
            </w:tcMar>
            <w:vAlign w:val="center"/>
          </w:tcPr>
          <w:p w14:paraId="57D17F4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rPr>
            </w:pPr>
            <w:r>
              <w:rPr>
                <w:rFonts w:hint="eastAsia"/>
                <w:color w:val="auto"/>
              </w:rPr>
              <w:t>建设单位联系人</w:t>
            </w:r>
          </w:p>
        </w:tc>
        <w:tc>
          <w:tcPr>
            <w:tcW w:w="1136" w:type="pct"/>
            <w:noWrap w:val="0"/>
            <w:vAlign w:val="center"/>
          </w:tcPr>
          <w:p w14:paraId="5A97193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lang w:val="en-US" w:eastAsia="zh-CN"/>
              </w:rPr>
            </w:pPr>
            <w:r>
              <w:rPr>
                <w:rFonts w:hint="eastAsia"/>
                <w:color w:val="auto"/>
                <w:lang w:val="en-US" w:eastAsia="zh-CN"/>
              </w:rPr>
              <w:t>邹旭</w:t>
            </w:r>
          </w:p>
        </w:tc>
        <w:tc>
          <w:tcPr>
            <w:tcW w:w="1068" w:type="pct"/>
            <w:noWrap w:val="0"/>
            <w:vAlign w:val="center"/>
          </w:tcPr>
          <w:p w14:paraId="4767A3E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rFonts w:hint="eastAsia"/>
                <w:color w:val="auto"/>
              </w:rPr>
              <w:t>联系方式</w:t>
            </w:r>
          </w:p>
        </w:tc>
        <w:tc>
          <w:tcPr>
            <w:tcW w:w="1670" w:type="pct"/>
            <w:noWrap w:val="0"/>
            <w:vAlign w:val="center"/>
          </w:tcPr>
          <w:p w14:paraId="7BC1CEB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lang w:val="en-US" w:eastAsia="zh-CN"/>
              </w:rPr>
            </w:pPr>
            <w:r>
              <w:rPr>
                <w:rFonts w:hint="eastAsia"/>
                <w:color w:val="auto"/>
                <w:lang w:val="en-US" w:eastAsia="zh-CN"/>
              </w:rPr>
              <w:t>18107348882</w:t>
            </w:r>
          </w:p>
        </w:tc>
      </w:tr>
      <w:tr w14:paraId="763ADA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1124" w:type="pct"/>
            <w:noWrap w:val="0"/>
            <w:tcMar>
              <w:top w:w="16" w:type="dxa"/>
              <w:left w:w="16" w:type="dxa"/>
              <w:right w:w="16" w:type="dxa"/>
            </w:tcMar>
            <w:vAlign w:val="center"/>
          </w:tcPr>
          <w:p w14:paraId="100CC68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rFonts w:hint="eastAsia"/>
                <w:color w:val="auto"/>
              </w:rPr>
              <w:t>建设地点</w:t>
            </w:r>
          </w:p>
        </w:tc>
        <w:tc>
          <w:tcPr>
            <w:tcW w:w="3875" w:type="pct"/>
            <w:gridSpan w:val="3"/>
            <w:noWrap w:val="0"/>
            <w:vAlign w:val="center"/>
          </w:tcPr>
          <w:p w14:paraId="3F3417A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lang w:val="en-US" w:eastAsia="zh-CN"/>
              </w:rPr>
            </w:pPr>
            <w:r>
              <w:rPr>
                <w:rFonts w:hint="eastAsia"/>
                <w:color w:val="auto"/>
                <w:u w:val="single"/>
                <w:lang w:val="en-US" w:eastAsia="zh-CN"/>
              </w:rPr>
              <w:t>湖南</w:t>
            </w:r>
            <w:r>
              <w:rPr>
                <w:rFonts w:hint="eastAsia"/>
                <w:color w:val="auto"/>
              </w:rPr>
              <w:t>省</w:t>
            </w:r>
            <w:r>
              <w:rPr>
                <w:rFonts w:hint="eastAsia"/>
                <w:color w:val="auto"/>
                <w:u w:val="single"/>
                <w:lang w:val="en-US" w:eastAsia="zh-CN"/>
              </w:rPr>
              <w:t>衡阳</w:t>
            </w:r>
            <w:r>
              <w:rPr>
                <w:rFonts w:hint="eastAsia"/>
                <w:color w:val="auto"/>
              </w:rPr>
              <w:t>市</w:t>
            </w:r>
            <w:r>
              <w:rPr>
                <w:rFonts w:hint="eastAsia"/>
                <w:color w:val="auto"/>
                <w:u w:val="single"/>
                <w:lang w:val="en-US" w:eastAsia="zh-CN"/>
              </w:rPr>
              <w:t>蒸湘</w:t>
            </w:r>
            <w:r>
              <w:rPr>
                <w:rFonts w:hint="eastAsia"/>
                <w:color w:val="auto"/>
              </w:rPr>
              <w:t>区</w:t>
            </w:r>
            <w:r>
              <w:rPr>
                <w:rFonts w:hint="eastAsia"/>
                <w:color w:val="auto"/>
                <w:u w:val="single"/>
                <w:lang w:val="en-US" w:eastAsia="zh-CN"/>
              </w:rPr>
              <w:t>呆鹰岭</w:t>
            </w:r>
            <w:r>
              <w:rPr>
                <w:rFonts w:hint="eastAsia"/>
                <w:color w:val="auto"/>
                <w:lang w:val="en-US" w:eastAsia="zh-CN"/>
              </w:rPr>
              <w:t>镇</w:t>
            </w:r>
            <w:r>
              <w:rPr>
                <w:rFonts w:hint="eastAsia"/>
                <w:color w:val="auto"/>
                <w:u w:val="single"/>
                <w:lang w:val="en-US" w:eastAsia="zh-CN"/>
              </w:rPr>
              <w:t>振兴村江家塘组</w:t>
            </w:r>
          </w:p>
        </w:tc>
      </w:tr>
      <w:tr w14:paraId="33B86C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1124" w:type="pct"/>
            <w:noWrap w:val="0"/>
            <w:tcMar>
              <w:top w:w="16" w:type="dxa"/>
              <w:left w:w="16" w:type="dxa"/>
              <w:right w:w="16" w:type="dxa"/>
            </w:tcMar>
            <w:vAlign w:val="center"/>
          </w:tcPr>
          <w:p w14:paraId="6577478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rFonts w:hint="eastAsia"/>
                <w:color w:val="auto"/>
              </w:rPr>
              <w:t>地理坐标</w:t>
            </w:r>
          </w:p>
        </w:tc>
        <w:tc>
          <w:tcPr>
            <w:tcW w:w="3875" w:type="pct"/>
            <w:gridSpan w:val="3"/>
            <w:noWrap w:val="0"/>
            <w:vAlign w:val="center"/>
          </w:tcPr>
          <w:p w14:paraId="11C7EC9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rPr>
            </w:pPr>
            <w:r>
              <w:rPr>
                <w:rFonts w:hint="eastAsia"/>
                <w:color w:val="auto"/>
              </w:rPr>
              <w:t>（</w:t>
            </w:r>
            <w:r>
              <w:rPr>
                <w:rFonts w:hint="eastAsia"/>
                <w:color w:val="auto"/>
                <w:lang w:val="en-US" w:eastAsia="zh-CN"/>
              </w:rPr>
              <w:t>东经</w:t>
            </w:r>
            <w:r>
              <w:rPr>
                <w:rFonts w:hint="eastAsia"/>
                <w:color w:val="auto"/>
                <w:u w:val="single"/>
                <w:lang w:val="en-US" w:eastAsia="zh-CN"/>
              </w:rPr>
              <w:t>112</w:t>
            </w:r>
            <w:r>
              <w:rPr>
                <w:rFonts w:hint="eastAsia"/>
                <w:color w:val="auto"/>
              </w:rPr>
              <w:t>度</w:t>
            </w:r>
            <w:r>
              <w:rPr>
                <w:rFonts w:hint="eastAsia"/>
                <w:color w:val="auto"/>
                <w:u w:val="single"/>
                <w:lang w:val="en-US" w:eastAsia="zh-CN"/>
              </w:rPr>
              <w:t>31</w:t>
            </w:r>
            <w:r>
              <w:rPr>
                <w:rFonts w:hint="eastAsia"/>
                <w:color w:val="auto"/>
              </w:rPr>
              <w:t>分</w:t>
            </w:r>
            <w:r>
              <w:rPr>
                <w:rFonts w:hint="eastAsia"/>
                <w:color w:val="auto"/>
                <w:u w:val="single"/>
                <w:lang w:val="en-US" w:eastAsia="zh-CN"/>
              </w:rPr>
              <w:t>21.698</w:t>
            </w:r>
            <w:r>
              <w:rPr>
                <w:rFonts w:hint="eastAsia"/>
                <w:color w:val="auto"/>
              </w:rPr>
              <w:t>秒，</w:t>
            </w:r>
            <w:r>
              <w:rPr>
                <w:rFonts w:hint="eastAsia"/>
                <w:color w:val="auto"/>
                <w:lang w:val="en-US" w:eastAsia="zh-CN"/>
              </w:rPr>
              <w:t>北纬</w:t>
            </w:r>
            <w:r>
              <w:rPr>
                <w:rFonts w:hint="eastAsia"/>
                <w:color w:val="auto"/>
                <w:u w:val="single"/>
                <w:lang w:val="en-US" w:eastAsia="zh-CN"/>
              </w:rPr>
              <w:t>26</w:t>
            </w:r>
            <w:r>
              <w:rPr>
                <w:rFonts w:hint="eastAsia"/>
                <w:color w:val="auto"/>
              </w:rPr>
              <w:t>度</w:t>
            </w:r>
            <w:r>
              <w:rPr>
                <w:rFonts w:hint="eastAsia"/>
                <w:color w:val="auto"/>
                <w:u w:val="single"/>
                <w:lang w:val="en-US" w:eastAsia="zh-CN"/>
              </w:rPr>
              <w:t>54</w:t>
            </w:r>
            <w:r>
              <w:rPr>
                <w:rFonts w:hint="eastAsia"/>
                <w:color w:val="auto"/>
              </w:rPr>
              <w:t>分</w:t>
            </w:r>
            <w:r>
              <w:rPr>
                <w:rFonts w:hint="eastAsia"/>
                <w:color w:val="auto"/>
                <w:u w:val="single"/>
                <w:lang w:val="en-US" w:eastAsia="zh-CN"/>
              </w:rPr>
              <w:t>59.512</w:t>
            </w:r>
            <w:r>
              <w:rPr>
                <w:rFonts w:hint="eastAsia"/>
                <w:color w:val="auto"/>
              </w:rPr>
              <w:t>秒）</w:t>
            </w:r>
          </w:p>
        </w:tc>
      </w:tr>
      <w:tr w14:paraId="31F0DF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trPr>
        <w:tc>
          <w:tcPr>
            <w:tcW w:w="1124" w:type="pct"/>
            <w:noWrap w:val="0"/>
            <w:tcMar>
              <w:top w:w="16" w:type="dxa"/>
              <w:left w:w="16" w:type="dxa"/>
              <w:right w:w="16" w:type="dxa"/>
            </w:tcMar>
            <w:vAlign w:val="center"/>
          </w:tcPr>
          <w:p w14:paraId="358BA0C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rPr>
            </w:pPr>
            <w:r>
              <w:rPr>
                <w:rFonts w:hint="eastAsia"/>
                <w:color w:val="auto"/>
              </w:rPr>
              <w:t>国民经济</w:t>
            </w:r>
          </w:p>
          <w:p w14:paraId="5D682B8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rFonts w:hint="eastAsia"/>
                <w:color w:val="auto"/>
              </w:rPr>
              <w:t>行业类别</w:t>
            </w:r>
          </w:p>
        </w:tc>
        <w:tc>
          <w:tcPr>
            <w:tcW w:w="1136" w:type="pct"/>
            <w:noWrap w:val="0"/>
            <w:vAlign w:val="center"/>
          </w:tcPr>
          <w:p w14:paraId="4BD5B5A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lang w:val="en-US" w:eastAsia="zh-CN"/>
              </w:rPr>
            </w:pPr>
            <w:r>
              <w:rPr>
                <w:rFonts w:hint="eastAsia"/>
                <w:color w:val="auto"/>
                <w:lang w:val="en-US" w:eastAsia="zh-CN"/>
              </w:rPr>
              <w:t>C4220非金属废料和碎屑加工处理</w:t>
            </w:r>
          </w:p>
        </w:tc>
        <w:tc>
          <w:tcPr>
            <w:tcW w:w="1068" w:type="pct"/>
            <w:noWrap w:val="0"/>
            <w:vAlign w:val="center"/>
          </w:tcPr>
          <w:p w14:paraId="1B3F425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bookmarkStart w:id="11" w:name="_Hlk49843745"/>
            <w:r>
              <w:rPr>
                <w:rFonts w:hint="eastAsia"/>
                <w:color w:val="auto"/>
              </w:rPr>
              <w:t>建设项目</w:t>
            </w:r>
          </w:p>
          <w:p w14:paraId="6DADBB2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rFonts w:hint="eastAsia"/>
                <w:color w:val="auto"/>
              </w:rPr>
              <w:t>行业类别</w:t>
            </w:r>
            <w:bookmarkEnd w:id="11"/>
          </w:p>
        </w:tc>
        <w:tc>
          <w:tcPr>
            <w:tcW w:w="1670" w:type="pct"/>
            <w:noWrap w:val="0"/>
            <w:vAlign w:val="center"/>
          </w:tcPr>
          <w:p w14:paraId="539234D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lang w:val="en-US" w:eastAsia="zh-CN"/>
              </w:rPr>
            </w:pPr>
            <w:r>
              <w:rPr>
                <w:rFonts w:hint="eastAsia"/>
                <w:color w:val="auto"/>
                <w:lang w:val="en-US" w:eastAsia="zh-CN"/>
              </w:rPr>
              <w:t>二十七、非金属矿物制品业-石膏、水泥制品及类似制品制造 302-商品混凝土；砼结构构件制造；水泥制品制造</w:t>
            </w:r>
          </w:p>
          <w:p w14:paraId="50346AF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lang w:val="en-US" w:eastAsia="zh-CN"/>
              </w:rPr>
            </w:pPr>
            <w:r>
              <w:rPr>
                <w:rFonts w:hint="eastAsia"/>
                <w:color w:val="auto"/>
                <w:lang w:val="en-US" w:eastAsia="zh-CN"/>
              </w:rPr>
              <w:t>四十七、生态保护和环境治理业-一般工业固体废物（含污水处理污泥）、建筑施工废弃物处置及综合利用-其他</w:t>
            </w:r>
          </w:p>
        </w:tc>
      </w:tr>
      <w:tr w14:paraId="30BC7A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trPr>
        <w:tc>
          <w:tcPr>
            <w:tcW w:w="1124" w:type="pct"/>
            <w:noWrap w:val="0"/>
            <w:tcMar>
              <w:top w:w="16" w:type="dxa"/>
              <w:left w:w="16" w:type="dxa"/>
              <w:right w:w="16" w:type="dxa"/>
            </w:tcMar>
            <w:vAlign w:val="center"/>
          </w:tcPr>
          <w:p w14:paraId="4D9B768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rFonts w:hint="eastAsia"/>
                <w:color w:val="auto"/>
              </w:rPr>
              <w:t>建设性质</w:t>
            </w:r>
          </w:p>
        </w:tc>
        <w:tc>
          <w:tcPr>
            <w:tcW w:w="1136" w:type="pct"/>
            <w:noWrap w:val="0"/>
            <w:vAlign w:val="center"/>
          </w:tcPr>
          <w:p w14:paraId="3983BDE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color w:val="auto"/>
              </w:rPr>
            </w:pPr>
            <w:r>
              <w:rPr>
                <w:rFonts w:hint="eastAsia"/>
                <w:color w:val="auto"/>
                <w:lang w:eastAsia="zh-CN"/>
              </w:rPr>
              <w:t>□</w:t>
            </w:r>
            <w:r>
              <w:rPr>
                <w:rFonts w:hint="eastAsia"/>
                <w:color w:val="auto"/>
              </w:rPr>
              <w:t>新建（迁建）</w:t>
            </w:r>
          </w:p>
          <w:p w14:paraId="564CE0D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color w:val="auto"/>
              </w:rPr>
            </w:pPr>
            <w:r>
              <w:rPr>
                <w:rFonts w:hint="eastAsia"/>
                <w:color w:val="auto"/>
                <w:lang w:eastAsia="zh-CN"/>
              </w:rPr>
              <w:t>☑</w:t>
            </w:r>
            <w:r>
              <w:rPr>
                <w:rFonts w:hint="eastAsia"/>
                <w:color w:val="auto"/>
              </w:rPr>
              <w:t>改建</w:t>
            </w:r>
          </w:p>
          <w:p w14:paraId="0CDBD49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color w:val="auto"/>
              </w:rPr>
            </w:pPr>
            <w:r>
              <w:rPr>
                <w:rFonts w:hint="eastAsia"/>
                <w:color w:val="auto"/>
                <w:lang w:eastAsia="zh-CN"/>
              </w:rPr>
              <w:t>□</w:t>
            </w:r>
            <w:r>
              <w:rPr>
                <w:rFonts w:hint="eastAsia"/>
                <w:color w:val="auto"/>
              </w:rPr>
              <w:t>扩建</w:t>
            </w:r>
          </w:p>
          <w:p w14:paraId="7645F3D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color w:val="auto"/>
              </w:rPr>
            </w:pPr>
            <w:r>
              <w:rPr>
                <w:rFonts w:hint="eastAsia"/>
                <w:color w:val="auto"/>
                <w:lang w:eastAsia="zh-CN"/>
              </w:rPr>
              <w:t>□</w:t>
            </w:r>
            <w:r>
              <w:rPr>
                <w:rFonts w:hint="eastAsia"/>
                <w:color w:val="auto"/>
              </w:rPr>
              <w:t>技术改造</w:t>
            </w:r>
          </w:p>
        </w:tc>
        <w:tc>
          <w:tcPr>
            <w:tcW w:w="1068" w:type="pct"/>
            <w:noWrap w:val="0"/>
            <w:vAlign w:val="center"/>
          </w:tcPr>
          <w:p w14:paraId="0108977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rPr>
            </w:pPr>
            <w:r>
              <w:rPr>
                <w:rFonts w:hint="eastAsia"/>
                <w:color w:val="auto"/>
              </w:rPr>
              <w:t>建设项目</w:t>
            </w:r>
          </w:p>
          <w:p w14:paraId="3187522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rFonts w:hint="eastAsia"/>
                <w:color w:val="auto"/>
              </w:rPr>
              <w:t>申报情形</w:t>
            </w:r>
          </w:p>
        </w:tc>
        <w:tc>
          <w:tcPr>
            <w:tcW w:w="1670" w:type="pct"/>
            <w:noWrap w:val="0"/>
            <w:vAlign w:val="center"/>
          </w:tcPr>
          <w:p w14:paraId="21293D7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color w:val="auto"/>
              </w:rPr>
            </w:pPr>
            <w:r>
              <w:rPr>
                <w:rFonts w:hint="eastAsia"/>
                <w:color w:val="auto"/>
                <w:lang w:eastAsia="zh-CN"/>
              </w:rPr>
              <w:t>☑</w:t>
            </w:r>
            <w:r>
              <w:rPr>
                <w:rFonts w:hint="eastAsia"/>
                <w:color w:val="auto"/>
              </w:rPr>
              <w:t>首次申报项目</w:t>
            </w:r>
          </w:p>
          <w:p w14:paraId="34BCFD7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color w:val="auto"/>
              </w:rPr>
            </w:pPr>
            <w:r>
              <w:rPr>
                <w:rFonts w:hint="eastAsia"/>
                <w:color w:val="auto"/>
                <w:lang w:eastAsia="zh-CN"/>
              </w:rPr>
              <w:t>□</w:t>
            </w:r>
            <w:r>
              <w:rPr>
                <w:rFonts w:hint="eastAsia"/>
                <w:color w:val="auto"/>
              </w:rPr>
              <w:t>不予批准后再次申报项目</w:t>
            </w:r>
          </w:p>
          <w:p w14:paraId="7EF89D5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color w:val="auto"/>
              </w:rPr>
            </w:pPr>
            <w:r>
              <w:rPr>
                <w:rFonts w:hint="eastAsia"/>
                <w:color w:val="auto"/>
                <w:lang w:eastAsia="zh-CN"/>
              </w:rPr>
              <w:t>□</w:t>
            </w:r>
            <w:r>
              <w:rPr>
                <w:rFonts w:hint="eastAsia"/>
                <w:color w:val="auto"/>
              </w:rPr>
              <w:t>超五年重新审核项目</w:t>
            </w:r>
          </w:p>
          <w:p w14:paraId="0898E60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color w:val="auto"/>
              </w:rPr>
            </w:pPr>
            <w:r>
              <w:rPr>
                <w:rFonts w:hint="eastAsia"/>
                <w:color w:val="auto"/>
                <w:lang w:eastAsia="zh-CN"/>
              </w:rPr>
              <w:t>□</w:t>
            </w:r>
            <w:r>
              <w:rPr>
                <w:rFonts w:hint="eastAsia"/>
                <w:color w:val="auto"/>
              </w:rPr>
              <w:t>重大变动重新报批项目</w:t>
            </w:r>
          </w:p>
        </w:tc>
      </w:tr>
      <w:tr w14:paraId="58104C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trPr>
        <w:tc>
          <w:tcPr>
            <w:tcW w:w="1124" w:type="pct"/>
            <w:noWrap w:val="0"/>
            <w:tcMar>
              <w:top w:w="16" w:type="dxa"/>
              <w:left w:w="16" w:type="dxa"/>
              <w:right w:w="16" w:type="dxa"/>
            </w:tcMar>
            <w:vAlign w:val="center"/>
          </w:tcPr>
          <w:p w14:paraId="0364166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rFonts w:hint="eastAsia"/>
                <w:color w:val="auto"/>
              </w:rPr>
              <w:t>项目审批（核准</w:t>
            </w:r>
            <w:r>
              <w:rPr>
                <w:color w:val="auto"/>
              </w:rPr>
              <w:t>/</w:t>
            </w:r>
            <w:r>
              <w:rPr>
                <w:rFonts w:hint="eastAsia"/>
                <w:color w:val="auto"/>
              </w:rPr>
              <w:t>备案）部门（选填）</w:t>
            </w:r>
          </w:p>
        </w:tc>
        <w:tc>
          <w:tcPr>
            <w:tcW w:w="1136" w:type="pct"/>
            <w:noWrap w:val="0"/>
            <w:vAlign w:val="center"/>
          </w:tcPr>
          <w:p w14:paraId="0771394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lang w:val="en-US" w:eastAsia="zh-CN"/>
              </w:rPr>
            </w:pPr>
            <w:r>
              <w:rPr>
                <w:rFonts w:hint="eastAsia"/>
                <w:color w:val="auto"/>
                <w:lang w:val="en-US" w:eastAsia="zh-CN"/>
              </w:rPr>
              <w:t>衡阳市发展和改革委员会</w:t>
            </w:r>
          </w:p>
        </w:tc>
        <w:tc>
          <w:tcPr>
            <w:tcW w:w="1068" w:type="pct"/>
            <w:noWrap w:val="0"/>
            <w:vAlign w:val="center"/>
          </w:tcPr>
          <w:p w14:paraId="08DCC53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rPr>
            </w:pPr>
            <w:r>
              <w:rPr>
                <w:rFonts w:hint="eastAsia"/>
                <w:color w:val="auto"/>
              </w:rPr>
              <w:t>项目审批（核准</w:t>
            </w:r>
            <w:r>
              <w:rPr>
                <w:color w:val="auto"/>
              </w:rPr>
              <w:t>/</w:t>
            </w:r>
            <w:r>
              <w:rPr>
                <w:rFonts w:hint="eastAsia"/>
                <w:color w:val="auto"/>
              </w:rPr>
              <w:t>备案）文号（选填）</w:t>
            </w:r>
          </w:p>
        </w:tc>
        <w:tc>
          <w:tcPr>
            <w:tcW w:w="1670" w:type="pct"/>
            <w:noWrap w:val="0"/>
            <w:vAlign w:val="center"/>
          </w:tcPr>
          <w:p w14:paraId="5AC4098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color w:val="auto"/>
                <w:lang w:val="en-US" w:eastAsia="zh-CN"/>
              </w:rPr>
            </w:pPr>
            <w:r>
              <w:rPr>
                <w:rFonts w:hint="eastAsia"/>
                <w:color w:val="auto"/>
                <w:lang w:val="en-US" w:eastAsia="zh-CN"/>
              </w:rPr>
              <w:t>/</w:t>
            </w:r>
          </w:p>
        </w:tc>
      </w:tr>
      <w:tr w14:paraId="01C0D8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1124" w:type="pct"/>
            <w:noWrap w:val="0"/>
            <w:tcMar>
              <w:top w:w="16" w:type="dxa"/>
              <w:left w:w="16" w:type="dxa"/>
              <w:right w:w="16" w:type="dxa"/>
            </w:tcMar>
            <w:vAlign w:val="center"/>
          </w:tcPr>
          <w:p w14:paraId="3833440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rFonts w:hint="eastAsia"/>
                <w:color w:val="auto"/>
              </w:rPr>
              <w:t>总投资（万元）</w:t>
            </w:r>
          </w:p>
        </w:tc>
        <w:tc>
          <w:tcPr>
            <w:tcW w:w="1136" w:type="pct"/>
            <w:noWrap w:val="0"/>
            <w:vAlign w:val="center"/>
          </w:tcPr>
          <w:p w14:paraId="3BEF69F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lang w:val="en-US" w:eastAsia="zh-CN"/>
              </w:rPr>
            </w:pPr>
            <w:r>
              <w:rPr>
                <w:rFonts w:hint="eastAsia"/>
                <w:color w:val="auto"/>
                <w:lang w:val="en-US" w:eastAsia="zh-CN"/>
              </w:rPr>
              <w:t>500</w:t>
            </w:r>
          </w:p>
        </w:tc>
        <w:tc>
          <w:tcPr>
            <w:tcW w:w="1068" w:type="pct"/>
            <w:noWrap w:val="0"/>
            <w:tcMar>
              <w:top w:w="16" w:type="dxa"/>
              <w:left w:w="16" w:type="dxa"/>
              <w:right w:w="16" w:type="dxa"/>
            </w:tcMar>
            <w:vAlign w:val="center"/>
          </w:tcPr>
          <w:p w14:paraId="6AF278D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rFonts w:hint="eastAsia"/>
                <w:color w:val="auto"/>
              </w:rPr>
              <w:t>环保投资（万元）</w:t>
            </w:r>
          </w:p>
        </w:tc>
        <w:tc>
          <w:tcPr>
            <w:tcW w:w="1670" w:type="pct"/>
            <w:noWrap w:val="0"/>
            <w:vAlign w:val="center"/>
          </w:tcPr>
          <w:p w14:paraId="7390503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lang w:val="en-US" w:eastAsia="zh-CN"/>
              </w:rPr>
            </w:pPr>
            <w:r>
              <w:rPr>
                <w:rFonts w:hint="eastAsia"/>
                <w:color w:val="auto"/>
                <w:lang w:val="en-US" w:eastAsia="zh-CN"/>
              </w:rPr>
              <w:t>80</w:t>
            </w:r>
          </w:p>
        </w:tc>
      </w:tr>
      <w:tr w14:paraId="7BE823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1124" w:type="pct"/>
            <w:noWrap w:val="0"/>
            <w:tcMar>
              <w:top w:w="16" w:type="dxa"/>
              <w:left w:w="16" w:type="dxa"/>
              <w:right w:w="16" w:type="dxa"/>
            </w:tcMar>
            <w:vAlign w:val="center"/>
          </w:tcPr>
          <w:p w14:paraId="004750D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rFonts w:hint="eastAsia"/>
                <w:color w:val="auto"/>
              </w:rPr>
              <w:t>环保投资占比（</w:t>
            </w:r>
            <w:r>
              <w:rPr>
                <w:color w:val="auto"/>
              </w:rPr>
              <w:t>%</w:t>
            </w:r>
            <w:r>
              <w:rPr>
                <w:rFonts w:hint="eastAsia"/>
                <w:color w:val="auto"/>
              </w:rPr>
              <w:t>）</w:t>
            </w:r>
          </w:p>
        </w:tc>
        <w:tc>
          <w:tcPr>
            <w:tcW w:w="1136" w:type="pct"/>
            <w:noWrap w:val="0"/>
            <w:vAlign w:val="center"/>
          </w:tcPr>
          <w:p w14:paraId="2845730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lang w:val="en-US" w:eastAsia="zh-CN"/>
              </w:rPr>
            </w:pPr>
            <w:r>
              <w:rPr>
                <w:rFonts w:hint="eastAsia"/>
                <w:color w:val="auto"/>
                <w:lang w:val="en-US" w:eastAsia="zh-CN"/>
              </w:rPr>
              <w:t>16</w:t>
            </w:r>
          </w:p>
        </w:tc>
        <w:tc>
          <w:tcPr>
            <w:tcW w:w="1068" w:type="pct"/>
            <w:noWrap w:val="0"/>
            <w:tcMar>
              <w:top w:w="16" w:type="dxa"/>
              <w:left w:w="16" w:type="dxa"/>
              <w:right w:w="16" w:type="dxa"/>
            </w:tcMar>
            <w:vAlign w:val="center"/>
          </w:tcPr>
          <w:p w14:paraId="79B503F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rFonts w:hint="eastAsia"/>
                <w:color w:val="auto"/>
              </w:rPr>
              <w:t>施工工期</w:t>
            </w:r>
          </w:p>
        </w:tc>
        <w:tc>
          <w:tcPr>
            <w:tcW w:w="1670" w:type="pct"/>
            <w:noWrap w:val="0"/>
            <w:vAlign w:val="center"/>
          </w:tcPr>
          <w:p w14:paraId="2EC9464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lang w:val="en-US" w:eastAsia="zh-CN"/>
              </w:rPr>
            </w:pPr>
            <w:r>
              <w:rPr>
                <w:rFonts w:hint="eastAsia"/>
                <w:color w:val="auto"/>
                <w:lang w:val="en-US" w:eastAsia="zh-CN"/>
              </w:rPr>
              <w:t>2个月</w:t>
            </w:r>
          </w:p>
        </w:tc>
      </w:tr>
      <w:tr w14:paraId="24CB5E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1124" w:type="pct"/>
            <w:noWrap w:val="0"/>
            <w:tcMar>
              <w:top w:w="16" w:type="dxa"/>
              <w:left w:w="16" w:type="dxa"/>
              <w:right w:w="16" w:type="dxa"/>
            </w:tcMar>
            <w:vAlign w:val="center"/>
          </w:tcPr>
          <w:p w14:paraId="7704E6E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rPr>
            </w:pPr>
            <w:r>
              <w:rPr>
                <w:rFonts w:hint="eastAsia"/>
                <w:color w:val="auto"/>
              </w:rPr>
              <w:t>是否开工建设</w:t>
            </w:r>
          </w:p>
        </w:tc>
        <w:tc>
          <w:tcPr>
            <w:tcW w:w="1136" w:type="pct"/>
            <w:noWrap w:val="0"/>
            <w:vAlign w:val="center"/>
          </w:tcPr>
          <w:p w14:paraId="40C1FDA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color w:val="auto"/>
              </w:rPr>
            </w:pPr>
            <w:r>
              <w:rPr>
                <w:rFonts w:hint="eastAsia"/>
                <w:color w:val="auto"/>
                <w:lang w:eastAsia="zh-CN"/>
              </w:rPr>
              <w:t>☑</w:t>
            </w:r>
            <w:r>
              <w:rPr>
                <w:rFonts w:hint="eastAsia"/>
                <w:color w:val="auto"/>
              </w:rPr>
              <w:t>否</w:t>
            </w:r>
          </w:p>
          <w:p w14:paraId="4065FAC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color w:val="auto"/>
              </w:rPr>
            </w:pPr>
            <w:r>
              <w:rPr>
                <w:rFonts w:hint="eastAsia"/>
                <w:color w:val="auto"/>
                <w:lang w:eastAsia="zh-CN"/>
              </w:rPr>
              <w:t>□</w:t>
            </w:r>
            <w:r>
              <w:rPr>
                <w:rFonts w:hint="eastAsia"/>
                <w:color w:val="auto"/>
              </w:rPr>
              <w:t>是：</w:t>
            </w:r>
            <w:r>
              <w:rPr>
                <w:rFonts w:hint="eastAsia"/>
                <w:color w:val="auto"/>
                <w:u w:val="single"/>
              </w:rPr>
              <w:t xml:space="preserve">           </w:t>
            </w:r>
            <w:r>
              <w:rPr>
                <w:rFonts w:hint="eastAsia"/>
                <w:color w:val="auto"/>
              </w:rPr>
              <w:t xml:space="preserve">  </w:t>
            </w:r>
          </w:p>
        </w:tc>
        <w:tc>
          <w:tcPr>
            <w:tcW w:w="1068" w:type="pct"/>
            <w:noWrap w:val="0"/>
            <w:tcMar>
              <w:top w:w="16" w:type="dxa"/>
              <w:left w:w="16" w:type="dxa"/>
              <w:right w:w="16" w:type="dxa"/>
            </w:tcMar>
            <w:vAlign w:val="center"/>
          </w:tcPr>
          <w:p w14:paraId="17F2369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rFonts w:hint="eastAsia"/>
                <w:color w:val="auto"/>
              </w:rPr>
              <w:t>用地（用海）</w:t>
            </w:r>
          </w:p>
          <w:p w14:paraId="704553B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rPr>
            </w:pPr>
            <w:r>
              <w:rPr>
                <w:rFonts w:hint="eastAsia"/>
                <w:color w:val="auto"/>
              </w:rPr>
              <w:t>面积（</w:t>
            </w:r>
            <w:r>
              <w:rPr>
                <w:color w:val="auto"/>
              </w:rPr>
              <w:t>m</w:t>
            </w:r>
            <w:r>
              <w:rPr>
                <w:color w:val="auto"/>
                <w:vertAlign w:val="superscript"/>
              </w:rPr>
              <w:t>2</w:t>
            </w:r>
            <w:r>
              <w:rPr>
                <w:rFonts w:hint="eastAsia"/>
                <w:color w:val="auto"/>
              </w:rPr>
              <w:t>）</w:t>
            </w:r>
          </w:p>
        </w:tc>
        <w:tc>
          <w:tcPr>
            <w:tcW w:w="1670" w:type="pct"/>
            <w:noWrap w:val="0"/>
            <w:vAlign w:val="center"/>
          </w:tcPr>
          <w:p w14:paraId="79E42C6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lang w:val="en-US" w:eastAsia="zh-CN"/>
              </w:rPr>
            </w:pPr>
            <w:r>
              <w:rPr>
                <w:rFonts w:hint="eastAsia"/>
                <w:color w:val="auto"/>
                <w:lang w:val="en-US" w:eastAsia="zh-CN"/>
              </w:rPr>
              <w:t>0</w:t>
            </w:r>
          </w:p>
        </w:tc>
      </w:tr>
      <w:tr w14:paraId="46E517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124" w:type="pct"/>
            <w:noWrap w:val="0"/>
            <w:vAlign w:val="center"/>
          </w:tcPr>
          <w:p w14:paraId="60B4D4CA">
            <w:pPr>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color w:val="auto"/>
              </w:rPr>
            </w:pPr>
            <w:r>
              <w:rPr>
                <w:rFonts w:hint="eastAsia"/>
                <w:color w:val="auto"/>
              </w:rPr>
              <w:t>专项评价设置情况</w:t>
            </w:r>
          </w:p>
        </w:tc>
        <w:tc>
          <w:tcPr>
            <w:tcW w:w="3875" w:type="pct"/>
            <w:gridSpan w:val="3"/>
            <w:noWrap w:val="0"/>
            <w:vAlign w:val="center"/>
          </w:tcPr>
          <w:p w14:paraId="02D490D3">
            <w:pPr>
              <w:bidi w:val="0"/>
              <w:ind w:left="0" w:leftChars="0" w:firstLine="0" w:firstLineChars="0"/>
              <w:rPr>
                <w:rFonts w:hint="eastAsia" w:eastAsia="宋体"/>
                <w:color w:val="auto"/>
                <w:lang w:val="en-US" w:eastAsia="zh-CN"/>
              </w:rPr>
            </w:pPr>
            <w:r>
              <w:rPr>
                <w:rFonts w:hint="eastAsia"/>
                <w:color w:val="auto"/>
                <w:lang w:val="en-US" w:eastAsia="zh-CN"/>
              </w:rPr>
              <w:t>无</w:t>
            </w:r>
          </w:p>
        </w:tc>
      </w:tr>
      <w:tr w14:paraId="7A0C34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124" w:type="pct"/>
            <w:noWrap w:val="0"/>
            <w:vAlign w:val="center"/>
          </w:tcPr>
          <w:p w14:paraId="07909808">
            <w:pPr>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rFonts w:hint="eastAsia"/>
                <w:color w:val="auto"/>
              </w:rPr>
            </w:pPr>
            <w:r>
              <w:rPr>
                <w:rFonts w:hint="eastAsia"/>
                <w:color w:val="auto"/>
              </w:rPr>
              <w:t>规划情况</w:t>
            </w:r>
          </w:p>
        </w:tc>
        <w:tc>
          <w:tcPr>
            <w:tcW w:w="3875" w:type="pct"/>
            <w:gridSpan w:val="3"/>
            <w:noWrap w:val="0"/>
            <w:vAlign w:val="center"/>
          </w:tcPr>
          <w:p w14:paraId="6BCE02E2">
            <w:pPr>
              <w:bidi w:val="0"/>
              <w:ind w:left="0" w:leftChars="0" w:firstLine="0" w:firstLineChars="0"/>
              <w:rPr>
                <w:rFonts w:hint="eastAsia" w:eastAsia="宋体"/>
                <w:color w:val="auto"/>
                <w:lang w:val="en-US" w:eastAsia="zh-CN"/>
              </w:rPr>
            </w:pPr>
            <w:r>
              <w:rPr>
                <w:rFonts w:hint="eastAsia"/>
                <w:color w:val="auto"/>
                <w:lang w:val="en-US" w:eastAsia="zh-CN"/>
              </w:rPr>
              <w:t>无</w:t>
            </w:r>
          </w:p>
        </w:tc>
      </w:tr>
      <w:tr w14:paraId="1199CA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124" w:type="pct"/>
            <w:noWrap w:val="0"/>
            <w:vAlign w:val="center"/>
          </w:tcPr>
          <w:p w14:paraId="482BED39">
            <w:pPr>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rFonts w:ascii="宋体" w:hAnsi="宋体" w:cs="宋体"/>
                <w:color w:val="auto"/>
                <w:szCs w:val="21"/>
              </w:rPr>
            </w:pPr>
            <w:r>
              <w:rPr>
                <w:rFonts w:hint="eastAsia" w:ascii="宋体" w:hAnsi="宋体" w:cs="宋体"/>
                <w:color w:val="auto"/>
                <w:szCs w:val="21"/>
              </w:rPr>
              <w:t>规划环境影响</w:t>
            </w:r>
          </w:p>
          <w:p w14:paraId="54E69A77">
            <w:pPr>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rFonts w:hint="eastAsia" w:ascii="宋体" w:hAnsi="宋体" w:cs="宋体"/>
                <w:color w:val="auto"/>
                <w:kern w:val="0"/>
                <w:szCs w:val="21"/>
              </w:rPr>
            </w:pPr>
            <w:r>
              <w:rPr>
                <w:rFonts w:hint="eastAsia" w:ascii="宋体" w:hAnsi="宋体" w:cs="宋体"/>
                <w:color w:val="auto"/>
                <w:szCs w:val="21"/>
              </w:rPr>
              <w:t>评价情况</w:t>
            </w:r>
          </w:p>
        </w:tc>
        <w:tc>
          <w:tcPr>
            <w:tcW w:w="3875" w:type="pct"/>
            <w:gridSpan w:val="3"/>
            <w:noWrap w:val="0"/>
            <w:vAlign w:val="center"/>
          </w:tcPr>
          <w:p w14:paraId="60AB088B">
            <w:pPr>
              <w:bidi w:val="0"/>
              <w:ind w:left="0" w:leftChars="0" w:firstLine="0" w:firstLineChars="0"/>
              <w:rPr>
                <w:rFonts w:hint="eastAsia" w:eastAsia="宋体"/>
                <w:color w:val="auto"/>
                <w:lang w:val="en-US" w:eastAsia="zh-CN"/>
              </w:rPr>
            </w:pPr>
            <w:r>
              <w:rPr>
                <w:rFonts w:hint="eastAsia"/>
                <w:color w:val="auto"/>
                <w:lang w:val="en-US" w:eastAsia="zh-CN"/>
              </w:rPr>
              <w:t>无</w:t>
            </w:r>
          </w:p>
        </w:tc>
      </w:tr>
      <w:tr w14:paraId="60FC17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124" w:type="pct"/>
            <w:noWrap w:val="0"/>
            <w:vAlign w:val="center"/>
          </w:tcPr>
          <w:p w14:paraId="402A4EFC">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宋体" w:hAnsi="宋体" w:cs="宋体"/>
                <w:color w:val="auto"/>
                <w:kern w:val="0"/>
                <w:szCs w:val="21"/>
              </w:rPr>
            </w:pPr>
            <w:r>
              <w:rPr>
                <w:rFonts w:hint="eastAsia" w:ascii="宋体" w:hAnsi="宋体" w:cs="宋体"/>
                <w:color w:val="auto"/>
                <w:kern w:val="0"/>
                <w:szCs w:val="21"/>
              </w:rPr>
              <w:t>规划及规划环境影响评价符合性分析</w:t>
            </w:r>
          </w:p>
        </w:tc>
        <w:tc>
          <w:tcPr>
            <w:tcW w:w="3875" w:type="pct"/>
            <w:gridSpan w:val="3"/>
            <w:noWrap w:val="0"/>
            <w:vAlign w:val="center"/>
          </w:tcPr>
          <w:p w14:paraId="2B41A97D">
            <w:pPr>
              <w:bidi w:val="0"/>
              <w:ind w:left="0" w:leftChars="0" w:firstLine="0" w:firstLineChars="0"/>
              <w:rPr>
                <w:rFonts w:hint="eastAsia" w:eastAsia="宋体"/>
                <w:color w:val="auto"/>
                <w:lang w:val="en-US" w:eastAsia="zh-CN"/>
              </w:rPr>
            </w:pPr>
            <w:r>
              <w:rPr>
                <w:rFonts w:hint="eastAsia"/>
                <w:color w:val="auto"/>
                <w:lang w:val="en-US" w:eastAsia="zh-CN"/>
              </w:rPr>
              <w:t>无</w:t>
            </w:r>
          </w:p>
        </w:tc>
      </w:tr>
      <w:tr w14:paraId="45C671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124" w:type="pct"/>
            <w:noWrap w:val="0"/>
            <w:vAlign w:val="center"/>
          </w:tcPr>
          <w:p w14:paraId="655CABB2">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宋体" w:hAnsi="宋体" w:cs="宋体"/>
                <w:color w:val="auto"/>
                <w:kern w:val="0"/>
                <w:szCs w:val="21"/>
              </w:rPr>
            </w:pPr>
            <w:r>
              <w:rPr>
                <w:rFonts w:hint="eastAsia" w:ascii="宋体" w:hAnsi="宋体" w:cs="宋体"/>
                <w:color w:val="auto"/>
                <w:kern w:val="0"/>
                <w:szCs w:val="21"/>
              </w:rPr>
              <w:t>其他符合性分析</w:t>
            </w:r>
          </w:p>
        </w:tc>
        <w:tc>
          <w:tcPr>
            <w:tcW w:w="3875" w:type="pct"/>
            <w:gridSpan w:val="3"/>
            <w:noWrap w:val="0"/>
            <w:vAlign w:val="center"/>
          </w:tcPr>
          <w:p w14:paraId="33AC85BB">
            <w:pPr>
              <w:pStyle w:val="4"/>
              <w:keepNext/>
              <w:keepLines/>
              <w:pageBreakBefore w:val="0"/>
              <w:widowControl w:val="0"/>
              <w:kinsoku/>
              <w:wordWrap/>
              <w:overflowPunct w:val="0"/>
              <w:topLinePunct w:val="0"/>
              <w:autoSpaceDE/>
              <w:autoSpaceDN/>
              <w:bidi w:val="0"/>
              <w:adjustRightInd w:val="0"/>
              <w:snapToGrid w:val="0"/>
              <w:spacing w:before="0" w:beforeAutospacing="0" w:after="0" w:afterAutospacing="0"/>
              <w:textAlignment w:val="auto"/>
              <w:rPr>
                <w:rFonts w:hint="eastAsia"/>
                <w:color w:val="auto"/>
                <w:lang w:val="en-US" w:eastAsia="zh-CN"/>
              </w:rPr>
            </w:pPr>
            <w:bookmarkStart w:id="12" w:name="_Toc13095"/>
            <w:bookmarkStart w:id="13" w:name="_Toc1776"/>
            <w:bookmarkStart w:id="14" w:name="_Toc28474"/>
            <w:bookmarkStart w:id="15" w:name="_Toc7236"/>
            <w:bookmarkStart w:id="16" w:name="_Toc31347"/>
            <w:r>
              <w:rPr>
                <w:rFonts w:hint="eastAsia"/>
                <w:color w:val="auto"/>
                <w:lang w:val="en-US" w:eastAsia="zh-CN"/>
              </w:rPr>
              <w:t>1、产业政策符合性分析</w:t>
            </w:r>
            <w:bookmarkEnd w:id="12"/>
            <w:bookmarkEnd w:id="13"/>
            <w:bookmarkEnd w:id="14"/>
            <w:bookmarkEnd w:id="15"/>
            <w:bookmarkEnd w:id="16"/>
          </w:p>
          <w:p w14:paraId="054A8CB0">
            <w:pPr>
              <w:rPr>
                <w:rFonts w:hint="default"/>
                <w:color w:val="auto"/>
                <w:lang w:val="en-US" w:eastAsia="zh-CN"/>
              </w:rPr>
            </w:pPr>
            <w:r>
              <w:rPr>
                <w:rFonts w:hint="default"/>
                <w:color w:val="auto"/>
                <w:lang w:val="en-US" w:eastAsia="zh-CN"/>
              </w:rPr>
              <w:t>本项目属于《产业结构调整指导目录（</w:t>
            </w:r>
            <w:r>
              <w:rPr>
                <w:rFonts w:hint="eastAsia"/>
                <w:color w:val="auto"/>
                <w:lang w:val="en-US" w:eastAsia="zh-CN"/>
              </w:rPr>
              <w:t>2024年本</w:t>
            </w:r>
            <w:r>
              <w:rPr>
                <w:rFonts w:hint="default"/>
                <w:color w:val="auto"/>
                <w:lang w:val="en-US" w:eastAsia="zh-CN"/>
              </w:rPr>
              <w:t>）》中</w:t>
            </w:r>
            <w:r>
              <w:rPr>
                <w:rFonts w:hint="eastAsia"/>
                <w:color w:val="auto"/>
                <w:lang w:val="en-US" w:eastAsia="zh-CN"/>
              </w:rPr>
              <w:t>“第一类 鼓励类”中“四十二、环境保护与资源节约综合利用-8.废弃物循环利用”，为鼓励类项目</w:t>
            </w:r>
            <w:r>
              <w:rPr>
                <w:rFonts w:hint="default"/>
                <w:color w:val="auto"/>
                <w:lang w:val="en-US" w:eastAsia="zh-CN"/>
              </w:rPr>
              <w:t>。</w:t>
            </w:r>
          </w:p>
          <w:p w14:paraId="26A21D3E">
            <w:pPr>
              <w:rPr>
                <w:rFonts w:hint="default"/>
                <w:color w:val="auto"/>
                <w:lang w:val="en-US" w:eastAsia="zh-CN"/>
              </w:rPr>
            </w:pPr>
            <w:r>
              <w:rPr>
                <w:rFonts w:hint="default"/>
                <w:color w:val="auto"/>
                <w:lang w:val="en-US" w:eastAsia="zh-CN"/>
              </w:rPr>
              <w:t>因此，本项目符合国家产业政策的要求。</w:t>
            </w:r>
          </w:p>
          <w:p w14:paraId="02CCC8A3">
            <w:pPr>
              <w:pStyle w:val="4"/>
              <w:keepNext/>
              <w:keepLines/>
              <w:pageBreakBefore w:val="0"/>
              <w:widowControl w:val="0"/>
              <w:kinsoku/>
              <w:wordWrap/>
              <w:overflowPunct w:val="0"/>
              <w:topLinePunct w:val="0"/>
              <w:autoSpaceDE/>
              <w:autoSpaceDN/>
              <w:bidi w:val="0"/>
              <w:adjustRightInd w:val="0"/>
              <w:snapToGrid w:val="0"/>
              <w:spacing w:before="0" w:beforeAutospacing="0" w:after="0" w:afterAutospacing="0"/>
              <w:textAlignment w:val="auto"/>
              <w:rPr>
                <w:rFonts w:hint="eastAsia"/>
                <w:color w:val="auto"/>
                <w:lang w:val="en-US" w:eastAsia="zh-CN"/>
              </w:rPr>
            </w:pPr>
            <w:bookmarkStart w:id="17" w:name="_Toc16337"/>
            <w:bookmarkStart w:id="18" w:name="_Toc14229"/>
            <w:bookmarkStart w:id="19" w:name="_Toc10054"/>
            <w:bookmarkStart w:id="20" w:name="_Toc15409"/>
            <w:bookmarkStart w:id="21" w:name="_Toc20410"/>
            <w:r>
              <w:rPr>
                <w:rFonts w:hint="eastAsia"/>
                <w:color w:val="auto"/>
                <w:lang w:val="en-US" w:eastAsia="zh-CN"/>
              </w:rPr>
              <w:t>2、“三线一单”符合性分析</w:t>
            </w:r>
            <w:bookmarkEnd w:id="17"/>
            <w:bookmarkEnd w:id="18"/>
            <w:bookmarkEnd w:id="19"/>
            <w:bookmarkEnd w:id="20"/>
            <w:bookmarkEnd w:id="21"/>
          </w:p>
          <w:p w14:paraId="6DDAD9DF">
            <w:pPr>
              <w:pStyle w:val="5"/>
              <w:bidi w:val="0"/>
              <w:rPr>
                <w:rFonts w:hint="default"/>
                <w:color w:val="auto"/>
                <w:lang w:val="en-US" w:eastAsia="zh-CN"/>
              </w:rPr>
            </w:pPr>
            <w:bookmarkStart w:id="22" w:name="_Toc641"/>
            <w:bookmarkStart w:id="23" w:name="_Toc28299"/>
            <w:bookmarkStart w:id="24" w:name="_Toc32667"/>
            <w:bookmarkStart w:id="25" w:name="_Toc26687"/>
            <w:bookmarkStart w:id="26" w:name="_Toc9121"/>
            <w:r>
              <w:rPr>
                <w:rFonts w:hint="default"/>
                <w:color w:val="auto"/>
                <w:lang w:val="en-US" w:eastAsia="zh-CN"/>
              </w:rPr>
              <w:t>2.1 生态红线相符性分析</w:t>
            </w:r>
            <w:bookmarkEnd w:id="22"/>
            <w:bookmarkEnd w:id="23"/>
            <w:bookmarkEnd w:id="24"/>
            <w:bookmarkEnd w:id="25"/>
            <w:bookmarkEnd w:id="26"/>
          </w:p>
          <w:p w14:paraId="33275B7A">
            <w:pPr>
              <w:rPr>
                <w:rFonts w:hint="default"/>
                <w:color w:val="auto"/>
                <w:lang w:val="en-US" w:eastAsia="zh-CN"/>
              </w:rPr>
            </w:pPr>
            <w:r>
              <w:rPr>
                <w:rFonts w:hint="default"/>
                <w:color w:val="auto"/>
                <w:lang w:val="en-US" w:eastAsia="zh-CN"/>
              </w:rPr>
              <w:t>根据《湖南省生态保护红线》，湖南省生态保护红线划定面积为4.28万平方公里，占</w:t>
            </w:r>
            <w:r>
              <w:rPr>
                <w:rFonts w:hint="eastAsia"/>
                <w:color w:val="auto"/>
                <w:lang w:val="en-US" w:eastAsia="zh-CN"/>
              </w:rPr>
              <w:t>全省面积</w:t>
            </w:r>
            <w:r>
              <w:rPr>
                <w:rFonts w:hint="default"/>
                <w:color w:val="auto"/>
                <w:lang w:val="en-US" w:eastAsia="zh-CN"/>
              </w:rPr>
              <w:t>的20.23%。全省生态保护红线空间格局为</w:t>
            </w:r>
            <w:r>
              <w:rPr>
                <w:rFonts w:hint="eastAsia" w:ascii="宋体" w:hAnsi="宋体" w:eastAsia="宋体" w:cs="宋体"/>
                <w:color w:val="auto"/>
                <w:lang w:val="en-US" w:eastAsia="zh-CN"/>
              </w:rPr>
              <w:t>“一湖三山四水”</w:t>
            </w:r>
            <w:r>
              <w:rPr>
                <w:rFonts w:hint="default"/>
                <w:color w:val="auto"/>
                <w:lang w:val="en-US" w:eastAsia="zh-CN"/>
              </w:rPr>
              <w:t>：</w:t>
            </w:r>
            <w:r>
              <w:rPr>
                <w:rFonts w:hint="eastAsia" w:ascii="宋体" w:hAnsi="宋体" w:eastAsia="宋体" w:cs="宋体"/>
                <w:color w:val="auto"/>
                <w:lang w:val="en-US" w:eastAsia="zh-CN"/>
              </w:rPr>
              <w:t>“一湖”</w:t>
            </w:r>
            <w:r>
              <w:rPr>
                <w:rFonts w:hint="default"/>
                <w:color w:val="auto"/>
                <w:lang w:val="en-US" w:eastAsia="zh-CN"/>
              </w:rPr>
              <w:t>为洞庭湖（主要包括东洞庭湖、南洞庭湖、横岭湖、西洞庭湖等自然保护区和长江岸线），主要生态功能为生物多样性维护、洪水调蓄。</w:t>
            </w:r>
            <w:r>
              <w:rPr>
                <w:rFonts w:hint="eastAsia" w:ascii="宋体" w:hAnsi="宋体" w:eastAsia="宋体" w:cs="宋体"/>
                <w:color w:val="auto"/>
                <w:lang w:val="en-US" w:eastAsia="zh-CN"/>
              </w:rPr>
              <w:t>“三山”</w:t>
            </w:r>
            <w:r>
              <w:rPr>
                <w:rFonts w:hint="default"/>
                <w:color w:val="auto"/>
                <w:lang w:val="en-US" w:eastAsia="zh-CN"/>
              </w:rPr>
              <w:t>包括武陵—雪峰山脉生态屏障，主要生态功能为生物多样性维护与水土保持；罗霄—幕阜山脉生态屏障，主要生态功能为生物多样性维护、水源涵养和水土保持；南岭山脉生态屏障，主要生态功能为水源涵养和生物多样性维护，其中南岭山脉生态屏障是南方丘陵山地带的重要组成部分。</w:t>
            </w:r>
            <w:r>
              <w:rPr>
                <w:rFonts w:hint="eastAsia" w:ascii="宋体" w:hAnsi="宋体" w:eastAsia="宋体" w:cs="宋体"/>
                <w:color w:val="auto"/>
                <w:lang w:val="en-US" w:eastAsia="zh-CN"/>
              </w:rPr>
              <w:t>“四水”</w:t>
            </w:r>
            <w:r>
              <w:rPr>
                <w:rFonts w:hint="default"/>
                <w:color w:val="auto"/>
                <w:lang w:val="en-US" w:eastAsia="zh-CN"/>
              </w:rPr>
              <w:t>为湘资沅澧（湘江、资水、沅江、澧水）的源头区及重要水域。本项目位于湖南省衡阳市蒸湘区呆鹰岭镇振兴村江家塘组，不在上述生态保护红线范围内，符合《湖南省生态保护红线》要求。</w:t>
            </w:r>
          </w:p>
          <w:p w14:paraId="34A73D4D">
            <w:pPr>
              <w:rPr>
                <w:rFonts w:hint="default"/>
                <w:color w:val="auto"/>
                <w:lang w:val="en-US" w:eastAsia="zh-CN"/>
              </w:rPr>
            </w:pPr>
            <w:r>
              <w:rPr>
                <w:rFonts w:hint="default"/>
                <w:color w:val="auto"/>
                <w:lang w:val="en-US" w:eastAsia="zh-CN"/>
              </w:rPr>
              <w:t>项目范围内不涉及自然保护区，林地公园、风景名胜区、世界文化自然遗产、地质公园等禁止开发的生态红线区、重点保护生态红线区</w:t>
            </w:r>
            <w:r>
              <w:rPr>
                <w:rFonts w:hint="eastAsia"/>
                <w:color w:val="auto"/>
                <w:lang w:val="en-US" w:eastAsia="zh-CN"/>
              </w:rPr>
              <w:t>，以及</w:t>
            </w:r>
            <w:r>
              <w:rPr>
                <w:rFonts w:hint="default"/>
                <w:color w:val="auto"/>
                <w:lang w:val="en-US" w:eastAsia="zh-CN"/>
              </w:rPr>
              <w:t>脆弱生态保护红线区内，不会对生态保护红线造成影响，符合生态保护红线的要求。</w:t>
            </w:r>
          </w:p>
          <w:p w14:paraId="558293B4">
            <w:pPr>
              <w:pStyle w:val="5"/>
              <w:bidi w:val="0"/>
              <w:rPr>
                <w:rFonts w:hint="eastAsia"/>
                <w:color w:val="auto"/>
                <w:lang w:val="en-US" w:eastAsia="zh-CN"/>
              </w:rPr>
            </w:pPr>
            <w:bookmarkStart w:id="27" w:name="_Toc19558"/>
            <w:bookmarkStart w:id="28" w:name="_Toc23578"/>
            <w:bookmarkStart w:id="29" w:name="_Toc28534"/>
            <w:bookmarkStart w:id="30" w:name="_Toc23724"/>
            <w:bookmarkStart w:id="31" w:name="_Toc11116"/>
            <w:r>
              <w:rPr>
                <w:rFonts w:hint="eastAsia"/>
                <w:color w:val="auto"/>
                <w:lang w:val="en-US" w:eastAsia="zh-CN"/>
              </w:rPr>
              <w:t>2.2 环境质量底线相符性分析</w:t>
            </w:r>
            <w:bookmarkEnd w:id="27"/>
            <w:bookmarkEnd w:id="28"/>
            <w:bookmarkEnd w:id="29"/>
            <w:bookmarkEnd w:id="30"/>
            <w:bookmarkEnd w:id="31"/>
          </w:p>
          <w:p w14:paraId="2D528AA9">
            <w:pPr>
              <w:rPr>
                <w:rFonts w:hint="default"/>
                <w:color w:val="auto"/>
                <w:lang w:val="en-US" w:eastAsia="zh-CN"/>
              </w:rPr>
            </w:pPr>
            <w:r>
              <w:rPr>
                <w:rFonts w:hint="default"/>
                <w:color w:val="auto"/>
                <w:lang w:val="en-US" w:eastAsia="zh-CN"/>
              </w:rPr>
              <w:t>根据环境质量现状监测结果，项目所在地环境质量现状较好，各环境要素能够满足相应的环境功能区划要求。项目产生的污染物经采取相应的防护措施后可做到达标排放，不会降低区域环境质量等级，对区域环境影响较小。</w:t>
            </w:r>
          </w:p>
          <w:p w14:paraId="0EADB0C1">
            <w:pPr>
              <w:pStyle w:val="5"/>
              <w:bidi w:val="0"/>
              <w:rPr>
                <w:rFonts w:hint="default"/>
                <w:color w:val="auto"/>
                <w:lang w:val="en-US" w:eastAsia="zh-CN"/>
              </w:rPr>
            </w:pPr>
            <w:bookmarkStart w:id="32" w:name="_Toc19308"/>
            <w:bookmarkStart w:id="33" w:name="_Toc15896"/>
            <w:bookmarkStart w:id="34" w:name="_Toc9088"/>
            <w:bookmarkStart w:id="35" w:name="_Toc16712"/>
            <w:bookmarkStart w:id="36" w:name="_Toc1919"/>
            <w:bookmarkStart w:id="37" w:name="_Toc6634"/>
            <w:bookmarkStart w:id="38" w:name="_Toc30067"/>
            <w:bookmarkStart w:id="39" w:name="_Toc18799"/>
            <w:bookmarkStart w:id="40" w:name="_Toc23087"/>
            <w:r>
              <w:rPr>
                <w:rFonts w:hint="eastAsia"/>
                <w:color w:val="auto"/>
                <w:lang w:val="en-US" w:eastAsia="zh-CN"/>
              </w:rPr>
              <w:t>2.3 资源利用上线相符性分析</w:t>
            </w:r>
            <w:bookmarkEnd w:id="32"/>
            <w:bookmarkEnd w:id="33"/>
            <w:bookmarkEnd w:id="34"/>
            <w:bookmarkEnd w:id="35"/>
            <w:bookmarkEnd w:id="36"/>
            <w:bookmarkEnd w:id="37"/>
            <w:bookmarkEnd w:id="38"/>
            <w:bookmarkEnd w:id="39"/>
            <w:bookmarkEnd w:id="40"/>
          </w:p>
          <w:p w14:paraId="0D9FFABB">
            <w:pPr>
              <w:rPr>
                <w:rFonts w:hint="default"/>
                <w:color w:val="auto"/>
                <w:lang w:val="en-US" w:eastAsia="zh-CN"/>
              </w:rPr>
            </w:pPr>
            <w:r>
              <w:rPr>
                <w:rFonts w:hint="default"/>
                <w:color w:val="auto"/>
                <w:lang w:val="en-US" w:eastAsia="zh-CN"/>
              </w:rPr>
              <w:t>本项目不属于高耗能、高污染型企业。项目建设过程中所利用的资源主要为水、电，均为清洁能源，项目建成运行后通过内部管理、设备选用管理和污染治理等多方面采取合理可行的防治措施，以</w:t>
            </w:r>
            <w:r>
              <w:rPr>
                <w:rFonts w:hint="eastAsia" w:ascii="宋体" w:hAnsi="宋体" w:eastAsia="宋体" w:cs="宋体"/>
                <w:color w:val="auto"/>
                <w:lang w:val="en-US" w:eastAsia="zh-CN"/>
              </w:rPr>
              <w:t>“节能、降耗、减污”</w:t>
            </w:r>
            <w:r>
              <w:rPr>
                <w:rFonts w:hint="default"/>
                <w:color w:val="auto"/>
                <w:lang w:val="en-US" w:eastAsia="zh-CN"/>
              </w:rPr>
              <w:t>为目标，有效的控制污染。项目的水、电等资源利用不会突破区域的资源利用上线。</w:t>
            </w:r>
          </w:p>
          <w:p w14:paraId="0D58E4E1">
            <w:pPr>
              <w:pStyle w:val="5"/>
              <w:bidi w:val="0"/>
              <w:rPr>
                <w:rFonts w:hint="eastAsia"/>
                <w:color w:val="auto"/>
                <w:lang w:val="en-US" w:eastAsia="zh-CN"/>
              </w:rPr>
            </w:pPr>
            <w:bookmarkStart w:id="41" w:name="_Toc21371"/>
            <w:bookmarkStart w:id="42" w:name="_Toc13312"/>
            <w:bookmarkStart w:id="43" w:name="_Toc27321"/>
            <w:bookmarkStart w:id="44" w:name="_Toc22009"/>
            <w:bookmarkStart w:id="45" w:name="_Toc15776"/>
            <w:r>
              <w:rPr>
                <w:rFonts w:hint="eastAsia"/>
                <w:color w:val="auto"/>
                <w:lang w:val="en-US" w:eastAsia="zh-CN"/>
              </w:rPr>
              <w:t>2.4 生态环境准入清单相符性分析</w:t>
            </w:r>
            <w:bookmarkEnd w:id="41"/>
            <w:bookmarkEnd w:id="42"/>
            <w:bookmarkEnd w:id="43"/>
            <w:bookmarkEnd w:id="44"/>
            <w:bookmarkEnd w:id="45"/>
          </w:p>
          <w:p w14:paraId="57B3DDCF">
            <w:pPr>
              <w:rPr>
                <w:rFonts w:hint="eastAsia"/>
                <w:color w:val="auto"/>
                <w:lang w:val="en-US" w:eastAsia="zh-CN"/>
              </w:rPr>
            </w:pPr>
            <w:r>
              <w:rPr>
                <w:rFonts w:hint="eastAsia"/>
                <w:color w:val="auto"/>
                <w:lang w:val="en-US" w:eastAsia="zh-CN"/>
              </w:rPr>
              <w:t>本项目选址于湖南省衡阳市蒸湘区呆鹰岭镇振兴村江家塘组，不属于省级以上产业园区。根据《衡阳市人民政府关于实施“三线一单”生态环境分区管控的意见》，本项目所在蒸湘区为重点管控单元，环境管控单元编码ZH43040820002，本项目与衡阳市生态环境准入清单相符性分析详见表1-1。</w:t>
            </w:r>
          </w:p>
          <w:p w14:paraId="7070A449">
            <w:pPr>
              <w:pStyle w:val="18"/>
              <w:bidi w:val="0"/>
              <w:rPr>
                <w:rFonts w:hint="eastAsia"/>
                <w:color w:val="auto"/>
                <w:lang w:val="en-US" w:eastAsia="zh-CN"/>
              </w:rPr>
            </w:pPr>
            <w:r>
              <w:rPr>
                <w:rFonts w:hint="eastAsia"/>
                <w:color w:val="auto"/>
                <w:lang w:val="en-US" w:eastAsia="zh-CN"/>
              </w:rPr>
              <w:t>表1-1 本项目与衡阳市蒸湘区生态环境准入清单相符性分析</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675"/>
              <w:gridCol w:w="3088"/>
              <w:gridCol w:w="1541"/>
              <w:gridCol w:w="880"/>
            </w:tblGrid>
            <w:tr w14:paraId="79848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dxa"/>
                  <w:noWrap w:val="0"/>
                  <w:vAlign w:val="center"/>
                </w:tcPr>
                <w:p w14:paraId="182D7C5F">
                  <w:pPr>
                    <w:pStyle w:val="17"/>
                    <w:jc w:val="center"/>
                    <w:rPr>
                      <w:rFonts w:hint="default"/>
                      <w:color w:val="auto"/>
                      <w:vertAlign w:val="baseline"/>
                      <w:lang w:val="en-US" w:eastAsia="zh-CN"/>
                    </w:rPr>
                  </w:pPr>
                  <w:r>
                    <w:rPr>
                      <w:rFonts w:hint="eastAsia"/>
                      <w:color w:val="auto"/>
                      <w:vertAlign w:val="baseline"/>
                      <w:lang w:val="en-US" w:eastAsia="zh-CN"/>
                    </w:rPr>
                    <w:t>序号</w:t>
                  </w:r>
                </w:p>
              </w:tc>
              <w:tc>
                <w:tcPr>
                  <w:tcW w:w="675" w:type="dxa"/>
                  <w:noWrap w:val="0"/>
                  <w:vAlign w:val="center"/>
                </w:tcPr>
                <w:p w14:paraId="2BD39455">
                  <w:pPr>
                    <w:pStyle w:val="17"/>
                    <w:jc w:val="center"/>
                    <w:rPr>
                      <w:rFonts w:hint="default"/>
                      <w:color w:val="auto"/>
                      <w:vertAlign w:val="baseline"/>
                      <w:lang w:val="en-US" w:eastAsia="zh-CN"/>
                    </w:rPr>
                  </w:pPr>
                  <w:r>
                    <w:rPr>
                      <w:rFonts w:hint="eastAsia"/>
                      <w:color w:val="auto"/>
                      <w:vertAlign w:val="baseline"/>
                      <w:lang w:val="en-US" w:eastAsia="zh-CN"/>
                    </w:rPr>
                    <w:t>管控维度</w:t>
                  </w:r>
                </w:p>
              </w:tc>
              <w:tc>
                <w:tcPr>
                  <w:tcW w:w="3088" w:type="dxa"/>
                  <w:noWrap w:val="0"/>
                  <w:vAlign w:val="center"/>
                </w:tcPr>
                <w:p w14:paraId="5B4851E5">
                  <w:pPr>
                    <w:pStyle w:val="17"/>
                    <w:jc w:val="center"/>
                    <w:rPr>
                      <w:rFonts w:hint="default"/>
                      <w:color w:val="auto"/>
                      <w:vertAlign w:val="baseline"/>
                      <w:lang w:val="en-US" w:eastAsia="zh-CN"/>
                    </w:rPr>
                  </w:pPr>
                  <w:r>
                    <w:rPr>
                      <w:rFonts w:hint="eastAsia"/>
                      <w:color w:val="auto"/>
                      <w:vertAlign w:val="baseline"/>
                      <w:lang w:val="en-US" w:eastAsia="zh-CN"/>
                    </w:rPr>
                    <w:t>管控要求</w:t>
                  </w:r>
                </w:p>
              </w:tc>
              <w:tc>
                <w:tcPr>
                  <w:tcW w:w="1541" w:type="dxa"/>
                  <w:noWrap w:val="0"/>
                  <w:vAlign w:val="center"/>
                </w:tcPr>
                <w:p w14:paraId="090E3453">
                  <w:pPr>
                    <w:pStyle w:val="17"/>
                    <w:jc w:val="center"/>
                    <w:rPr>
                      <w:rFonts w:hint="default"/>
                      <w:color w:val="auto"/>
                      <w:vertAlign w:val="baseline"/>
                      <w:lang w:val="en-US" w:eastAsia="zh-CN"/>
                    </w:rPr>
                  </w:pPr>
                  <w:r>
                    <w:rPr>
                      <w:rFonts w:hint="eastAsia"/>
                      <w:color w:val="auto"/>
                      <w:vertAlign w:val="baseline"/>
                      <w:lang w:val="en-US" w:eastAsia="zh-CN"/>
                    </w:rPr>
                    <w:t>实际情况</w:t>
                  </w:r>
                </w:p>
              </w:tc>
              <w:tc>
                <w:tcPr>
                  <w:tcW w:w="880" w:type="dxa"/>
                  <w:noWrap w:val="0"/>
                  <w:vAlign w:val="center"/>
                </w:tcPr>
                <w:p w14:paraId="26D8B691">
                  <w:pPr>
                    <w:pStyle w:val="17"/>
                    <w:jc w:val="center"/>
                    <w:rPr>
                      <w:rFonts w:hint="default"/>
                      <w:color w:val="auto"/>
                      <w:vertAlign w:val="baseline"/>
                      <w:lang w:val="en-US" w:eastAsia="zh-CN"/>
                    </w:rPr>
                  </w:pPr>
                  <w:r>
                    <w:rPr>
                      <w:rFonts w:hint="eastAsia"/>
                      <w:color w:val="auto"/>
                      <w:vertAlign w:val="baseline"/>
                      <w:lang w:val="en-US" w:eastAsia="zh-CN"/>
                    </w:rPr>
                    <w:t>相符性分析</w:t>
                  </w:r>
                </w:p>
              </w:tc>
            </w:tr>
            <w:tr w14:paraId="518AE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dxa"/>
                  <w:noWrap w:val="0"/>
                  <w:vAlign w:val="center"/>
                </w:tcPr>
                <w:p w14:paraId="00E1DB79">
                  <w:pPr>
                    <w:pStyle w:val="17"/>
                    <w:jc w:val="center"/>
                    <w:rPr>
                      <w:rFonts w:hint="default"/>
                      <w:color w:val="auto"/>
                      <w:vertAlign w:val="baseline"/>
                      <w:lang w:val="en-US" w:eastAsia="zh-CN"/>
                    </w:rPr>
                  </w:pPr>
                  <w:r>
                    <w:rPr>
                      <w:rFonts w:hint="eastAsia"/>
                      <w:color w:val="auto"/>
                      <w:vertAlign w:val="baseline"/>
                      <w:lang w:val="en-US" w:eastAsia="zh-CN"/>
                    </w:rPr>
                    <w:t>1</w:t>
                  </w:r>
                </w:p>
              </w:tc>
              <w:tc>
                <w:tcPr>
                  <w:tcW w:w="675" w:type="dxa"/>
                  <w:noWrap w:val="0"/>
                  <w:vAlign w:val="center"/>
                </w:tcPr>
                <w:p w14:paraId="1897B15B">
                  <w:pPr>
                    <w:pStyle w:val="17"/>
                    <w:jc w:val="center"/>
                    <w:rPr>
                      <w:rFonts w:hint="default"/>
                      <w:color w:val="auto"/>
                      <w:vertAlign w:val="baseline"/>
                      <w:lang w:val="en-US" w:eastAsia="zh-CN"/>
                    </w:rPr>
                  </w:pPr>
                  <w:r>
                    <w:rPr>
                      <w:rFonts w:hint="eastAsia"/>
                      <w:color w:val="auto"/>
                      <w:vertAlign w:val="baseline"/>
                      <w:lang w:val="en-US" w:eastAsia="zh-CN"/>
                    </w:rPr>
                    <w:t>主要属性</w:t>
                  </w:r>
                </w:p>
              </w:tc>
              <w:tc>
                <w:tcPr>
                  <w:tcW w:w="3088" w:type="dxa"/>
                  <w:noWrap w:val="0"/>
                  <w:vAlign w:val="center"/>
                </w:tcPr>
                <w:p w14:paraId="5CC51535">
                  <w:pPr>
                    <w:pStyle w:val="17"/>
                    <w:jc w:val="both"/>
                    <w:rPr>
                      <w:rFonts w:hint="default"/>
                      <w:color w:val="auto"/>
                      <w:vertAlign w:val="baseline"/>
                      <w:lang w:val="en-US" w:eastAsia="zh-CN"/>
                    </w:rPr>
                  </w:pPr>
                  <w:r>
                    <w:rPr>
                      <w:rFonts w:hint="default"/>
                      <w:color w:val="auto"/>
                      <w:vertAlign w:val="baseline"/>
                      <w:lang w:val="en-US" w:eastAsia="zh-CN"/>
                    </w:rPr>
                    <w:t>呆鹰岭镇</w:t>
                  </w:r>
                </w:p>
                <w:p w14:paraId="72070EB5">
                  <w:pPr>
                    <w:pStyle w:val="17"/>
                    <w:jc w:val="both"/>
                    <w:rPr>
                      <w:rFonts w:hint="default"/>
                      <w:color w:val="auto"/>
                      <w:vertAlign w:val="baseline"/>
                      <w:lang w:val="en-US" w:eastAsia="zh-CN"/>
                    </w:rPr>
                  </w:pPr>
                  <w:r>
                    <w:rPr>
                      <w:rFonts w:hint="default"/>
                      <w:color w:val="auto"/>
                      <w:vertAlign w:val="baseline"/>
                      <w:lang w:val="en-US" w:eastAsia="zh-CN"/>
                    </w:rPr>
                    <w:t>▉红线/一般生态空间——水产种质资源保护区/水源涵养重要区</w:t>
                  </w:r>
                </w:p>
                <w:p w14:paraId="3E39DA73">
                  <w:pPr>
                    <w:pStyle w:val="17"/>
                    <w:jc w:val="both"/>
                    <w:rPr>
                      <w:rFonts w:hint="default"/>
                      <w:color w:val="auto"/>
                      <w:vertAlign w:val="baseline"/>
                      <w:lang w:val="en-US" w:eastAsia="zh-CN"/>
                    </w:rPr>
                  </w:pPr>
                  <w:r>
                    <w:rPr>
                      <w:rFonts w:hint="default"/>
                      <w:color w:val="auto"/>
                      <w:vertAlign w:val="baseline"/>
                      <w:lang w:val="en-US" w:eastAsia="zh-CN"/>
                    </w:rPr>
                    <w:t>▉水环境城镇生活污染重点管控区/水环境优先保护区——角山污水处理厂/湘江衡阳段四大家鱼国家级水产种质资源保护区</w:t>
                  </w:r>
                </w:p>
                <w:p w14:paraId="792F29A8">
                  <w:pPr>
                    <w:pStyle w:val="17"/>
                    <w:jc w:val="both"/>
                    <w:rPr>
                      <w:rFonts w:hint="default"/>
                      <w:color w:val="auto"/>
                      <w:vertAlign w:val="baseline"/>
                      <w:lang w:val="en-US" w:eastAsia="zh-CN"/>
                    </w:rPr>
                  </w:pPr>
                  <w:r>
                    <w:rPr>
                      <w:rFonts w:hint="default"/>
                      <w:color w:val="auto"/>
                      <w:vertAlign w:val="baseline"/>
                      <w:lang w:val="en-US" w:eastAsia="zh-CN"/>
                    </w:rPr>
                    <w:t>▉大气环境弱扩散重点管控区/大气环境受体敏感重点管控区/大气环境高排放重点管控区——衡阳高新区/蒸湘区呆鹰岭企业集中区</w:t>
                  </w:r>
                </w:p>
                <w:p w14:paraId="384B403A">
                  <w:pPr>
                    <w:pStyle w:val="17"/>
                    <w:jc w:val="both"/>
                    <w:rPr>
                      <w:rFonts w:hint="default"/>
                      <w:color w:val="auto"/>
                      <w:vertAlign w:val="baseline"/>
                      <w:lang w:val="en-US" w:eastAsia="zh-CN"/>
                    </w:rPr>
                  </w:pPr>
                  <w:r>
                    <w:rPr>
                      <w:rFonts w:hint="default"/>
                      <w:color w:val="auto"/>
                      <w:vertAlign w:val="baseline"/>
                      <w:lang w:val="en-US" w:eastAsia="zh-CN"/>
                    </w:rPr>
                    <w:t>▉农用地优先保护区/其他土壤重点管控区——市县级采矿权</w:t>
                  </w:r>
                </w:p>
              </w:tc>
              <w:tc>
                <w:tcPr>
                  <w:tcW w:w="1541" w:type="dxa"/>
                  <w:noWrap w:val="0"/>
                  <w:vAlign w:val="center"/>
                </w:tcPr>
                <w:p w14:paraId="60316B85">
                  <w:pPr>
                    <w:pStyle w:val="17"/>
                    <w:jc w:val="both"/>
                    <w:rPr>
                      <w:rFonts w:hint="eastAsia"/>
                      <w:color w:val="auto"/>
                      <w:vertAlign w:val="baseline"/>
                      <w:lang w:val="en-US" w:eastAsia="zh-CN"/>
                    </w:rPr>
                  </w:pPr>
                  <w:r>
                    <w:rPr>
                      <w:rFonts w:hint="eastAsia"/>
                      <w:color w:val="auto"/>
                      <w:vertAlign w:val="baseline"/>
                      <w:lang w:val="en-US" w:eastAsia="zh-CN"/>
                    </w:rPr>
                    <w:t>（1）本项目不涉及生态</w:t>
                  </w:r>
                  <w:r>
                    <w:rPr>
                      <w:rFonts w:hint="default"/>
                      <w:color w:val="auto"/>
                      <w:vertAlign w:val="baseline"/>
                      <w:lang w:val="en-US" w:eastAsia="zh-CN"/>
                    </w:rPr>
                    <w:t>红线/一般生态空间</w:t>
                  </w:r>
                  <w:r>
                    <w:rPr>
                      <w:rFonts w:hint="eastAsia"/>
                      <w:color w:val="auto"/>
                      <w:vertAlign w:val="baseline"/>
                      <w:lang w:val="en-US" w:eastAsia="zh-CN"/>
                    </w:rPr>
                    <w:t>；</w:t>
                  </w:r>
                </w:p>
                <w:p w14:paraId="13233DE7">
                  <w:pPr>
                    <w:pStyle w:val="17"/>
                    <w:jc w:val="both"/>
                    <w:rPr>
                      <w:rFonts w:hint="eastAsia"/>
                      <w:color w:val="auto"/>
                      <w:vertAlign w:val="baseline"/>
                      <w:lang w:val="en-US" w:eastAsia="zh-CN"/>
                    </w:rPr>
                  </w:pPr>
                  <w:r>
                    <w:rPr>
                      <w:rFonts w:hint="eastAsia"/>
                      <w:color w:val="auto"/>
                      <w:vertAlign w:val="baseline"/>
                      <w:lang w:val="en-US" w:eastAsia="zh-CN"/>
                    </w:rPr>
                    <w:t>（2）本项目不涉及</w:t>
                  </w:r>
                  <w:r>
                    <w:rPr>
                      <w:rFonts w:hint="default"/>
                      <w:color w:val="auto"/>
                      <w:vertAlign w:val="baseline"/>
                      <w:lang w:val="en-US" w:eastAsia="zh-CN"/>
                    </w:rPr>
                    <w:t>水环境城镇生活污染重点管控区/水环境优先保护区</w:t>
                  </w:r>
                  <w:r>
                    <w:rPr>
                      <w:rFonts w:hint="eastAsia"/>
                      <w:color w:val="auto"/>
                      <w:vertAlign w:val="baseline"/>
                      <w:lang w:val="en-US" w:eastAsia="zh-CN"/>
                    </w:rPr>
                    <w:t>；</w:t>
                  </w:r>
                </w:p>
                <w:p w14:paraId="789B376E">
                  <w:pPr>
                    <w:pStyle w:val="17"/>
                    <w:jc w:val="both"/>
                    <w:rPr>
                      <w:rFonts w:hint="eastAsia"/>
                      <w:color w:val="auto"/>
                      <w:vertAlign w:val="baseline"/>
                      <w:lang w:val="en-US" w:eastAsia="zh-CN"/>
                    </w:rPr>
                  </w:pPr>
                  <w:r>
                    <w:rPr>
                      <w:rFonts w:hint="eastAsia"/>
                      <w:color w:val="auto"/>
                      <w:vertAlign w:val="baseline"/>
                      <w:lang w:val="en-US" w:eastAsia="zh-CN"/>
                    </w:rPr>
                    <w:t>（3）本项目属于</w:t>
                  </w:r>
                  <w:r>
                    <w:rPr>
                      <w:rFonts w:hint="default"/>
                      <w:color w:val="auto"/>
                      <w:vertAlign w:val="baseline"/>
                      <w:lang w:val="en-US" w:eastAsia="zh-CN"/>
                    </w:rPr>
                    <w:t>蒸湘区呆鹰岭企业集中区</w:t>
                  </w:r>
                  <w:r>
                    <w:rPr>
                      <w:rFonts w:hint="eastAsia"/>
                      <w:color w:val="auto"/>
                      <w:vertAlign w:val="baseline"/>
                      <w:lang w:val="en-US" w:eastAsia="zh-CN"/>
                    </w:rPr>
                    <w:t>；</w:t>
                  </w:r>
                </w:p>
                <w:p w14:paraId="2D3404DE">
                  <w:pPr>
                    <w:pStyle w:val="17"/>
                    <w:jc w:val="both"/>
                    <w:rPr>
                      <w:rFonts w:hint="default"/>
                      <w:color w:val="auto"/>
                      <w:vertAlign w:val="baseline"/>
                      <w:lang w:val="en-US" w:eastAsia="zh-CN"/>
                    </w:rPr>
                  </w:pPr>
                  <w:r>
                    <w:rPr>
                      <w:rFonts w:hint="eastAsia"/>
                      <w:color w:val="auto"/>
                      <w:vertAlign w:val="baseline"/>
                      <w:lang w:val="en-US" w:eastAsia="zh-CN"/>
                    </w:rPr>
                    <w:t>（4）本项目不属于农用地优先保护区/其他土壤重点管控区。</w:t>
                  </w:r>
                </w:p>
              </w:tc>
              <w:tc>
                <w:tcPr>
                  <w:tcW w:w="880" w:type="dxa"/>
                  <w:noWrap w:val="0"/>
                  <w:vAlign w:val="center"/>
                </w:tcPr>
                <w:p w14:paraId="57ED2053">
                  <w:pPr>
                    <w:pStyle w:val="17"/>
                    <w:jc w:val="center"/>
                    <w:rPr>
                      <w:rFonts w:hint="default"/>
                      <w:color w:val="auto"/>
                      <w:vertAlign w:val="baseline"/>
                      <w:lang w:val="en-US" w:eastAsia="zh-CN"/>
                    </w:rPr>
                  </w:pPr>
                  <w:r>
                    <w:rPr>
                      <w:rFonts w:hint="eastAsia"/>
                      <w:color w:val="auto"/>
                      <w:vertAlign w:val="baseline"/>
                      <w:lang w:val="en-US" w:eastAsia="zh-CN"/>
                    </w:rPr>
                    <w:t>相符</w:t>
                  </w:r>
                </w:p>
              </w:tc>
            </w:tr>
            <w:tr w14:paraId="27F9D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dxa"/>
                  <w:noWrap w:val="0"/>
                  <w:vAlign w:val="center"/>
                </w:tcPr>
                <w:p w14:paraId="3E8F6996">
                  <w:pPr>
                    <w:pStyle w:val="17"/>
                    <w:jc w:val="center"/>
                    <w:rPr>
                      <w:rFonts w:hint="default"/>
                      <w:color w:val="auto"/>
                      <w:vertAlign w:val="baseline"/>
                      <w:lang w:val="en-US" w:eastAsia="zh-CN"/>
                    </w:rPr>
                  </w:pPr>
                  <w:r>
                    <w:rPr>
                      <w:rFonts w:hint="eastAsia"/>
                      <w:color w:val="auto"/>
                      <w:vertAlign w:val="baseline"/>
                      <w:lang w:val="en-US" w:eastAsia="zh-CN"/>
                    </w:rPr>
                    <w:t>2</w:t>
                  </w:r>
                </w:p>
              </w:tc>
              <w:tc>
                <w:tcPr>
                  <w:tcW w:w="675" w:type="dxa"/>
                  <w:noWrap w:val="0"/>
                  <w:vAlign w:val="center"/>
                </w:tcPr>
                <w:p w14:paraId="10AD7B41">
                  <w:pPr>
                    <w:pStyle w:val="17"/>
                    <w:jc w:val="center"/>
                    <w:rPr>
                      <w:rFonts w:hint="default"/>
                      <w:color w:val="auto"/>
                      <w:vertAlign w:val="baseline"/>
                      <w:lang w:val="en-US" w:eastAsia="zh-CN"/>
                    </w:rPr>
                  </w:pPr>
                  <w:r>
                    <w:rPr>
                      <w:rFonts w:hint="default"/>
                      <w:color w:val="auto"/>
                      <w:vertAlign w:val="baseline"/>
                      <w:lang w:val="en-US" w:eastAsia="zh-CN"/>
                    </w:rPr>
                    <w:t>空间布局约束</w:t>
                  </w:r>
                </w:p>
              </w:tc>
              <w:tc>
                <w:tcPr>
                  <w:tcW w:w="3088" w:type="dxa"/>
                  <w:noWrap w:val="0"/>
                  <w:vAlign w:val="center"/>
                </w:tcPr>
                <w:p w14:paraId="06C86C52">
                  <w:pPr>
                    <w:pStyle w:val="17"/>
                    <w:jc w:val="both"/>
                    <w:rPr>
                      <w:rFonts w:hint="default"/>
                      <w:color w:val="auto"/>
                      <w:vertAlign w:val="baseline"/>
                      <w:lang w:val="en-US" w:eastAsia="zh-CN"/>
                    </w:rPr>
                  </w:pPr>
                  <w:r>
                    <w:rPr>
                      <w:rFonts w:hint="default"/>
                      <w:color w:val="auto"/>
                      <w:vertAlign w:val="baseline"/>
                      <w:lang w:val="en-US" w:eastAsia="zh-CN"/>
                    </w:rPr>
                    <w:t>（1.1）严格限制高污染、高能耗等污染产业进入。</w:t>
                  </w:r>
                </w:p>
                <w:p w14:paraId="28E85A09">
                  <w:pPr>
                    <w:pStyle w:val="17"/>
                    <w:jc w:val="both"/>
                    <w:rPr>
                      <w:rFonts w:hint="default"/>
                      <w:color w:val="auto"/>
                      <w:vertAlign w:val="baseline"/>
                      <w:lang w:val="en-US" w:eastAsia="zh-CN"/>
                    </w:rPr>
                  </w:pPr>
                  <w:r>
                    <w:rPr>
                      <w:rFonts w:hint="default"/>
                      <w:color w:val="auto"/>
                      <w:vertAlign w:val="baseline"/>
                      <w:lang w:val="en-US" w:eastAsia="zh-CN"/>
                    </w:rPr>
                    <w:t>（1.2）水产种质资源保护区按《水产种质资源保护区管理暂行办法》（2016年修正本）要求管理。</w:t>
                  </w:r>
                </w:p>
              </w:tc>
              <w:tc>
                <w:tcPr>
                  <w:tcW w:w="1541" w:type="dxa"/>
                  <w:noWrap w:val="0"/>
                  <w:vAlign w:val="center"/>
                </w:tcPr>
                <w:p w14:paraId="6E851307">
                  <w:pPr>
                    <w:pStyle w:val="17"/>
                    <w:jc w:val="both"/>
                    <w:rPr>
                      <w:rFonts w:hint="eastAsia"/>
                      <w:color w:val="auto"/>
                      <w:vertAlign w:val="baseline"/>
                      <w:lang w:val="en-US" w:eastAsia="zh-CN"/>
                    </w:rPr>
                  </w:pPr>
                  <w:r>
                    <w:rPr>
                      <w:rFonts w:hint="eastAsia"/>
                      <w:color w:val="auto"/>
                      <w:vertAlign w:val="baseline"/>
                      <w:lang w:val="en-US" w:eastAsia="zh-CN"/>
                    </w:rPr>
                    <w:t>（1.1）本项目不属于高污染、高能耗等污染产业；</w:t>
                  </w:r>
                </w:p>
                <w:p w14:paraId="4F062765">
                  <w:pPr>
                    <w:pStyle w:val="17"/>
                    <w:jc w:val="both"/>
                    <w:rPr>
                      <w:rFonts w:hint="default"/>
                      <w:color w:val="auto"/>
                      <w:vertAlign w:val="baseline"/>
                      <w:lang w:val="en-US" w:eastAsia="zh-CN"/>
                    </w:rPr>
                  </w:pPr>
                  <w:r>
                    <w:rPr>
                      <w:rFonts w:hint="eastAsia"/>
                      <w:color w:val="auto"/>
                      <w:vertAlign w:val="baseline"/>
                      <w:lang w:val="en-US" w:eastAsia="zh-CN"/>
                    </w:rPr>
                    <w:t>（1.2）本项目不涉及</w:t>
                  </w:r>
                  <w:r>
                    <w:rPr>
                      <w:rFonts w:hint="default"/>
                      <w:color w:val="auto"/>
                      <w:vertAlign w:val="baseline"/>
                      <w:lang w:val="en-US" w:eastAsia="zh-CN"/>
                    </w:rPr>
                    <w:t>水产种质资源保护区</w:t>
                  </w:r>
                  <w:r>
                    <w:rPr>
                      <w:rFonts w:hint="eastAsia"/>
                      <w:color w:val="auto"/>
                      <w:vertAlign w:val="baseline"/>
                      <w:lang w:val="en-US" w:eastAsia="zh-CN"/>
                    </w:rPr>
                    <w:t>。</w:t>
                  </w:r>
                </w:p>
              </w:tc>
              <w:tc>
                <w:tcPr>
                  <w:tcW w:w="880" w:type="dxa"/>
                  <w:noWrap w:val="0"/>
                  <w:vAlign w:val="center"/>
                </w:tcPr>
                <w:p w14:paraId="19671B47">
                  <w:pPr>
                    <w:pStyle w:val="17"/>
                    <w:jc w:val="center"/>
                    <w:rPr>
                      <w:rFonts w:hint="default"/>
                      <w:color w:val="auto"/>
                      <w:vertAlign w:val="baseline"/>
                      <w:lang w:val="en-US" w:eastAsia="zh-CN"/>
                    </w:rPr>
                  </w:pPr>
                  <w:r>
                    <w:rPr>
                      <w:rFonts w:hint="eastAsia"/>
                      <w:color w:val="auto"/>
                      <w:vertAlign w:val="baseline"/>
                      <w:lang w:val="en-US" w:eastAsia="zh-CN"/>
                    </w:rPr>
                    <w:t>相符</w:t>
                  </w:r>
                </w:p>
              </w:tc>
            </w:tr>
            <w:tr w14:paraId="6C5EE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dxa"/>
                  <w:noWrap w:val="0"/>
                  <w:vAlign w:val="center"/>
                </w:tcPr>
                <w:p w14:paraId="27D879EC">
                  <w:pPr>
                    <w:pStyle w:val="17"/>
                    <w:jc w:val="center"/>
                    <w:rPr>
                      <w:rFonts w:hint="default"/>
                      <w:color w:val="auto"/>
                      <w:vertAlign w:val="baseline"/>
                      <w:lang w:val="en-US" w:eastAsia="zh-CN"/>
                    </w:rPr>
                  </w:pPr>
                  <w:r>
                    <w:rPr>
                      <w:rFonts w:hint="eastAsia"/>
                      <w:color w:val="auto"/>
                      <w:vertAlign w:val="baseline"/>
                      <w:lang w:val="en-US" w:eastAsia="zh-CN"/>
                    </w:rPr>
                    <w:t>3</w:t>
                  </w:r>
                </w:p>
              </w:tc>
              <w:tc>
                <w:tcPr>
                  <w:tcW w:w="675" w:type="dxa"/>
                  <w:noWrap w:val="0"/>
                  <w:vAlign w:val="center"/>
                </w:tcPr>
                <w:p w14:paraId="3B978314">
                  <w:pPr>
                    <w:pStyle w:val="17"/>
                    <w:jc w:val="center"/>
                    <w:rPr>
                      <w:rFonts w:hint="default"/>
                      <w:color w:val="auto"/>
                      <w:vertAlign w:val="baseline"/>
                      <w:lang w:val="en-US" w:eastAsia="zh-CN"/>
                    </w:rPr>
                  </w:pPr>
                  <w:r>
                    <w:rPr>
                      <w:rFonts w:hint="default"/>
                      <w:color w:val="auto"/>
                      <w:vertAlign w:val="baseline"/>
                      <w:lang w:val="en-US" w:eastAsia="zh-CN"/>
                    </w:rPr>
                    <w:t>污染物排放管控</w:t>
                  </w:r>
                </w:p>
              </w:tc>
              <w:tc>
                <w:tcPr>
                  <w:tcW w:w="3088" w:type="dxa"/>
                  <w:noWrap w:val="0"/>
                  <w:vAlign w:val="center"/>
                </w:tcPr>
                <w:p w14:paraId="0D1B0F22">
                  <w:pPr>
                    <w:pStyle w:val="17"/>
                    <w:jc w:val="both"/>
                    <w:rPr>
                      <w:rFonts w:hint="default"/>
                      <w:color w:val="auto"/>
                      <w:vertAlign w:val="baseline"/>
                      <w:lang w:val="en-US" w:eastAsia="zh-CN"/>
                    </w:rPr>
                  </w:pPr>
                  <w:r>
                    <w:rPr>
                      <w:rFonts w:hint="default"/>
                      <w:color w:val="auto"/>
                      <w:vertAlign w:val="baseline"/>
                      <w:lang w:val="en-US" w:eastAsia="zh-CN"/>
                    </w:rPr>
                    <w:t>（2.1）开展蒸水蒸湘区段环境综合整治，在枯水期对重点断面、重点污染源水质进行加密监管，强化区域环境风险隐患排查整治，督促重点排污单位稳定达标排放，必要时采取限（停）产减排措施。角山污水处理厂纳污范围内污水全部进入角山污水处理厂。</w:t>
                  </w:r>
                </w:p>
                <w:p w14:paraId="56061F46">
                  <w:pPr>
                    <w:pStyle w:val="17"/>
                    <w:jc w:val="both"/>
                    <w:rPr>
                      <w:rFonts w:hint="default"/>
                      <w:color w:val="auto"/>
                      <w:vertAlign w:val="baseline"/>
                      <w:lang w:val="en-US" w:eastAsia="zh-CN"/>
                    </w:rPr>
                  </w:pPr>
                  <w:r>
                    <w:rPr>
                      <w:rFonts w:hint="default"/>
                      <w:color w:val="auto"/>
                      <w:vertAlign w:val="baseline"/>
                      <w:lang w:val="en-US" w:eastAsia="zh-CN"/>
                    </w:rPr>
                    <w:t>（2.2）2020年底前，全面完成</w:t>
                  </w:r>
                  <w:r>
                    <w:rPr>
                      <w:rFonts w:hint="eastAsia" w:ascii="宋体" w:hAnsi="宋体" w:eastAsia="宋体" w:cs="宋体"/>
                      <w:color w:val="auto"/>
                      <w:vertAlign w:val="baseline"/>
                      <w:lang w:val="en-US" w:eastAsia="zh-CN"/>
                    </w:rPr>
                    <w:t>“散乱污”</w:t>
                  </w:r>
                  <w:r>
                    <w:rPr>
                      <w:rFonts w:hint="default"/>
                      <w:color w:val="auto"/>
                      <w:vertAlign w:val="baseline"/>
                      <w:lang w:val="en-US" w:eastAsia="zh-CN"/>
                    </w:rPr>
                    <w:t>企业及集群综合整治工作；严格执行燃煤锅炉准入规定，关停拆除热电联产集中供热管网覆盖区域内的燃煤小锅炉、工业窑炉；对全区水泥、钢铁等重点行业所有企业全面实施特别排放限值标准；华菱衡钢完成3个钢铁超低排放改造项目；加油站、储油库完成油气回收治理工作；严禁秸秆露天焚烧。</w:t>
                  </w:r>
                </w:p>
                <w:p w14:paraId="7D04E90A">
                  <w:pPr>
                    <w:pStyle w:val="17"/>
                    <w:jc w:val="both"/>
                    <w:rPr>
                      <w:rFonts w:hint="default"/>
                      <w:color w:val="auto"/>
                      <w:vertAlign w:val="baseline"/>
                      <w:lang w:val="en-US" w:eastAsia="zh-CN"/>
                    </w:rPr>
                  </w:pPr>
                  <w:r>
                    <w:rPr>
                      <w:rFonts w:hint="default"/>
                      <w:color w:val="auto"/>
                      <w:vertAlign w:val="baseline"/>
                      <w:lang w:val="en-US" w:eastAsia="zh-CN"/>
                    </w:rPr>
                    <w:t>（2.3）建立健全城镇垃圾收集转运及处理处置体系，推动生活垃圾分类，逐步淘汰敞开式收运设施，在全区推广密闭压缩式收运方式，加快建设生活垃圾处理设施；对于无渗滤液处理设施、渗滤液处理不达标的生活垃圾处理设施，加快完成改造。</w:t>
                  </w:r>
                </w:p>
              </w:tc>
              <w:tc>
                <w:tcPr>
                  <w:tcW w:w="1541" w:type="dxa"/>
                  <w:noWrap w:val="0"/>
                  <w:vAlign w:val="center"/>
                </w:tcPr>
                <w:p w14:paraId="767D72DE">
                  <w:pPr>
                    <w:pStyle w:val="17"/>
                    <w:jc w:val="both"/>
                    <w:rPr>
                      <w:rFonts w:hint="eastAsia"/>
                      <w:color w:val="auto"/>
                      <w:vertAlign w:val="baseline"/>
                      <w:lang w:val="en-US" w:eastAsia="zh-CN"/>
                    </w:rPr>
                  </w:pPr>
                  <w:r>
                    <w:rPr>
                      <w:rFonts w:hint="eastAsia"/>
                      <w:color w:val="auto"/>
                      <w:vertAlign w:val="baseline"/>
                      <w:lang w:val="en-US" w:eastAsia="zh-CN"/>
                    </w:rPr>
                    <w:t>（1）</w:t>
                  </w:r>
                  <w:r>
                    <w:rPr>
                      <w:rFonts w:hint="eastAsia"/>
                      <w:color w:val="auto"/>
                      <w:lang w:val="en-US" w:eastAsia="zh-CN"/>
                    </w:rPr>
                    <w:t>本项目员工生活污水经化粪池熟化后用作农肥，堆场抑尘废水和洒水降尘废水蒸发损耗或进入产品，车辆冲洗废水经隔油池、沉淀池处理后回用于车辆冲洗</w:t>
                  </w:r>
                  <w:r>
                    <w:rPr>
                      <w:rFonts w:hint="eastAsia"/>
                      <w:color w:val="auto"/>
                      <w:vertAlign w:val="baseline"/>
                      <w:lang w:val="en-US" w:eastAsia="zh-CN"/>
                    </w:rPr>
                    <w:t>；</w:t>
                  </w:r>
                </w:p>
                <w:p w14:paraId="5A378AE8">
                  <w:pPr>
                    <w:pStyle w:val="17"/>
                    <w:jc w:val="both"/>
                    <w:rPr>
                      <w:rFonts w:hint="eastAsia"/>
                      <w:color w:val="auto"/>
                      <w:vertAlign w:val="baseline"/>
                      <w:lang w:val="en-US" w:eastAsia="zh-CN"/>
                    </w:rPr>
                  </w:pPr>
                  <w:r>
                    <w:rPr>
                      <w:rFonts w:hint="eastAsia"/>
                      <w:color w:val="auto"/>
                      <w:vertAlign w:val="baseline"/>
                      <w:lang w:val="en-US" w:eastAsia="zh-CN"/>
                    </w:rPr>
                    <w:t>（2）本项目不使用燃煤锅炉、工业窑炉等；本项目不属于水泥、钢铁等重点行业；本项目不属于加油站、储油库行业；本项目不涉及秸秆焚烧；</w:t>
                  </w:r>
                </w:p>
                <w:p w14:paraId="018816A9">
                  <w:pPr>
                    <w:pStyle w:val="17"/>
                    <w:jc w:val="both"/>
                    <w:rPr>
                      <w:rFonts w:hint="default"/>
                      <w:color w:val="auto"/>
                      <w:vertAlign w:val="baseline"/>
                      <w:lang w:val="en-US" w:eastAsia="zh-CN"/>
                    </w:rPr>
                  </w:pPr>
                  <w:r>
                    <w:rPr>
                      <w:rFonts w:hint="eastAsia"/>
                      <w:color w:val="auto"/>
                      <w:vertAlign w:val="baseline"/>
                      <w:lang w:val="en-US" w:eastAsia="zh-CN"/>
                    </w:rPr>
                    <w:t>（3）本项目生活垃圾交由当地环卫部门定期清运处理。</w:t>
                  </w:r>
                </w:p>
              </w:tc>
              <w:tc>
                <w:tcPr>
                  <w:tcW w:w="880" w:type="dxa"/>
                  <w:noWrap w:val="0"/>
                  <w:vAlign w:val="center"/>
                </w:tcPr>
                <w:p w14:paraId="650DC5CF">
                  <w:pPr>
                    <w:pStyle w:val="17"/>
                    <w:jc w:val="center"/>
                    <w:rPr>
                      <w:rFonts w:hint="default"/>
                      <w:color w:val="auto"/>
                      <w:vertAlign w:val="baseline"/>
                      <w:lang w:val="en-US" w:eastAsia="zh-CN"/>
                    </w:rPr>
                  </w:pPr>
                  <w:r>
                    <w:rPr>
                      <w:rFonts w:hint="eastAsia"/>
                      <w:color w:val="auto"/>
                      <w:vertAlign w:val="baseline"/>
                      <w:lang w:val="en-US" w:eastAsia="zh-CN"/>
                    </w:rPr>
                    <w:t>相符</w:t>
                  </w:r>
                </w:p>
              </w:tc>
            </w:tr>
            <w:tr w14:paraId="2DF22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dxa"/>
                  <w:noWrap w:val="0"/>
                  <w:vAlign w:val="center"/>
                </w:tcPr>
                <w:p w14:paraId="1907874C">
                  <w:pPr>
                    <w:pStyle w:val="17"/>
                    <w:jc w:val="center"/>
                    <w:rPr>
                      <w:rFonts w:hint="default"/>
                      <w:color w:val="auto"/>
                      <w:vertAlign w:val="baseline"/>
                      <w:lang w:val="en-US" w:eastAsia="zh-CN"/>
                    </w:rPr>
                  </w:pPr>
                  <w:r>
                    <w:rPr>
                      <w:rFonts w:hint="eastAsia"/>
                      <w:color w:val="auto"/>
                      <w:vertAlign w:val="baseline"/>
                      <w:lang w:val="en-US" w:eastAsia="zh-CN"/>
                    </w:rPr>
                    <w:t>4</w:t>
                  </w:r>
                </w:p>
              </w:tc>
              <w:tc>
                <w:tcPr>
                  <w:tcW w:w="675" w:type="dxa"/>
                  <w:noWrap w:val="0"/>
                  <w:vAlign w:val="center"/>
                </w:tcPr>
                <w:p w14:paraId="002CD0EF">
                  <w:pPr>
                    <w:pStyle w:val="17"/>
                    <w:jc w:val="center"/>
                    <w:rPr>
                      <w:rFonts w:hint="default"/>
                      <w:color w:val="auto"/>
                      <w:vertAlign w:val="baseline"/>
                      <w:lang w:val="en-US" w:eastAsia="zh-CN"/>
                    </w:rPr>
                  </w:pPr>
                  <w:r>
                    <w:rPr>
                      <w:rFonts w:eastAsia="宋体"/>
                      <w:color w:val="auto"/>
                      <w:kern w:val="0"/>
                      <w:szCs w:val="21"/>
                    </w:rPr>
                    <w:t>环境风险防控</w:t>
                  </w:r>
                </w:p>
              </w:tc>
              <w:tc>
                <w:tcPr>
                  <w:tcW w:w="3088" w:type="dxa"/>
                  <w:noWrap w:val="0"/>
                  <w:vAlign w:val="center"/>
                </w:tcPr>
                <w:p w14:paraId="29F63FF9">
                  <w:pPr>
                    <w:pStyle w:val="17"/>
                    <w:bidi w:val="0"/>
                    <w:jc w:val="both"/>
                    <w:rPr>
                      <w:rFonts w:hint="eastAsia"/>
                      <w:color w:val="auto"/>
                    </w:rPr>
                  </w:pPr>
                  <w:r>
                    <w:rPr>
                      <w:rFonts w:hint="eastAsia"/>
                      <w:color w:val="auto"/>
                    </w:rPr>
                    <w:t>（3.1）加强环境风险防控和应急管理完善应急预案体系建设，统筹推进环境应急物资储备库建设。</w:t>
                  </w:r>
                </w:p>
                <w:p w14:paraId="4CACD5A5">
                  <w:pPr>
                    <w:pStyle w:val="17"/>
                    <w:bidi w:val="0"/>
                    <w:jc w:val="both"/>
                    <w:rPr>
                      <w:rFonts w:hint="default"/>
                      <w:color w:val="auto"/>
                      <w:vertAlign w:val="baseline"/>
                      <w:lang w:val="en-US" w:eastAsia="zh-CN"/>
                    </w:rPr>
                  </w:pPr>
                  <w:r>
                    <w:rPr>
                      <w:rFonts w:hint="eastAsia"/>
                      <w:color w:val="auto"/>
                    </w:rPr>
                    <w:t>（3.2）根据建设用地土壤环境调查评估及现有重金属污染场地调查结果，逐步建立污染地块名录及其开发利用的负面清单，合理确定土地用途。土地开发利用必须符合土壤环境质量要求。各部门在编制土地利用总体规划、城市总体规划、控制性详细规划等相关规划时，应充分考虑污染地块的环境风险，合理确定土地用途。制定实施受污染耕地安全利用方案，采取农艺调控、化学阻控、替代种植等措施，降低农产品重金属超标风险。暂时不能进行治理修复的污染地块，设置标志标识围栏，根据各地块的环境因地制宜采取建设撇洪导流沟渠、地表覆盖等措施减少雨水冲刷等风险管控措施。在未完成治理并通过验收前，不得用于农业、畜牧业以及工商业开发建设。</w:t>
                  </w:r>
                </w:p>
              </w:tc>
              <w:tc>
                <w:tcPr>
                  <w:tcW w:w="1541" w:type="dxa"/>
                  <w:noWrap w:val="0"/>
                  <w:vAlign w:val="center"/>
                </w:tcPr>
                <w:p w14:paraId="1A975AF6">
                  <w:pPr>
                    <w:pStyle w:val="17"/>
                    <w:jc w:val="both"/>
                    <w:rPr>
                      <w:rFonts w:hint="eastAsia" w:eastAsia="宋体"/>
                      <w:color w:val="auto"/>
                      <w:vertAlign w:val="baseline"/>
                      <w:lang w:val="en-US" w:eastAsia="zh-CN"/>
                    </w:rPr>
                  </w:pPr>
                  <w:r>
                    <w:rPr>
                      <w:rFonts w:hint="eastAsia"/>
                      <w:color w:val="auto"/>
                      <w:vertAlign w:val="baseline"/>
                      <w:lang w:val="en-US" w:eastAsia="zh-CN"/>
                    </w:rPr>
                    <w:t>（1）本项目建设完成拟</w:t>
                  </w:r>
                  <w:r>
                    <w:rPr>
                      <w:rFonts w:hint="eastAsia"/>
                      <w:color w:val="auto"/>
                    </w:rPr>
                    <w:t>加强环境风险防控和应急管理完善应急预案体系建设，统筹推进环境应急物资储备库建设</w:t>
                  </w:r>
                  <w:r>
                    <w:rPr>
                      <w:rFonts w:hint="eastAsia"/>
                      <w:color w:val="auto"/>
                      <w:lang w:eastAsia="zh-CN"/>
                    </w:rPr>
                    <w:t>；</w:t>
                  </w:r>
                </w:p>
                <w:p w14:paraId="22ABEC06">
                  <w:pPr>
                    <w:pStyle w:val="17"/>
                    <w:jc w:val="both"/>
                    <w:rPr>
                      <w:rFonts w:hint="default"/>
                      <w:color w:val="auto"/>
                      <w:vertAlign w:val="baseline"/>
                      <w:lang w:val="en-US" w:eastAsia="zh-CN"/>
                    </w:rPr>
                  </w:pPr>
                  <w:r>
                    <w:rPr>
                      <w:rFonts w:hint="eastAsia"/>
                      <w:color w:val="auto"/>
                      <w:vertAlign w:val="baseline"/>
                      <w:lang w:val="en-US" w:eastAsia="zh-CN"/>
                    </w:rPr>
                    <w:t>（2）本项目选址不在《衡阳市建设用地污染地块开发利用负面清单》中，故本项目不涉及污染地块。</w:t>
                  </w:r>
                </w:p>
              </w:tc>
              <w:tc>
                <w:tcPr>
                  <w:tcW w:w="880" w:type="dxa"/>
                  <w:noWrap w:val="0"/>
                  <w:vAlign w:val="center"/>
                </w:tcPr>
                <w:p w14:paraId="0D83975A">
                  <w:pPr>
                    <w:pStyle w:val="17"/>
                    <w:jc w:val="center"/>
                    <w:rPr>
                      <w:rFonts w:hint="default"/>
                      <w:color w:val="auto"/>
                      <w:vertAlign w:val="baseline"/>
                      <w:lang w:val="en-US" w:eastAsia="zh-CN"/>
                    </w:rPr>
                  </w:pPr>
                  <w:r>
                    <w:rPr>
                      <w:rFonts w:hint="eastAsia"/>
                      <w:color w:val="auto"/>
                      <w:vertAlign w:val="baseline"/>
                      <w:lang w:val="en-US" w:eastAsia="zh-CN"/>
                    </w:rPr>
                    <w:t>相符</w:t>
                  </w:r>
                </w:p>
              </w:tc>
            </w:tr>
            <w:tr w14:paraId="30313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dxa"/>
                  <w:noWrap w:val="0"/>
                  <w:vAlign w:val="center"/>
                </w:tcPr>
                <w:p w14:paraId="7A370300">
                  <w:pPr>
                    <w:pStyle w:val="17"/>
                    <w:jc w:val="center"/>
                    <w:rPr>
                      <w:rFonts w:hint="default"/>
                      <w:color w:val="auto"/>
                      <w:vertAlign w:val="baseline"/>
                      <w:lang w:val="en-US" w:eastAsia="zh-CN"/>
                    </w:rPr>
                  </w:pPr>
                  <w:r>
                    <w:rPr>
                      <w:rFonts w:hint="eastAsia"/>
                      <w:color w:val="auto"/>
                      <w:vertAlign w:val="baseline"/>
                      <w:lang w:val="en-US" w:eastAsia="zh-CN"/>
                    </w:rPr>
                    <w:t>5</w:t>
                  </w:r>
                </w:p>
              </w:tc>
              <w:tc>
                <w:tcPr>
                  <w:tcW w:w="675" w:type="dxa"/>
                  <w:noWrap w:val="0"/>
                  <w:vAlign w:val="center"/>
                </w:tcPr>
                <w:p w14:paraId="7A1B9110">
                  <w:pPr>
                    <w:pStyle w:val="17"/>
                    <w:jc w:val="center"/>
                    <w:rPr>
                      <w:rFonts w:hint="default"/>
                      <w:color w:val="auto"/>
                      <w:vertAlign w:val="baseline"/>
                      <w:lang w:val="en-US" w:eastAsia="zh-CN"/>
                    </w:rPr>
                  </w:pPr>
                  <w:r>
                    <w:rPr>
                      <w:rFonts w:eastAsia="宋体"/>
                      <w:color w:val="auto"/>
                      <w:kern w:val="0"/>
                      <w:szCs w:val="21"/>
                    </w:rPr>
                    <w:t>资源开发效率要求</w:t>
                  </w:r>
                </w:p>
              </w:tc>
              <w:tc>
                <w:tcPr>
                  <w:tcW w:w="3088" w:type="dxa"/>
                  <w:noWrap w:val="0"/>
                  <w:vAlign w:val="center"/>
                </w:tcPr>
                <w:p w14:paraId="5FD317E5">
                  <w:pPr>
                    <w:pStyle w:val="17"/>
                    <w:jc w:val="both"/>
                    <w:rPr>
                      <w:rFonts w:hint="eastAsia" w:eastAsia="宋体"/>
                      <w:color w:val="auto"/>
                      <w:kern w:val="0"/>
                      <w:szCs w:val="21"/>
                    </w:rPr>
                  </w:pPr>
                  <w:r>
                    <w:rPr>
                      <w:rFonts w:hint="eastAsia" w:eastAsia="宋体"/>
                      <w:color w:val="auto"/>
                      <w:kern w:val="0"/>
                      <w:szCs w:val="21"/>
                    </w:rPr>
                    <w:t>（4.1）能源：强化节能环保标准约束，严格行业规范、准入管理和节能审查，对电力、钢铁、建材、有色、化工、石油石化、煤炭、造纸等行业中，环保、能耗、安全等不达标或生产、使用淘汰类产品的企业和产能，依法依规改造升级或有序退出。推广使用优质煤、洁净型煤，推进煤改气、煤改电，鼓励利用可再生能源、天然气、电力等优质能源替代燃煤使用。到2020年，全区能耗强度降低17%，控制目标121.89万吨标准煤。</w:t>
                  </w:r>
                </w:p>
                <w:p w14:paraId="69FD6601">
                  <w:pPr>
                    <w:pStyle w:val="17"/>
                    <w:jc w:val="both"/>
                    <w:rPr>
                      <w:rFonts w:hint="default"/>
                      <w:color w:val="auto"/>
                      <w:vertAlign w:val="baseline"/>
                      <w:lang w:val="en-US" w:eastAsia="zh-CN"/>
                    </w:rPr>
                  </w:pPr>
                  <w:r>
                    <w:rPr>
                      <w:rFonts w:hint="eastAsia" w:eastAsia="宋体"/>
                      <w:color w:val="auto"/>
                      <w:kern w:val="0"/>
                      <w:szCs w:val="21"/>
                    </w:rPr>
                    <w:t>（4.2）水资源：鼓励企业在稳定达标排放的基础上进行深度治理，实施清洁化改造，提高工业用水循环利用率。到2020年，全区万元国内生产总值用水量、万元工业增加值用水量分别比2015年降低30%和32.7%；农田灌溉水有效利用系数提高到0.602。</w:t>
                  </w:r>
                </w:p>
              </w:tc>
              <w:tc>
                <w:tcPr>
                  <w:tcW w:w="1541" w:type="dxa"/>
                  <w:noWrap w:val="0"/>
                  <w:vAlign w:val="center"/>
                </w:tcPr>
                <w:p w14:paraId="088BD4CF">
                  <w:pPr>
                    <w:pStyle w:val="17"/>
                    <w:jc w:val="both"/>
                    <w:rPr>
                      <w:rFonts w:hint="default" w:eastAsia="宋体"/>
                      <w:color w:val="auto"/>
                      <w:kern w:val="0"/>
                      <w:szCs w:val="21"/>
                      <w:lang w:val="en-US" w:eastAsia="zh-CN"/>
                    </w:rPr>
                  </w:pPr>
                  <w:r>
                    <w:rPr>
                      <w:rFonts w:hint="eastAsia"/>
                      <w:color w:val="auto"/>
                      <w:vertAlign w:val="baseline"/>
                      <w:lang w:val="en-US" w:eastAsia="zh-CN"/>
                    </w:rPr>
                    <w:t>（1）本项目属于非金属废料和碎屑加工处理行业，环保、能耗、安全等均达标，不生产、使用淘汰类产品；本项目耗能为电力；</w:t>
                  </w:r>
                </w:p>
                <w:p w14:paraId="059629A9">
                  <w:pPr>
                    <w:pStyle w:val="17"/>
                    <w:jc w:val="both"/>
                    <w:rPr>
                      <w:rFonts w:hint="default" w:eastAsia="宋体"/>
                      <w:color w:val="auto"/>
                      <w:kern w:val="0"/>
                      <w:szCs w:val="21"/>
                      <w:lang w:val="en-US" w:eastAsia="zh-CN"/>
                    </w:rPr>
                  </w:pPr>
                  <w:r>
                    <w:rPr>
                      <w:rFonts w:hint="eastAsia" w:eastAsia="宋体"/>
                      <w:color w:val="auto"/>
                      <w:kern w:val="0"/>
                      <w:szCs w:val="21"/>
                      <w:lang w:val="en-US" w:eastAsia="zh-CN"/>
                    </w:rPr>
                    <w:t>（2）本项目员工生活污水经化粪池熟化后用作农肥，堆场抑尘废水和洒水降尘废水蒸发损耗或进入产品，车辆冲洗废水经隔油池、沉淀池处理后回用于车辆冲洗。</w:t>
                  </w:r>
                </w:p>
              </w:tc>
              <w:tc>
                <w:tcPr>
                  <w:tcW w:w="880" w:type="dxa"/>
                  <w:noWrap w:val="0"/>
                  <w:vAlign w:val="center"/>
                </w:tcPr>
                <w:p w14:paraId="2D48FCDB">
                  <w:pPr>
                    <w:pStyle w:val="17"/>
                    <w:jc w:val="center"/>
                    <w:rPr>
                      <w:rFonts w:hint="default"/>
                      <w:color w:val="auto"/>
                      <w:vertAlign w:val="baseline"/>
                      <w:lang w:val="en-US" w:eastAsia="zh-CN"/>
                    </w:rPr>
                  </w:pPr>
                  <w:r>
                    <w:rPr>
                      <w:rFonts w:hint="eastAsia"/>
                      <w:color w:val="auto"/>
                      <w:vertAlign w:val="baseline"/>
                      <w:lang w:val="en-US" w:eastAsia="zh-CN"/>
                    </w:rPr>
                    <w:t>相符</w:t>
                  </w:r>
                </w:p>
              </w:tc>
            </w:tr>
          </w:tbl>
          <w:p w14:paraId="12AAF58D">
            <w:pPr>
              <w:pStyle w:val="4"/>
              <w:keepNext/>
              <w:keepLines/>
              <w:pageBreakBefore w:val="0"/>
              <w:widowControl w:val="0"/>
              <w:kinsoku/>
              <w:wordWrap/>
              <w:overflowPunct w:val="0"/>
              <w:topLinePunct w:val="0"/>
              <w:autoSpaceDE/>
              <w:autoSpaceDN/>
              <w:bidi w:val="0"/>
              <w:adjustRightInd w:val="0"/>
              <w:snapToGrid w:val="0"/>
              <w:spacing w:before="0" w:after="0"/>
              <w:textAlignment w:val="auto"/>
              <w:rPr>
                <w:rFonts w:hint="eastAsia"/>
                <w:color w:val="auto"/>
                <w:lang w:val="en-US" w:eastAsia="zh-CN"/>
              </w:rPr>
            </w:pPr>
            <w:bookmarkStart w:id="46" w:name="_Toc23405"/>
            <w:bookmarkStart w:id="47" w:name="_Toc19439"/>
            <w:bookmarkStart w:id="48" w:name="_Toc9295"/>
            <w:bookmarkStart w:id="49" w:name="_Toc1100"/>
            <w:bookmarkStart w:id="50" w:name="_Toc30667"/>
            <w:r>
              <w:rPr>
                <w:rFonts w:hint="eastAsia"/>
                <w:color w:val="auto"/>
                <w:lang w:val="en-US" w:eastAsia="zh-CN"/>
              </w:rPr>
              <w:t>3、选址合理性</w:t>
            </w:r>
            <w:bookmarkEnd w:id="46"/>
            <w:bookmarkEnd w:id="47"/>
            <w:bookmarkEnd w:id="48"/>
            <w:bookmarkEnd w:id="49"/>
            <w:bookmarkEnd w:id="50"/>
          </w:p>
          <w:p w14:paraId="6C0C6A28">
            <w:pPr>
              <w:rPr>
                <w:rFonts w:hint="eastAsia"/>
                <w:color w:val="auto"/>
                <w:lang w:val="en-US" w:eastAsia="zh-CN"/>
              </w:rPr>
            </w:pPr>
            <w:r>
              <w:rPr>
                <w:rFonts w:hint="default"/>
                <w:color w:val="auto"/>
                <w:lang w:val="en-US" w:eastAsia="zh-CN"/>
              </w:rPr>
              <w:t>衡阳京泰建设有限公司占用衡阳市蒸湘区呆鹰岭镇振兴村江家塘组土地，该宗土地为原兴林砖厂，该宗土地属工矿用地，符合蒸湘区呆鹰岭镇规划，用地性质相符</w:t>
            </w:r>
            <w:r>
              <w:rPr>
                <w:rFonts w:hint="eastAsia"/>
                <w:color w:val="auto"/>
                <w:lang w:val="en-US" w:eastAsia="zh-CN"/>
              </w:rPr>
              <w:t>。</w:t>
            </w:r>
          </w:p>
          <w:p w14:paraId="3C4DBB60">
            <w:pPr>
              <w:pStyle w:val="4"/>
              <w:bidi w:val="0"/>
              <w:rPr>
                <w:rFonts w:hint="eastAsia"/>
                <w:color w:val="auto"/>
                <w:lang w:val="en-US" w:eastAsia="zh-CN"/>
              </w:rPr>
            </w:pPr>
            <w:bookmarkStart w:id="51" w:name="_Toc23727"/>
            <w:bookmarkStart w:id="52" w:name="_Toc14494"/>
            <w:bookmarkStart w:id="53" w:name="_Toc29275"/>
            <w:bookmarkStart w:id="54" w:name="_Toc14095"/>
            <w:bookmarkStart w:id="55" w:name="_Toc15441"/>
            <w:r>
              <w:rPr>
                <w:rFonts w:hint="eastAsia"/>
                <w:color w:val="auto"/>
                <w:lang w:val="en-US" w:eastAsia="zh-CN"/>
              </w:rPr>
              <w:t>4、其他符合性分析</w:t>
            </w:r>
            <w:bookmarkEnd w:id="51"/>
            <w:bookmarkEnd w:id="52"/>
            <w:bookmarkEnd w:id="53"/>
            <w:bookmarkEnd w:id="54"/>
            <w:bookmarkEnd w:id="55"/>
          </w:p>
          <w:p w14:paraId="4A8A84E5">
            <w:pPr>
              <w:pStyle w:val="5"/>
              <w:bidi w:val="0"/>
              <w:rPr>
                <w:rFonts w:hint="eastAsia"/>
                <w:color w:val="auto"/>
                <w:lang w:val="en-US" w:eastAsia="zh-CN"/>
              </w:rPr>
            </w:pPr>
            <w:bookmarkStart w:id="56" w:name="_Toc20473"/>
            <w:bookmarkStart w:id="57" w:name="_Toc6723"/>
            <w:bookmarkStart w:id="58" w:name="_Toc6301"/>
            <w:bookmarkStart w:id="59" w:name="_Toc21435"/>
            <w:bookmarkStart w:id="60" w:name="_Toc31521"/>
            <w:bookmarkStart w:id="61" w:name="_Toc14270"/>
            <w:bookmarkStart w:id="62" w:name="_Toc18111"/>
            <w:r>
              <w:rPr>
                <w:rFonts w:hint="eastAsia"/>
                <w:color w:val="auto"/>
                <w:lang w:val="en-US" w:eastAsia="zh-CN"/>
              </w:rPr>
              <w:t>4.1与《湖南省湘江保护条例（2023年修订）》的符合性分析</w:t>
            </w:r>
            <w:bookmarkEnd w:id="56"/>
            <w:bookmarkEnd w:id="57"/>
            <w:bookmarkEnd w:id="58"/>
            <w:bookmarkEnd w:id="59"/>
            <w:bookmarkEnd w:id="60"/>
            <w:bookmarkEnd w:id="61"/>
            <w:bookmarkEnd w:id="62"/>
          </w:p>
          <w:p w14:paraId="4F31FF9C">
            <w:pPr>
              <w:bidi w:val="0"/>
              <w:rPr>
                <w:rFonts w:hint="eastAsia" w:ascii="宋体" w:hAnsi="宋体" w:eastAsia="宋体" w:cs="宋体"/>
                <w:color w:val="auto"/>
                <w:lang w:val="en-US" w:eastAsia="zh-CN"/>
              </w:rPr>
            </w:pPr>
            <w:r>
              <w:rPr>
                <w:rFonts w:hint="default"/>
                <w:color w:val="auto"/>
                <w:lang w:val="en-US" w:eastAsia="zh-CN"/>
              </w:rPr>
              <w:t>根据《湖南省湘江保护条例》（2023年修订）：</w:t>
            </w:r>
            <w:r>
              <w:rPr>
                <w:rFonts w:hint="eastAsia" w:ascii="宋体" w:hAnsi="宋体" w:eastAsia="宋体" w:cs="宋体"/>
                <w:color w:val="auto"/>
                <w:lang w:val="en-US" w:eastAsia="zh-CN"/>
              </w:rPr>
              <w:t>“</w:t>
            </w:r>
            <w:r>
              <w:rPr>
                <w:rFonts w:hint="default"/>
                <w:color w:val="auto"/>
                <w:lang w:val="en-US" w:eastAsia="zh-CN"/>
              </w:rPr>
              <w:t>（1）禁止在湘江流域饮用水水源一级保护区内设置排污口（渠），禁止新建、改建、扩建与供水设施和保护水源无关的建设项目；已经设置排污口（渠）、建成与供水设施和保护水源无关的建设项目，县级以上人民政府应当在</w:t>
            </w:r>
            <w:r>
              <w:rPr>
                <w:rFonts w:hint="eastAsia"/>
                <w:color w:val="auto"/>
                <w:lang w:val="en-US" w:eastAsia="zh-CN"/>
              </w:rPr>
              <w:t>省级</w:t>
            </w:r>
            <w:r>
              <w:rPr>
                <w:rFonts w:hint="default"/>
                <w:color w:val="auto"/>
                <w:lang w:val="en-US" w:eastAsia="zh-CN"/>
              </w:rPr>
              <w:t>人民政府规定期限内组织拆除或者关闭。禁止在湘江流域饮用水水源一级保护区内从事网箱养殖、旅游、游泳、垂钓或者其他可能污染饮用水水体的活动。（2）禁止在湘江流域饮用水水源二级保护区内设置排污口（渠），禁止新建、改建、扩建排放污染物的建设项目；已经设置排污口（渠）、建成排放污染物的建设项目，县级以上人民政府应当在省人民政府规定期限内组织拆除或者关闭。（3）禁止在湘江干流岸线一公里范围内新建、扩建化工园区和化工项目。禁止在湘江干流岸线一公里范围内新建、改建、扩建尾矿库；但是以提升安全、生态环境保护水平为目的的改建除外。</w:t>
            </w:r>
            <w:r>
              <w:rPr>
                <w:rFonts w:hint="eastAsia" w:ascii="宋体" w:hAnsi="宋体" w:eastAsia="宋体" w:cs="宋体"/>
                <w:color w:val="auto"/>
                <w:lang w:val="en-US" w:eastAsia="zh-CN"/>
              </w:rPr>
              <w:t>”</w:t>
            </w:r>
          </w:p>
          <w:p w14:paraId="2909BF5E">
            <w:pPr>
              <w:bidi w:val="0"/>
              <w:rPr>
                <w:rFonts w:hint="eastAsia"/>
                <w:color w:val="auto"/>
                <w:lang w:val="en-US" w:eastAsia="zh-CN"/>
              </w:rPr>
            </w:pPr>
            <w:r>
              <w:rPr>
                <w:rFonts w:hint="eastAsia"/>
                <w:color w:val="auto"/>
                <w:lang w:val="en-US" w:eastAsia="zh-CN"/>
              </w:rPr>
              <w:t>本项目位于湖南省衡阳市蒸湘区呆鹰岭镇振兴村江家塘组，属于湘江流域保护范围，项目不涉及重金属废水排放，生活污水经化粪池熟化后用于农肥，生产废水经处理后合理利用后不外排。</w:t>
            </w:r>
          </w:p>
          <w:p w14:paraId="5985E868">
            <w:pPr>
              <w:bidi w:val="0"/>
              <w:rPr>
                <w:rFonts w:hint="eastAsia"/>
                <w:color w:val="auto"/>
                <w:lang w:val="en-US" w:eastAsia="zh-CN"/>
              </w:rPr>
            </w:pPr>
            <w:r>
              <w:rPr>
                <w:rFonts w:hint="eastAsia"/>
                <w:color w:val="auto"/>
                <w:lang w:val="en-US" w:eastAsia="zh-CN"/>
              </w:rPr>
              <w:t>因此，本项目符合《湖南省湘江保护条例（2023年修订）》的相关要求。</w:t>
            </w:r>
          </w:p>
          <w:p w14:paraId="2B349895">
            <w:pPr>
              <w:pStyle w:val="5"/>
              <w:bidi w:val="0"/>
              <w:rPr>
                <w:rFonts w:hint="eastAsia"/>
                <w:color w:val="auto"/>
                <w:lang w:val="en-US" w:eastAsia="zh-CN"/>
              </w:rPr>
            </w:pPr>
            <w:bookmarkStart w:id="63" w:name="_Toc9975"/>
            <w:bookmarkStart w:id="64" w:name="_Toc30138"/>
            <w:bookmarkStart w:id="65" w:name="_Toc7693"/>
            <w:bookmarkStart w:id="66" w:name="_Toc15307"/>
            <w:bookmarkStart w:id="67" w:name="_Toc2786"/>
            <w:bookmarkStart w:id="68" w:name="_Toc19949"/>
            <w:bookmarkStart w:id="69" w:name="_Toc17880"/>
            <w:r>
              <w:rPr>
                <w:rFonts w:hint="eastAsia"/>
                <w:color w:val="auto"/>
                <w:lang w:val="en-US" w:eastAsia="zh-CN"/>
              </w:rPr>
              <w:t>4.2 与《湖南省大气污染防治条例》符合性分析</w:t>
            </w:r>
            <w:bookmarkEnd w:id="63"/>
            <w:bookmarkEnd w:id="64"/>
            <w:bookmarkEnd w:id="65"/>
            <w:bookmarkEnd w:id="66"/>
            <w:bookmarkEnd w:id="67"/>
            <w:bookmarkEnd w:id="68"/>
            <w:bookmarkEnd w:id="69"/>
          </w:p>
          <w:p w14:paraId="31923A3B">
            <w:pPr>
              <w:rPr>
                <w:rFonts w:hint="eastAsia"/>
                <w:color w:val="auto"/>
                <w:lang w:val="en-US" w:eastAsia="zh-CN"/>
              </w:rPr>
            </w:pPr>
            <w:r>
              <w:rPr>
                <w:rFonts w:hint="eastAsia"/>
                <w:color w:val="auto"/>
                <w:lang w:val="en-US" w:eastAsia="zh-CN"/>
              </w:rPr>
              <w:t>本项目与《湖南省大气污染防治条例》相关内容的符合性分析详见表1-2。</w:t>
            </w:r>
          </w:p>
          <w:p w14:paraId="3265D9CA">
            <w:pPr>
              <w:pStyle w:val="18"/>
              <w:bidi w:val="0"/>
              <w:rPr>
                <w:rFonts w:hint="eastAsia"/>
                <w:color w:val="auto"/>
                <w:lang w:val="en-US" w:eastAsia="zh-CN"/>
              </w:rPr>
            </w:pPr>
            <w:r>
              <w:rPr>
                <w:rFonts w:hint="eastAsia"/>
                <w:color w:val="auto"/>
                <w:lang w:val="en-US" w:eastAsia="zh-CN"/>
              </w:rPr>
              <w:t>表1-2 与《湖南省大气污染防治条例》符合性分析</w:t>
            </w:r>
          </w:p>
          <w:tbl>
            <w:tblPr>
              <w:tblStyle w:val="1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7"/>
              <w:gridCol w:w="2605"/>
              <w:gridCol w:w="931"/>
            </w:tblGrid>
            <w:tr w14:paraId="0E619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pct"/>
                  <w:noWrap w:val="0"/>
                  <w:vAlign w:val="center"/>
                </w:tcPr>
                <w:p w14:paraId="717229BD">
                  <w:pPr>
                    <w:pStyle w:val="17"/>
                    <w:jc w:val="center"/>
                    <w:rPr>
                      <w:rFonts w:hint="default"/>
                      <w:b w:val="0"/>
                      <w:bCs w:val="0"/>
                      <w:color w:val="auto"/>
                      <w:vertAlign w:val="baseline"/>
                      <w:lang w:val="en-US" w:eastAsia="zh-CN"/>
                    </w:rPr>
                  </w:pPr>
                  <w:r>
                    <w:rPr>
                      <w:rFonts w:hint="eastAsia"/>
                      <w:b w:val="0"/>
                      <w:bCs w:val="0"/>
                      <w:color w:val="auto"/>
                      <w:vertAlign w:val="baseline"/>
                      <w:lang w:val="en-US" w:eastAsia="zh-CN"/>
                    </w:rPr>
                    <w:t>相关条例</w:t>
                  </w:r>
                </w:p>
              </w:tc>
              <w:tc>
                <w:tcPr>
                  <w:tcW w:w="1972" w:type="pct"/>
                  <w:noWrap w:val="0"/>
                  <w:vAlign w:val="center"/>
                </w:tcPr>
                <w:p w14:paraId="38420CBC">
                  <w:pPr>
                    <w:pStyle w:val="17"/>
                    <w:jc w:val="center"/>
                    <w:rPr>
                      <w:rFonts w:hint="default"/>
                      <w:b w:val="0"/>
                      <w:bCs w:val="0"/>
                      <w:color w:val="auto"/>
                      <w:vertAlign w:val="baseline"/>
                      <w:lang w:val="en-US" w:eastAsia="zh-CN"/>
                    </w:rPr>
                  </w:pPr>
                  <w:r>
                    <w:rPr>
                      <w:rFonts w:hint="eastAsia"/>
                      <w:b w:val="0"/>
                      <w:bCs w:val="0"/>
                      <w:color w:val="auto"/>
                      <w:vertAlign w:val="baseline"/>
                      <w:lang w:val="en-US" w:eastAsia="zh-CN"/>
                    </w:rPr>
                    <w:t>本项目情况</w:t>
                  </w:r>
                </w:p>
              </w:tc>
              <w:tc>
                <w:tcPr>
                  <w:tcW w:w="704" w:type="pct"/>
                  <w:noWrap w:val="0"/>
                  <w:vAlign w:val="center"/>
                </w:tcPr>
                <w:p w14:paraId="1354DFFB">
                  <w:pPr>
                    <w:pStyle w:val="17"/>
                    <w:jc w:val="center"/>
                    <w:rPr>
                      <w:rFonts w:hint="default"/>
                      <w:b w:val="0"/>
                      <w:bCs w:val="0"/>
                      <w:color w:val="auto"/>
                      <w:vertAlign w:val="baseline"/>
                      <w:lang w:val="en-US" w:eastAsia="zh-CN"/>
                    </w:rPr>
                  </w:pPr>
                  <w:r>
                    <w:rPr>
                      <w:rFonts w:hint="eastAsia"/>
                      <w:b w:val="0"/>
                      <w:bCs w:val="0"/>
                      <w:color w:val="auto"/>
                      <w:vertAlign w:val="baseline"/>
                      <w:lang w:val="en-US" w:eastAsia="zh-CN"/>
                    </w:rPr>
                    <w:t>符合性</w:t>
                  </w:r>
                </w:p>
              </w:tc>
            </w:tr>
            <w:tr w14:paraId="25790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pct"/>
                  <w:noWrap w:val="0"/>
                  <w:vAlign w:val="center"/>
                </w:tcPr>
                <w:p w14:paraId="69E53BB4">
                  <w:pPr>
                    <w:pStyle w:val="17"/>
                    <w:jc w:val="both"/>
                    <w:rPr>
                      <w:rFonts w:hint="default"/>
                      <w:color w:val="auto"/>
                      <w:vertAlign w:val="baseline"/>
                      <w:lang w:val="en-US" w:eastAsia="zh-CN"/>
                    </w:rPr>
                  </w:pPr>
                  <w:r>
                    <w:rPr>
                      <w:rFonts w:hint="default"/>
                      <w:color w:val="auto"/>
                      <w:vertAlign w:val="baseline"/>
                      <w:lang w:val="en-US" w:eastAsia="zh-CN"/>
                    </w:rPr>
                    <w:t>第五条 企业和其他生产经营者应当保障必要的环境保护投入，采用有效的大气污染防治技术，防止、减少生产经营对大气造成的污染，并依法承担相关责任。其他单位和个人应当采取有效措施，防止、减少工作、生活等活动对大气造成的污染，共同改善大气环境质量。</w:t>
                  </w:r>
                </w:p>
              </w:tc>
              <w:tc>
                <w:tcPr>
                  <w:tcW w:w="1972" w:type="pct"/>
                  <w:noWrap w:val="0"/>
                  <w:vAlign w:val="center"/>
                </w:tcPr>
                <w:p w14:paraId="134F287A">
                  <w:pPr>
                    <w:pStyle w:val="17"/>
                    <w:jc w:val="both"/>
                    <w:rPr>
                      <w:rFonts w:hint="default"/>
                      <w:color w:val="auto"/>
                      <w:vertAlign w:val="baseline"/>
                      <w:lang w:val="en-US" w:eastAsia="zh-CN"/>
                    </w:rPr>
                  </w:pPr>
                  <w:r>
                    <w:rPr>
                      <w:rFonts w:hint="eastAsia"/>
                      <w:color w:val="auto"/>
                      <w:vertAlign w:val="baseline"/>
                      <w:lang w:val="en-US" w:eastAsia="zh-CN"/>
                    </w:rPr>
                    <w:t>本项目大气污染物主要为装卸粉尘、产品堆场扬尘、破碎/筛分粉尘、输送粉尘、道路扬尘、投料粉尘、食堂油烟与垃圾转运车、环保渣土车尾气中少量CO、NO</w:t>
                  </w:r>
                  <w:r>
                    <w:rPr>
                      <w:rFonts w:hint="eastAsia"/>
                      <w:color w:val="auto"/>
                      <w:vertAlign w:val="subscript"/>
                      <w:lang w:val="en-US" w:eastAsia="zh-CN"/>
                    </w:rPr>
                    <w:t>X</w:t>
                  </w:r>
                  <w:r>
                    <w:rPr>
                      <w:rFonts w:hint="eastAsia"/>
                      <w:color w:val="auto"/>
                      <w:vertAlign w:val="baseline"/>
                      <w:lang w:val="en-US" w:eastAsia="zh-CN"/>
                    </w:rPr>
                    <w:t>、THC等，在采取本环评提出的防治措施后可以做到大气污染物达标排放。</w:t>
                  </w:r>
                </w:p>
              </w:tc>
              <w:tc>
                <w:tcPr>
                  <w:tcW w:w="704" w:type="pct"/>
                  <w:noWrap w:val="0"/>
                  <w:vAlign w:val="center"/>
                </w:tcPr>
                <w:p w14:paraId="18AE280B">
                  <w:pPr>
                    <w:pStyle w:val="17"/>
                    <w:jc w:val="center"/>
                    <w:rPr>
                      <w:rFonts w:hint="default"/>
                      <w:color w:val="auto"/>
                      <w:vertAlign w:val="baseline"/>
                      <w:lang w:val="en-US" w:eastAsia="zh-CN"/>
                    </w:rPr>
                  </w:pPr>
                  <w:r>
                    <w:rPr>
                      <w:rFonts w:hint="eastAsia"/>
                      <w:color w:val="auto"/>
                      <w:vertAlign w:val="baseline"/>
                      <w:lang w:val="en-US" w:eastAsia="zh-CN"/>
                    </w:rPr>
                    <w:t>符合</w:t>
                  </w:r>
                </w:p>
              </w:tc>
            </w:tr>
            <w:tr w14:paraId="2999D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pct"/>
                  <w:noWrap w:val="0"/>
                  <w:vAlign w:val="center"/>
                </w:tcPr>
                <w:p w14:paraId="32228F5F">
                  <w:pPr>
                    <w:pStyle w:val="17"/>
                    <w:jc w:val="both"/>
                    <w:rPr>
                      <w:rFonts w:hint="default"/>
                      <w:color w:val="auto"/>
                      <w:vertAlign w:val="baseline"/>
                      <w:lang w:val="en-US" w:eastAsia="zh-CN"/>
                    </w:rPr>
                  </w:pPr>
                  <w:r>
                    <w:rPr>
                      <w:rFonts w:hint="default"/>
                      <w:color w:val="auto"/>
                      <w:vertAlign w:val="baseline"/>
                      <w:lang w:val="en-US" w:eastAsia="zh-CN"/>
                    </w:rPr>
                    <w:t>第十五条 在化工、印染、包装印刷、涂装、家具制造等行业逐步推进低挥发性有机物含量原料和产品的使用。产生挥发性有机物的企业应当建立台账，记录生产原料、辅料的使用量、废弃量、去向以及挥发性有机物含量。</w:t>
                  </w:r>
                </w:p>
              </w:tc>
              <w:tc>
                <w:tcPr>
                  <w:tcW w:w="1972" w:type="pct"/>
                  <w:noWrap w:val="0"/>
                  <w:vAlign w:val="center"/>
                </w:tcPr>
                <w:p w14:paraId="2605EF73">
                  <w:pPr>
                    <w:pStyle w:val="17"/>
                    <w:jc w:val="both"/>
                    <w:rPr>
                      <w:rFonts w:hint="default"/>
                      <w:color w:val="auto"/>
                      <w:vertAlign w:val="baseline"/>
                      <w:lang w:val="en-US" w:eastAsia="zh-CN"/>
                    </w:rPr>
                  </w:pPr>
                  <w:r>
                    <w:rPr>
                      <w:rFonts w:hint="eastAsia"/>
                      <w:color w:val="auto"/>
                      <w:vertAlign w:val="baseline"/>
                      <w:lang w:val="en-US" w:eastAsia="zh-CN"/>
                    </w:rPr>
                    <w:t>本项目运营期生产原料与产品均不含挥发性有机物。</w:t>
                  </w:r>
                </w:p>
              </w:tc>
              <w:tc>
                <w:tcPr>
                  <w:tcW w:w="704" w:type="pct"/>
                  <w:noWrap w:val="0"/>
                  <w:vAlign w:val="center"/>
                </w:tcPr>
                <w:p w14:paraId="633AD7ED">
                  <w:pPr>
                    <w:pStyle w:val="17"/>
                    <w:jc w:val="center"/>
                    <w:rPr>
                      <w:rFonts w:hint="default"/>
                      <w:color w:val="auto"/>
                      <w:vertAlign w:val="baseline"/>
                      <w:lang w:val="en-US" w:eastAsia="zh-CN"/>
                    </w:rPr>
                  </w:pPr>
                  <w:r>
                    <w:rPr>
                      <w:rFonts w:hint="eastAsia"/>
                      <w:color w:val="auto"/>
                      <w:vertAlign w:val="baseline"/>
                      <w:lang w:val="en-US" w:eastAsia="zh-CN"/>
                    </w:rPr>
                    <w:t>符合</w:t>
                  </w:r>
                </w:p>
              </w:tc>
            </w:tr>
          </w:tbl>
          <w:p w14:paraId="6B5B71F6">
            <w:pPr>
              <w:rPr>
                <w:rFonts w:hint="eastAsia"/>
                <w:color w:val="auto"/>
                <w:lang w:val="en-US" w:eastAsia="zh-CN"/>
              </w:rPr>
            </w:pPr>
            <w:r>
              <w:rPr>
                <w:rFonts w:hint="eastAsia"/>
                <w:color w:val="auto"/>
                <w:lang w:val="en-US" w:eastAsia="zh-CN"/>
              </w:rPr>
              <w:t>综上，本项目的建设符合《湖南省大气污染防治条例》的相关要求。</w:t>
            </w:r>
          </w:p>
          <w:p w14:paraId="11DE7E25">
            <w:pPr>
              <w:pStyle w:val="5"/>
              <w:bidi w:val="0"/>
              <w:rPr>
                <w:rFonts w:hint="default"/>
                <w:color w:val="auto"/>
                <w:lang w:val="en-US" w:eastAsia="zh-CN"/>
              </w:rPr>
            </w:pPr>
            <w:bookmarkStart w:id="70" w:name="_Toc9919"/>
            <w:bookmarkStart w:id="71" w:name="_Toc20858"/>
            <w:bookmarkStart w:id="72" w:name="_Toc6083"/>
            <w:bookmarkStart w:id="73" w:name="_Toc11057"/>
            <w:bookmarkStart w:id="74" w:name="_Toc5744"/>
            <w:bookmarkStart w:id="75" w:name="_Toc19390"/>
            <w:bookmarkStart w:id="76" w:name="_Toc744"/>
            <w:r>
              <w:rPr>
                <w:rFonts w:hint="default"/>
                <w:color w:val="auto"/>
                <w:lang w:val="en-US" w:eastAsia="zh-CN"/>
              </w:rPr>
              <w:t>4.</w:t>
            </w:r>
            <w:r>
              <w:rPr>
                <w:rFonts w:hint="eastAsia"/>
                <w:color w:val="auto"/>
                <w:lang w:val="en-US" w:eastAsia="zh-CN"/>
              </w:rPr>
              <w:t>3</w:t>
            </w:r>
            <w:r>
              <w:rPr>
                <w:rFonts w:hint="default"/>
                <w:color w:val="auto"/>
                <w:lang w:val="en-US" w:eastAsia="zh-CN"/>
              </w:rPr>
              <w:t xml:space="preserve"> 与《湖南省</w:t>
            </w:r>
            <w:r>
              <w:rPr>
                <w:rFonts w:hint="eastAsia"/>
                <w:color w:val="auto"/>
                <w:lang w:val="en-US" w:eastAsia="zh-CN"/>
              </w:rPr>
              <w:t>“</w:t>
            </w:r>
            <w:r>
              <w:rPr>
                <w:rFonts w:hint="default"/>
                <w:color w:val="auto"/>
                <w:lang w:val="en-US" w:eastAsia="zh-CN"/>
              </w:rPr>
              <w:t>十四五</w:t>
            </w:r>
            <w:r>
              <w:rPr>
                <w:rFonts w:hint="eastAsia"/>
                <w:color w:val="auto"/>
                <w:lang w:val="en-US" w:eastAsia="zh-CN"/>
              </w:rPr>
              <w:t>”</w:t>
            </w:r>
            <w:r>
              <w:rPr>
                <w:rFonts w:hint="default"/>
                <w:color w:val="auto"/>
                <w:lang w:val="en-US" w:eastAsia="zh-CN"/>
              </w:rPr>
              <w:t>生态环境保护规划》的符合性分析</w:t>
            </w:r>
            <w:bookmarkEnd w:id="70"/>
            <w:bookmarkEnd w:id="71"/>
            <w:bookmarkEnd w:id="72"/>
            <w:bookmarkEnd w:id="73"/>
            <w:bookmarkEnd w:id="74"/>
            <w:bookmarkEnd w:id="75"/>
            <w:bookmarkEnd w:id="76"/>
          </w:p>
          <w:p w14:paraId="262BE017">
            <w:pPr>
              <w:bidi w:val="0"/>
              <w:rPr>
                <w:rFonts w:hint="default"/>
                <w:color w:val="auto"/>
                <w:lang w:val="en-US" w:eastAsia="zh-CN"/>
              </w:rPr>
            </w:pPr>
            <w:r>
              <w:rPr>
                <w:rFonts w:hint="default"/>
                <w:color w:val="auto"/>
                <w:lang w:val="en-US" w:eastAsia="zh-CN"/>
              </w:rPr>
              <w:t>本项目与《湖南省</w:t>
            </w:r>
            <w:r>
              <w:rPr>
                <w:rFonts w:hint="eastAsia"/>
                <w:color w:val="auto"/>
                <w:lang w:val="en-US" w:eastAsia="zh-CN"/>
              </w:rPr>
              <w:t>“</w:t>
            </w:r>
            <w:r>
              <w:rPr>
                <w:rFonts w:hint="default"/>
                <w:color w:val="auto"/>
                <w:lang w:val="en-US" w:eastAsia="zh-CN"/>
              </w:rPr>
              <w:t>十四五</w:t>
            </w:r>
            <w:r>
              <w:rPr>
                <w:rFonts w:hint="eastAsia"/>
                <w:color w:val="auto"/>
                <w:lang w:val="en-US" w:eastAsia="zh-CN"/>
              </w:rPr>
              <w:t>”</w:t>
            </w:r>
            <w:r>
              <w:rPr>
                <w:rFonts w:hint="default"/>
                <w:color w:val="auto"/>
                <w:lang w:val="en-US" w:eastAsia="zh-CN"/>
              </w:rPr>
              <w:t>生态环境保护规划》相关要求的符合性分析详见表1-</w:t>
            </w:r>
            <w:r>
              <w:rPr>
                <w:rFonts w:hint="eastAsia"/>
                <w:color w:val="auto"/>
                <w:lang w:val="en-US" w:eastAsia="zh-CN"/>
              </w:rPr>
              <w:t>3</w:t>
            </w:r>
            <w:r>
              <w:rPr>
                <w:rFonts w:hint="default"/>
                <w:color w:val="auto"/>
                <w:lang w:val="en-US" w:eastAsia="zh-CN"/>
              </w:rPr>
              <w:t>。</w:t>
            </w:r>
          </w:p>
          <w:p w14:paraId="373CD177">
            <w:pPr>
              <w:pStyle w:val="18"/>
              <w:bidi w:val="0"/>
              <w:rPr>
                <w:rFonts w:hint="default"/>
                <w:color w:val="auto"/>
                <w:lang w:val="en-US" w:eastAsia="zh-CN"/>
              </w:rPr>
            </w:pPr>
            <w:r>
              <w:rPr>
                <w:rFonts w:hint="default"/>
                <w:color w:val="auto"/>
                <w:lang w:val="en-US" w:eastAsia="zh-CN"/>
              </w:rPr>
              <w:t>表1-</w:t>
            </w:r>
            <w:r>
              <w:rPr>
                <w:rFonts w:hint="eastAsia"/>
                <w:color w:val="auto"/>
                <w:lang w:val="en-US" w:eastAsia="zh-CN"/>
              </w:rPr>
              <w:t>3</w:t>
            </w:r>
            <w:r>
              <w:rPr>
                <w:rFonts w:hint="default"/>
                <w:color w:val="auto"/>
                <w:lang w:val="en-US" w:eastAsia="zh-CN"/>
              </w:rPr>
              <w:t xml:space="preserve"> 与《湖南省</w:t>
            </w:r>
            <w:r>
              <w:rPr>
                <w:rFonts w:hint="eastAsia"/>
                <w:color w:val="auto"/>
                <w:lang w:val="en-US" w:eastAsia="zh-CN"/>
              </w:rPr>
              <w:t>“</w:t>
            </w:r>
            <w:r>
              <w:rPr>
                <w:rFonts w:hint="default"/>
                <w:color w:val="auto"/>
                <w:lang w:val="en-US" w:eastAsia="zh-CN"/>
              </w:rPr>
              <w:t>十四五</w:t>
            </w:r>
            <w:r>
              <w:rPr>
                <w:rFonts w:hint="eastAsia"/>
                <w:color w:val="auto"/>
                <w:lang w:val="en-US" w:eastAsia="zh-CN"/>
              </w:rPr>
              <w:t>”</w:t>
            </w:r>
            <w:r>
              <w:rPr>
                <w:rFonts w:hint="default"/>
                <w:color w:val="auto"/>
                <w:lang w:val="en-US" w:eastAsia="zh-CN"/>
              </w:rPr>
              <w:t>生态环境保护规划》符合性分析</w:t>
            </w:r>
          </w:p>
          <w:tbl>
            <w:tblPr>
              <w:tblStyle w:val="1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2"/>
              <w:gridCol w:w="2350"/>
              <w:gridCol w:w="871"/>
            </w:tblGrid>
            <w:tr w14:paraId="0018D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0" w:type="pct"/>
                  <w:noWrap w:val="0"/>
                  <w:vAlign w:val="center"/>
                </w:tcPr>
                <w:p w14:paraId="15190B09">
                  <w:pPr>
                    <w:pStyle w:val="17"/>
                    <w:jc w:val="center"/>
                    <w:rPr>
                      <w:rFonts w:hint="default"/>
                      <w:b w:val="0"/>
                      <w:bCs w:val="0"/>
                      <w:color w:val="auto"/>
                      <w:vertAlign w:val="baseline"/>
                      <w:lang w:val="en-US" w:eastAsia="zh-CN"/>
                    </w:rPr>
                  </w:pPr>
                  <w:r>
                    <w:rPr>
                      <w:rFonts w:hint="eastAsia"/>
                      <w:b w:val="0"/>
                      <w:bCs w:val="0"/>
                      <w:color w:val="auto"/>
                      <w:vertAlign w:val="baseline"/>
                      <w:lang w:val="en-US" w:eastAsia="zh-CN"/>
                    </w:rPr>
                    <w:t>规划要求</w:t>
                  </w:r>
                </w:p>
              </w:tc>
              <w:tc>
                <w:tcPr>
                  <w:tcW w:w="1779" w:type="pct"/>
                  <w:noWrap w:val="0"/>
                  <w:vAlign w:val="center"/>
                </w:tcPr>
                <w:p w14:paraId="56F60FE4">
                  <w:pPr>
                    <w:pStyle w:val="17"/>
                    <w:jc w:val="center"/>
                    <w:rPr>
                      <w:rFonts w:hint="default"/>
                      <w:b w:val="0"/>
                      <w:bCs w:val="0"/>
                      <w:color w:val="auto"/>
                      <w:vertAlign w:val="baseline"/>
                      <w:lang w:val="en-US" w:eastAsia="zh-CN"/>
                    </w:rPr>
                  </w:pPr>
                  <w:r>
                    <w:rPr>
                      <w:rFonts w:hint="eastAsia"/>
                      <w:b w:val="0"/>
                      <w:bCs w:val="0"/>
                      <w:color w:val="auto"/>
                      <w:vertAlign w:val="baseline"/>
                      <w:lang w:val="en-US" w:eastAsia="zh-CN"/>
                    </w:rPr>
                    <w:t>本项目情况</w:t>
                  </w:r>
                </w:p>
              </w:tc>
              <w:tc>
                <w:tcPr>
                  <w:tcW w:w="659" w:type="pct"/>
                  <w:noWrap w:val="0"/>
                  <w:vAlign w:val="center"/>
                </w:tcPr>
                <w:p w14:paraId="120F32DF">
                  <w:pPr>
                    <w:pStyle w:val="17"/>
                    <w:jc w:val="center"/>
                    <w:rPr>
                      <w:rFonts w:hint="default"/>
                      <w:b w:val="0"/>
                      <w:bCs w:val="0"/>
                      <w:color w:val="auto"/>
                      <w:vertAlign w:val="baseline"/>
                      <w:lang w:val="en-US" w:eastAsia="zh-CN"/>
                    </w:rPr>
                  </w:pPr>
                  <w:r>
                    <w:rPr>
                      <w:rFonts w:hint="eastAsia"/>
                      <w:b w:val="0"/>
                      <w:bCs w:val="0"/>
                      <w:color w:val="auto"/>
                      <w:vertAlign w:val="baseline"/>
                      <w:lang w:val="en-US" w:eastAsia="zh-CN"/>
                    </w:rPr>
                    <w:t>符合性</w:t>
                  </w:r>
                </w:p>
              </w:tc>
            </w:tr>
            <w:tr w14:paraId="21881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0" w:type="pct"/>
                  <w:noWrap w:val="0"/>
                  <w:vAlign w:val="center"/>
                </w:tcPr>
                <w:p w14:paraId="6A6815AE">
                  <w:pPr>
                    <w:pStyle w:val="17"/>
                    <w:jc w:val="both"/>
                    <w:rPr>
                      <w:rFonts w:hint="default"/>
                      <w:b/>
                      <w:bCs/>
                      <w:color w:val="auto"/>
                      <w:vertAlign w:val="baseline"/>
                      <w:lang w:val="en-US" w:eastAsia="zh-CN"/>
                    </w:rPr>
                  </w:pPr>
                  <w:r>
                    <w:rPr>
                      <w:rFonts w:hint="default"/>
                      <w:b/>
                      <w:bCs/>
                      <w:color w:val="auto"/>
                      <w:vertAlign w:val="baseline"/>
                      <w:lang w:val="en-US" w:eastAsia="zh-CN"/>
                    </w:rPr>
                    <w:t>推动能源结构持续优化。</w:t>
                  </w:r>
                </w:p>
                <w:p w14:paraId="091DBACD">
                  <w:pPr>
                    <w:pStyle w:val="17"/>
                    <w:jc w:val="both"/>
                    <w:rPr>
                      <w:rFonts w:hint="default"/>
                      <w:color w:val="auto"/>
                      <w:vertAlign w:val="baseline"/>
                      <w:lang w:val="en-US" w:eastAsia="zh-CN"/>
                    </w:rPr>
                  </w:pPr>
                  <w:r>
                    <w:rPr>
                      <w:rFonts w:hint="default"/>
                      <w:color w:val="auto"/>
                      <w:vertAlign w:val="baseline"/>
                      <w:lang w:val="en-US" w:eastAsia="zh-CN"/>
                    </w:rPr>
                    <w:t>优化能源结构，构建清洁低碳、安全高效的现代能源体系，控制化石能源消费总量，合理控制煤炭消费总量，提升煤炭清洁化利用率，</w:t>
                  </w:r>
                  <w:r>
                    <w:rPr>
                      <w:rFonts w:hint="eastAsia" w:ascii="宋体" w:hAnsi="宋体" w:eastAsia="宋体" w:cs="宋体"/>
                      <w:color w:val="auto"/>
                      <w:vertAlign w:val="baseline"/>
                      <w:lang w:val="en-US" w:eastAsia="zh-CN"/>
                    </w:rPr>
                    <w:t>“十四五”</w:t>
                  </w:r>
                  <w:r>
                    <w:rPr>
                      <w:rFonts w:hint="default"/>
                      <w:color w:val="auto"/>
                      <w:vertAlign w:val="baseline"/>
                      <w:lang w:val="en-US" w:eastAsia="zh-CN"/>
                    </w:rPr>
                    <w:t>期间煤炭消费基本达峰，形成以非石化能源为能源消费增量主体的能源结构。加快推进以风电、光伏发电为主的新能源发展，统筹发展水能、氢能、地热、生物质等优质清洁能源。</w:t>
                  </w:r>
                </w:p>
              </w:tc>
              <w:tc>
                <w:tcPr>
                  <w:tcW w:w="1779" w:type="pct"/>
                  <w:noWrap w:val="0"/>
                  <w:vAlign w:val="center"/>
                </w:tcPr>
                <w:p w14:paraId="1933052A">
                  <w:pPr>
                    <w:pStyle w:val="17"/>
                    <w:jc w:val="both"/>
                    <w:rPr>
                      <w:rFonts w:hint="default"/>
                      <w:color w:val="auto"/>
                      <w:vertAlign w:val="baseline"/>
                      <w:lang w:val="en-US" w:eastAsia="zh-CN"/>
                    </w:rPr>
                  </w:pPr>
                  <w:r>
                    <w:rPr>
                      <w:rFonts w:hint="eastAsia"/>
                      <w:color w:val="auto"/>
                      <w:vertAlign w:val="baseline"/>
                      <w:lang w:val="en-US" w:eastAsia="zh-CN"/>
                    </w:rPr>
                    <w:t>本项目用能主要为电力等清洁能源。</w:t>
                  </w:r>
                </w:p>
              </w:tc>
              <w:tc>
                <w:tcPr>
                  <w:tcW w:w="659" w:type="pct"/>
                  <w:noWrap w:val="0"/>
                  <w:vAlign w:val="center"/>
                </w:tcPr>
                <w:p w14:paraId="38588A8B">
                  <w:pPr>
                    <w:pStyle w:val="17"/>
                    <w:jc w:val="center"/>
                    <w:rPr>
                      <w:rFonts w:hint="default"/>
                      <w:color w:val="auto"/>
                      <w:vertAlign w:val="baseline"/>
                      <w:lang w:val="en-US" w:eastAsia="zh-CN"/>
                    </w:rPr>
                  </w:pPr>
                  <w:r>
                    <w:rPr>
                      <w:rFonts w:hint="eastAsia"/>
                      <w:color w:val="auto"/>
                      <w:vertAlign w:val="baseline"/>
                      <w:lang w:val="en-US" w:eastAsia="zh-CN"/>
                    </w:rPr>
                    <w:t>符合</w:t>
                  </w:r>
                </w:p>
              </w:tc>
            </w:tr>
            <w:tr w14:paraId="5CAAE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0" w:type="pct"/>
                  <w:noWrap w:val="0"/>
                  <w:vAlign w:val="center"/>
                </w:tcPr>
                <w:p w14:paraId="5917DA58">
                  <w:pPr>
                    <w:pStyle w:val="17"/>
                    <w:jc w:val="both"/>
                    <w:rPr>
                      <w:rFonts w:hint="default"/>
                      <w:b/>
                      <w:bCs/>
                      <w:color w:val="auto"/>
                      <w:vertAlign w:val="baseline"/>
                      <w:lang w:val="en-US" w:eastAsia="zh-CN"/>
                    </w:rPr>
                  </w:pPr>
                  <w:r>
                    <w:rPr>
                      <w:rFonts w:hint="default"/>
                      <w:b/>
                      <w:bCs/>
                      <w:color w:val="auto"/>
                      <w:vertAlign w:val="baseline"/>
                      <w:lang w:val="en-US" w:eastAsia="zh-CN"/>
                    </w:rPr>
                    <w:t>推动资源高效循环利用。</w:t>
                  </w:r>
                </w:p>
                <w:p w14:paraId="6EB3EFE3">
                  <w:pPr>
                    <w:pStyle w:val="17"/>
                    <w:jc w:val="both"/>
                    <w:rPr>
                      <w:rFonts w:hint="default"/>
                      <w:color w:val="auto"/>
                      <w:vertAlign w:val="baseline"/>
                      <w:lang w:val="en-US" w:eastAsia="zh-CN"/>
                    </w:rPr>
                  </w:pPr>
                  <w:r>
                    <w:rPr>
                      <w:rFonts w:hint="default"/>
                      <w:color w:val="auto"/>
                      <w:vertAlign w:val="baseline"/>
                      <w:lang w:val="en-US" w:eastAsia="zh-CN"/>
                    </w:rPr>
                    <w:t>加强工业生产用水、用能全过程管理，提高水资源、能源利用效率，严格实行用水、用能总量和强度管理，开展工业能效、水效</w:t>
                  </w:r>
                  <w:r>
                    <w:rPr>
                      <w:rFonts w:hint="eastAsia" w:ascii="宋体" w:hAnsi="宋体" w:eastAsia="宋体" w:cs="宋体"/>
                      <w:color w:val="auto"/>
                      <w:vertAlign w:val="baseline"/>
                      <w:lang w:val="en-US" w:eastAsia="zh-CN"/>
                    </w:rPr>
                    <w:t>“领跑者”</w:t>
                  </w:r>
                  <w:r>
                    <w:rPr>
                      <w:rFonts w:hint="default"/>
                      <w:color w:val="auto"/>
                      <w:vertAlign w:val="baseline"/>
                      <w:lang w:val="en-US" w:eastAsia="zh-CN"/>
                    </w:rPr>
                    <w:t>制度。推进工业园区循环化改造，推动企业循环式生产、产业循环式组合，搭建资源共享、废物处理、服务高效的公共平台，促进工业废物资源综合利用、能量梯级利用、水资源循环使用。</w:t>
                  </w:r>
                </w:p>
              </w:tc>
              <w:tc>
                <w:tcPr>
                  <w:tcW w:w="1779" w:type="pct"/>
                  <w:noWrap w:val="0"/>
                  <w:vAlign w:val="center"/>
                </w:tcPr>
                <w:p w14:paraId="03C4D993">
                  <w:pPr>
                    <w:pStyle w:val="17"/>
                    <w:jc w:val="both"/>
                    <w:rPr>
                      <w:rFonts w:hint="default"/>
                      <w:color w:val="auto"/>
                      <w:vertAlign w:val="baseline"/>
                      <w:lang w:val="en-US" w:eastAsia="zh-CN"/>
                    </w:rPr>
                  </w:pPr>
                  <w:r>
                    <w:rPr>
                      <w:rFonts w:hint="eastAsia"/>
                      <w:color w:val="auto"/>
                      <w:vertAlign w:val="baseline"/>
                      <w:lang w:val="en-US" w:eastAsia="zh-CN"/>
                    </w:rPr>
                    <w:t>本项目建成后运营期用水主要为生活用水、堆场抑尘用水、洒水降尘用水、车辆冲洗用水，生活污水经化粪池熟化后用作农肥，堆场抑尘废水和洒水降尘废水蒸发损耗或进入产品，车辆冲洗废水经隔油池、沉淀池处理后回用于车辆冲洗；本项目用能主要为电力等清洁能源。</w:t>
                  </w:r>
                </w:p>
              </w:tc>
              <w:tc>
                <w:tcPr>
                  <w:tcW w:w="659" w:type="pct"/>
                  <w:noWrap w:val="0"/>
                  <w:vAlign w:val="center"/>
                </w:tcPr>
                <w:p w14:paraId="6AC1CB08">
                  <w:pPr>
                    <w:pStyle w:val="17"/>
                    <w:jc w:val="center"/>
                    <w:rPr>
                      <w:rFonts w:hint="default"/>
                      <w:color w:val="auto"/>
                      <w:vertAlign w:val="baseline"/>
                      <w:lang w:val="en-US" w:eastAsia="zh-CN"/>
                    </w:rPr>
                  </w:pPr>
                  <w:r>
                    <w:rPr>
                      <w:rFonts w:hint="eastAsia"/>
                      <w:color w:val="auto"/>
                      <w:vertAlign w:val="baseline"/>
                      <w:lang w:val="en-US" w:eastAsia="zh-CN"/>
                    </w:rPr>
                    <w:t>符合</w:t>
                  </w:r>
                </w:p>
              </w:tc>
            </w:tr>
            <w:tr w14:paraId="49D33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0" w:type="pct"/>
                  <w:noWrap w:val="0"/>
                  <w:vAlign w:val="center"/>
                </w:tcPr>
                <w:p w14:paraId="141455F6">
                  <w:pPr>
                    <w:pStyle w:val="17"/>
                    <w:jc w:val="both"/>
                    <w:rPr>
                      <w:rFonts w:hint="default"/>
                      <w:b/>
                      <w:bCs/>
                      <w:color w:val="auto"/>
                      <w:vertAlign w:val="baseline"/>
                      <w:lang w:val="en-US" w:eastAsia="zh-CN"/>
                    </w:rPr>
                  </w:pPr>
                  <w:r>
                    <w:rPr>
                      <w:rFonts w:hint="default"/>
                      <w:b/>
                      <w:bCs/>
                      <w:color w:val="auto"/>
                      <w:vertAlign w:val="baseline"/>
                      <w:lang w:val="en-US" w:eastAsia="zh-CN"/>
                    </w:rPr>
                    <w:t>营造宁静和谐生活环境。</w:t>
                  </w:r>
                </w:p>
                <w:p w14:paraId="19C7FD8B">
                  <w:pPr>
                    <w:pStyle w:val="17"/>
                    <w:jc w:val="both"/>
                    <w:rPr>
                      <w:rFonts w:hint="default"/>
                      <w:color w:val="auto"/>
                      <w:vertAlign w:val="baseline"/>
                      <w:lang w:val="en-US" w:eastAsia="zh-CN"/>
                    </w:rPr>
                  </w:pPr>
                  <w:r>
                    <w:rPr>
                      <w:rFonts w:hint="default"/>
                      <w:color w:val="auto"/>
                      <w:vertAlign w:val="baseline"/>
                      <w:lang w:val="en-US" w:eastAsia="zh-CN"/>
                    </w:rPr>
                    <w:t>强化声环境功能区管理，开展声环境功能区评估与调整，地级以上城市在声环境功能区安装噪声自动监测系统。严格夜间施工审批并向社会公示，鼓励采用低噪声施工设备和工艺，强化夜间施工管理。推进工业企业噪声纳入排污许可管理，严厉查处工业企业噪声排放超标扰民行为。</w:t>
                  </w:r>
                </w:p>
              </w:tc>
              <w:tc>
                <w:tcPr>
                  <w:tcW w:w="1779" w:type="pct"/>
                  <w:noWrap w:val="0"/>
                  <w:vAlign w:val="center"/>
                </w:tcPr>
                <w:p w14:paraId="6AEE6860">
                  <w:pPr>
                    <w:pStyle w:val="17"/>
                    <w:jc w:val="both"/>
                    <w:rPr>
                      <w:rFonts w:hint="default"/>
                      <w:color w:val="auto"/>
                      <w:vertAlign w:val="baseline"/>
                      <w:lang w:val="en-US" w:eastAsia="zh-CN"/>
                    </w:rPr>
                  </w:pPr>
                  <w:r>
                    <w:rPr>
                      <w:rFonts w:hint="eastAsia"/>
                      <w:color w:val="auto"/>
                      <w:vertAlign w:val="baseline"/>
                      <w:lang w:val="en-US" w:eastAsia="zh-CN"/>
                    </w:rPr>
                    <w:t>本项目施工时间尽量避开夜间（</w:t>
                  </w:r>
                  <w:r>
                    <w:rPr>
                      <w:rFonts w:hint="eastAsia"/>
                      <w:color w:val="auto"/>
                      <w:lang w:val="en-US" w:eastAsia="zh-CN"/>
                    </w:rPr>
                    <w:t>23</w:t>
                  </w:r>
                  <w:r>
                    <w:rPr>
                      <w:rFonts w:hint="default" w:ascii="Times New Roman" w:hAnsi="Times New Roman" w:eastAsia="宋体" w:cs="Times New Roman"/>
                      <w:color w:val="auto"/>
                      <w:lang w:val="en-US" w:eastAsia="zh-CN"/>
                    </w:rPr>
                    <w:t>:</w:t>
                  </w:r>
                  <w:r>
                    <w:rPr>
                      <w:rFonts w:hint="eastAsia" w:ascii="Times New Roman" w:hAnsi="Times New Roman" w:cs="Times New Roman"/>
                      <w:color w:val="auto"/>
                      <w:lang w:val="en-US" w:eastAsia="zh-CN"/>
                    </w:rPr>
                    <w:t>00-次日6</w:t>
                  </w:r>
                  <w:r>
                    <w:rPr>
                      <w:rFonts w:hint="default" w:ascii="Times New Roman" w:hAnsi="Times New Roman" w:eastAsia="宋体" w:cs="Times New Roman"/>
                      <w:color w:val="auto"/>
                      <w:lang w:val="en-US" w:eastAsia="zh-CN"/>
                    </w:rPr>
                    <w:t>:</w:t>
                  </w:r>
                  <w:r>
                    <w:rPr>
                      <w:rFonts w:hint="eastAsia" w:ascii="Times New Roman" w:hAnsi="Times New Roman" w:cs="Times New Roman"/>
                      <w:color w:val="auto"/>
                      <w:lang w:val="en-US" w:eastAsia="zh-CN"/>
                    </w:rPr>
                    <w:t>00</w:t>
                  </w:r>
                  <w:r>
                    <w:rPr>
                      <w:rFonts w:hint="eastAsia"/>
                      <w:color w:val="auto"/>
                      <w:vertAlign w:val="baseline"/>
                      <w:lang w:val="en-US" w:eastAsia="zh-CN"/>
                    </w:rPr>
                    <w:t>）；选用低噪声施工设备和工艺进行施工。项目建成后，拟安装噪声自动监测系统，严格控制噪声排放。</w:t>
                  </w:r>
                </w:p>
              </w:tc>
              <w:tc>
                <w:tcPr>
                  <w:tcW w:w="659" w:type="pct"/>
                  <w:noWrap w:val="0"/>
                  <w:vAlign w:val="center"/>
                </w:tcPr>
                <w:p w14:paraId="560D69B7">
                  <w:pPr>
                    <w:pStyle w:val="17"/>
                    <w:jc w:val="center"/>
                    <w:rPr>
                      <w:rFonts w:hint="default"/>
                      <w:color w:val="auto"/>
                      <w:vertAlign w:val="baseline"/>
                      <w:lang w:val="en-US" w:eastAsia="zh-CN"/>
                    </w:rPr>
                  </w:pPr>
                  <w:r>
                    <w:rPr>
                      <w:rFonts w:hint="eastAsia"/>
                      <w:color w:val="auto"/>
                      <w:vertAlign w:val="baseline"/>
                      <w:lang w:val="en-US" w:eastAsia="zh-CN"/>
                    </w:rPr>
                    <w:t>符合</w:t>
                  </w:r>
                </w:p>
              </w:tc>
            </w:tr>
            <w:tr w14:paraId="2B02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0" w:type="pct"/>
                  <w:noWrap w:val="0"/>
                  <w:vAlign w:val="center"/>
                </w:tcPr>
                <w:p w14:paraId="65920548">
                  <w:pPr>
                    <w:pStyle w:val="17"/>
                    <w:bidi w:val="0"/>
                    <w:jc w:val="both"/>
                    <w:rPr>
                      <w:rFonts w:hint="default"/>
                      <w:b/>
                      <w:bCs/>
                      <w:color w:val="auto"/>
                      <w:vertAlign w:val="baseline"/>
                      <w:lang w:val="en-US" w:eastAsia="zh-CN"/>
                    </w:rPr>
                  </w:pPr>
                  <w:r>
                    <w:rPr>
                      <w:rFonts w:hint="default"/>
                      <w:b/>
                      <w:bCs/>
                      <w:color w:val="auto"/>
                      <w:vertAlign w:val="baseline"/>
                      <w:lang w:val="en-US" w:eastAsia="zh-CN"/>
                    </w:rPr>
                    <w:t>深入打好碧水保卫战。</w:t>
                  </w:r>
                </w:p>
                <w:p w14:paraId="4C736393">
                  <w:pPr>
                    <w:pStyle w:val="17"/>
                    <w:jc w:val="both"/>
                    <w:rPr>
                      <w:rFonts w:hint="default"/>
                      <w:color w:val="auto"/>
                      <w:vertAlign w:val="baseline"/>
                      <w:lang w:val="en-US" w:eastAsia="zh-CN"/>
                    </w:rPr>
                  </w:pPr>
                  <w:r>
                    <w:rPr>
                      <w:rFonts w:hint="default"/>
                      <w:color w:val="auto"/>
                      <w:vertAlign w:val="baseline"/>
                      <w:lang w:val="en-US" w:eastAsia="zh-CN"/>
                    </w:rPr>
                    <w:t>深化重点领域水污染治理。补齐城乡污水收集和处理设施短板，加强生活源污染治理，完善城市污水管网建设，实现建成区污水管网全覆盖，改造老旧破损管网及检查井，系统解决管网漏损问题。以企业和工业聚集区为重点，推进工业园区污水处理设施分类管理、分期升级改造，实施省级及以上工业园区专项整治行动，实现省级及以上工业园区污水管网全覆盖、污水全收集、污水集中处理设施稳定达标运行、进出水水质在线监控并联网正常，规范设置园区集中污水处理设施排污口，建立园区水环境管理</w:t>
                  </w:r>
                  <w:r>
                    <w:rPr>
                      <w:rFonts w:hint="eastAsia" w:ascii="宋体" w:hAnsi="宋体" w:eastAsia="宋体" w:cs="宋体"/>
                      <w:color w:val="auto"/>
                      <w:vertAlign w:val="baseline"/>
                      <w:lang w:val="en-US" w:eastAsia="zh-CN"/>
                    </w:rPr>
                    <w:t>“一园一档”</w:t>
                  </w:r>
                  <w:r>
                    <w:rPr>
                      <w:rFonts w:hint="eastAsia" w:ascii="宋体" w:hAnsi="宋体" w:cs="宋体"/>
                      <w:color w:val="auto"/>
                      <w:vertAlign w:val="baseline"/>
                      <w:lang w:val="en-US" w:eastAsia="zh-CN"/>
                    </w:rPr>
                    <w:t>。</w:t>
                  </w:r>
                </w:p>
              </w:tc>
              <w:tc>
                <w:tcPr>
                  <w:tcW w:w="1779" w:type="pct"/>
                  <w:noWrap w:val="0"/>
                  <w:vAlign w:val="center"/>
                </w:tcPr>
                <w:p w14:paraId="41B24C6C">
                  <w:pPr>
                    <w:pStyle w:val="17"/>
                    <w:jc w:val="both"/>
                    <w:rPr>
                      <w:rFonts w:hint="default"/>
                      <w:color w:val="auto"/>
                      <w:vertAlign w:val="baseline"/>
                      <w:lang w:val="en-US" w:eastAsia="zh-CN"/>
                    </w:rPr>
                  </w:pPr>
                  <w:r>
                    <w:rPr>
                      <w:rFonts w:hint="eastAsia"/>
                      <w:color w:val="auto"/>
                      <w:vertAlign w:val="baseline"/>
                      <w:lang w:val="en-US" w:eastAsia="zh-CN"/>
                    </w:rPr>
                    <w:t>本项目生活污水经化粪池熟化后用作农肥，堆场抑尘废水和洒水降尘废水蒸发损耗或进入产品，车辆冲洗废水经隔油池、沉淀池处理后回用于车辆冲洗。</w:t>
                  </w:r>
                </w:p>
              </w:tc>
              <w:tc>
                <w:tcPr>
                  <w:tcW w:w="659" w:type="pct"/>
                  <w:noWrap w:val="0"/>
                  <w:vAlign w:val="center"/>
                </w:tcPr>
                <w:p w14:paraId="3F1AE737">
                  <w:pPr>
                    <w:pStyle w:val="17"/>
                    <w:jc w:val="center"/>
                    <w:rPr>
                      <w:rFonts w:hint="default"/>
                      <w:color w:val="auto"/>
                      <w:vertAlign w:val="baseline"/>
                      <w:lang w:val="en-US" w:eastAsia="zh-CN"/>
                    </w:rPr>
                  </w:pPr>
                  <w:r>
                    <w:rPr>
                      <w:rFonts w:hint="eastAsia"/>
                      <w:color w:val="auto"/>
                      <w:vertAlign w:val="baseline"/>
                      <w:lang w:val="en-US" w:eastAsia="zh-CN"/>
                    </w:rPr>
                    <w:t>符合</w:t>
                  </w:r>
                </w:p>
              </w:tc>
            </w:tr>
            <w:tr w14:paraId="318B3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0" w:type="pct"/>
                  <w:noWrap w:val="0"/>
                  <w:vAlign w:val="center"/>
                </w:tcPr>
                <w:p w14:paraId="4F8E5B18">
                  <w:pPr>
                    <w:pStyle w:val="17"/>
                    <w:bidi w:val="0"/>
                    <w:jc w:val="both"/>
                    <w:rPr>
                      <w:rFonts w:hint="default"/>
                      <w:b/>
                      <w:bCs/>
                      <w:color w:val="auto"/>
                      <w:vertAlign w:val="baseline"/>
                      <w:lang w:val="en-US" w:eastAsia="zh-CN"/>
                    </w:rPr>
                  </w:pPr>
                  <w:r>
                    <w:rPr>
                      <w:rFonts w:hint="default"/>
                      <w:b/>
                      <w:bCs/>
                      <w:color w:val="auto"/>
                      <w:vertAlign w:val="baseline"/>
                      <w:lang w:val="en-US" w:eastAsia="zh-CN"/>
                    </w:rPr>
                    <w:t>深入打好蓝天保卫战。</w:t>
                  </w:r>
                </w:p>
                <w:p w14:paraId="09A41FAC">
                  <w:pPr>
                    <w:pStyle w:val="17"/>
                    <w:bidi w:val="0"/>
                    <w:jc w:val="both"/>
                    <w:rPr>
                      <w:rFonts w:hint="default"/>
                      <w:color w:val="auto"/>
                      <w:vertAlign w:val="baseline"/>
                      <w:lang w:val="en-US" w:eastAsia="zh-CN"/>
                    </w:rPr>
                  </w:pPr>
                  <w:r>
                    <w:rPr>
                      <w:rFonts w:hint="default"/>
                      <w:color w:val="auto"/>
                      <w:vertAlign w:val="baseline"/>
                      <w:lang w:val="en-US" w:eastAsia="zh-CN"/>
                    </w:rPr>
                    <w:t>强化重点行业VOCs科学治理。以工业涂装、石化、化工、包装印刷、油品储运销等行业为重点，实施企业VOCs原料替代、排放全过程控制。按照</w:t>
                  </w:r>
                  <w:r>
                    <w:rPr>
                      <w:rFonts w:hint="eastAsia" w:ascii="宋体" w:hAnsi="宋体" w:eastAsia="宋体" w:cs="宋体"/>
                      <w:color w:val="auto"/>
                      <w:vertAlign w:val="baseline"/>
                      <w:lang w:val="en-US" w:eastAsia="zh-CN"/>
                    </w:rPr>
                    <w:t>“分业施策、一行一策”</w:t>
                  </w:r>
                  <w:r>
                    <w:rPr>
                      <w:rFonts w:hint="default"/>
                      <w:color w:val="auto"/>
                      <w:vertAlign w:val="baseline"/>
                      <w:lang w:val="en-US" w:eastAsia="zh-CN"/>
                    </w:rPr>
                    <w:t>的原则，加大低VOCs含量原辅材料的推广使用力度，从源头减少VOCs产生。推进使用先进生产工艺设备，减少无组织排放。实行重点排放源排放浓度与去除效率双重控制。加强汽修行业VOCs综合治理，加大餐饮油烟污染治理力度，推进县级以上城市餐饮油烟治理全覆盖。</w:t>
                  </w:r>
                </w:p>
                <w:p w14:paraId="2D1C1459">
                  <w:pPr>
                    <w:pStyle w:val="17"/>
                    <w:bidi w:val="0"/>
                    <w:jc w:val="both"/>
                    <w:rPr>
                      <w:rFonts w:hint="default"/>
                      <w:color w:val="auto"/>
                      <w:vertAlign w:val="baseline"/>
                      <w:lang w:val="en-US" w:eastAsia="zh-CN"/>
                    </w:rPr>
                  </w:pPr>
                  <w:r>
                    <w:rPr>
                      <w:rFonts w:hint="default"/>
                      <w:color w:val="auto"/>
                      <w:vertAlign w:val="baseline"/>
                      <w:lang w:val="en-US" w:eastAsia="zh-CN"/>
                    </w:rPr>
                    <w:t>强化扬尘污染精准科学管控。县级以上城市建成区内房屋建筑和市政基础设施工程施工工地严格落实扬尘防控</w:t>
                  </w:r>
                  <w:r>
                    <w:rPr>
                      <w:rFonts w:hint="eastAsia" w:ascii="宋体" w:hAnsi="宋体" w:eastAsia="宋体" w:cs="宋体"/>
                      <w:color w:val="auto"/>
                      <w:vertAlign w:val="baseline"/>
                      <w:lang w:val="en-US" w:eastAsia="zh-CN"/>
                    </w:rPr>
                    <w:t>“</w:t>
                  </w:r>
                  <w:r>
                    <w:rPr>
                      <w:rFonts w:hint="default"/>
                      <w:color w:val="auto"/>
                      <w:vertAlign w:val="baseline"/>
                      <w:lang w:val="en-US" w:eastAsia="zh-CN"/>
                    </w:rPr>
                    <w:t>六个100%</w:t>
                  </w:r>
                  <w:r>
                    <w:rPr>
                      <w:rFonts w:hint="eastAsia"/>
                      <w:color w:val="auto"/>
                      <w:lang w:val="en-US" w:eastAsia="zh-CN"/>
                    </w:rPr>
                    <w:t>”</w:t>
                  </w:r>
                  <w:r>
                    <w:rPr>
                      <w:rFonts w:hint="default"/>
                      <w:color w:val="auto"/>
                      <w:vertAlign w:val="baseline"/>
                      <w:lang w:val="en-US" w:eastAsia="zh-CN"/>
                    </w:rPr>
                    <w:t>，全面推行绿色施工，将绿色施工纳入企业资质评价、信用评价。</w:t>
                  </w:r>
                </w:p>
                <w:p w14:paraId="4566377C">
                  <w:pPr>
                    <w:pStyle w:val="17"/>
                    <w:jc w:val="both"/>
                    <w:rPr>
                      <w:rFonts w:hint="default"/>
                      <w:color w:val="auto"/>
                      <w:vertAlign w:val="baseline"/>
                      <w:lang w:val="en-US" w:eastAsia="zh-CN"/>
                    </w:rPr>
                  </w:pPr>
                  <w:r>
                    <w:rPr>
                      <w:rFonts w:hint="default"/>
                      <w:color w:val="auto"/>
                      <w:vertAlign w:val="baseline"/>
                      <w:lang w:val="en-US" w:eastAsia="zh-CN"/>
                    </w:rPr>
                    <w:t>开展细颗粒物达标行动。持续降低环境空气细颗粒物水平，巩固改善大气环境质量。</w:t>
                  </w:r>
                </w:p>
              </w:tc>
              <w:tc>
                <w:tcPr>
                  <w:tcW w:w="1779" w:type="pct"/>
                  <w:noWrap w:val="0"/>
                  <w:vAlign w:val="center"/>
                </w:tcPr>
                <w:p w14:paraId="6FC77523">
                  <w:pPr>
                    <w:pStyle w:val="17"/>
                    <w:jc w:val="both"/>
                    <w:rPr>
                      <w:rFonts w:hint="default"/>
                      <w:color w:val="auto"/>
                      <w:vertAlign w:val="baseline"/>
                      <w:lang w:val="en-US" w:eastAsia="zh-CN"/>
                    </w:rPr>
                  </w:pPr>
                  <w:r>
                    <w:rPr>
                      <w:rFonts w:hint="eastAsia"/>
                      <w:color w:val="auto"/>
                      <w:vertAlign w:val="baseline"/>
                      <w:lang w:val="en-US" w:eastAsia="zh-CN"/>
                    </w:rPr>
                    <w:t>本项目运营期生产原料与产品均不含挥发性有机物。本项目堆场已设置三面围挡、喷淋降尘、加盖棚罩、堆场硬化；破碎、筛分粉尘经集气罩收集后由旋风除尘器、脉冲反吹袋式除尘器处理后引至15m高排气筒（DA001）有组织排放，未被集气罩收集的破碎、筛分粉尘经全封闭车间沉降以及环保除尘雾炮机处理后可以达标排放；搅拌粉尘经管道收集后由袋式除尘器处理后引至15m高排气筒（DA002）有组织排放；水泥装卸/储存粉尘由袋式除尘器处理后可以达标排放；输送粉尘通过采取平稳输送、密封廊道等措施可以达标排放；投料粉尘通过在制砖/水稳砂投料口洒水降尘可达标排放；道路扬尘通过采取地面硬化、运输车辆篷布遮盖、定期清洗车辆等措施可以达标排放；运输车辆尾气通过自然扩散排放量较少；食堂油烟通过油烟净化器处理后经排烟竖井有组织排放。</w:t>
                  </w:r>
                </w:p>
              </w:tc>
              <w:tc>
                <w:tcPr>
                  <w:tcW w:w="659" w:type="pct"/>
                  <w:noWrap w:val="0"/>
                  <w:vAlign w:val="center"/>
                </w:tcPr>
                <w:p w14:paraId="162DD1D6">
                  <w:pPr>
                    <w:pStyle w:val="17"/>
                    <w:jc w:val="center"/>
                    <w:rPr>
                      <w:rFonts w:hint="default"/>
                      <w:color w:val="auto"/>
                      <w:vertAlign w:val="baseline"/>
                      <w:lang w:val="en-US" w:eastAsia="zh-CN"/>
                    </w:rPr>
                  </w:pPr>
                  <w:r>
                    <w:rPr>
                      <w:rFonts w:hint="eastAsia"/>
                      <w:color w:val="auto"/>
                      <w:vertAlign w:val="baseline"/>
                      <w:lang w:val="en-US" w:eastAsia="zh-CN"/>
                    </w:rPr>
                    <w:t>符合</w:t>
                  </w:r>
                </w:p>
              </w:tc>
            </w:tr>
          </w:tbl>
          <w:p w14:paraId="1573D798">
            <w:pPr>
              <w:bidi w:val="0"/>
              <w:rPr>
                <w:rFonts w:hint="eastAsia"/>
                <w:color w:val="auto"/>
                <w:lang w:val="en-US" w:eastAsia="zh-CN"/>
              </w:rPr>
            </w:pPr>
            <w:r>
              <w:rPr>
                <w:rFonts w:hint="eastAsia"/>
                <w:color w:val="auto"/>
                <w:lang w:val="en-US" w:eastAsia="zh-CN"/>
              </w:rPr>
              <w:t>综上，本项目的建设符合《湖南省“十四五”生态环境保护规划》的相关要求。</w:t>
            </w:r>
          </w:p>
          <w:p w14:paraId="0B14501A">
            <w:pPr>
              <w:pStyle w:val="5"/>
              <w:bidi w:val="0"/>
              <w:rPr>
                <w:rFonts w:hint="eastAsia"/>
                <w:color w:val="auto"/>
                <w:lang w:val="en-US" w:eastAsia="zh-CN"/>
              </w:rPr>
            </w:pPr>
            <w:bookmarkStart w:id="77" w:name="_Toc32740"/>
            <w:bookmarkStart w:id="78" w:name="_Toc21688"/>
            <w:bookmarkStart w:id="79" w:name="_Toc18867"/>
            <w:bookmarkStart w:id="80" w:name="_Toc23231"/>
            <w:bookmarkStart w:id="81" w:name="_Toc7844"/>
            <w:bookmarkStart w:id="82" w:name="_Toc26307"/>
            <w:bookmarkStart w:id="83" w:name="_Toc14842"/>
            <w:r>
              <w:rPr>
                <w:rFonts w:hint="eastAsia"/>
                <w:color w:val="auto"/>
                <w:lang w:val="en-US" w:eastAsia="zh-CN"/>
              </w:rPr>
              <w:t>4.4 与《衡阳市“十四五”生态环境保护规划》的符合性分析</w:t>
            </w:r>
            <w:bookmarkEnd w:id="77"/>
            <w:bookmarkEnd w:id="78"/>
            <w:bookmarkEnd w:id="79"/>
            <w:bookmarkEnd w:id="80"/>
            <w:bookmarkEnd w:id="81"/>
            <w:bookmarkEnd w:id="82"/>
            <w:bookmarkEnd w:id="83"/>
          </w:p>
          <w:p w14:paraId="66D642F2">
            <w:pPr>
              <w:rPr>
                <w:rFonts w:hint="default"/>
                <w:color w:val="auto"/>
                <w:lang w:val="en-US" w:eastAsia="zh-CN"/>
              </w:rPr>
            </w:pPr>
            <w:r>
              <w:rPr>
                <w:rFonts w:hint="default"/>
                <w:color w:val="auto"/>
                <w:lang w:val="en-US" w:eastAsia="zh-CN"/>
              </w:rPr>
              <w:t>据规划主要指标要求，</w:t>
            </w:r>
            <w:r>
              <w:rPr>
                <w:rFonts w:hint="eastAsia" w:ascii="宋体" w:hAnsi="宋体" w:eastAsia="宋体" w:cs="宋体"/>
                <w:color w:val="auto"/>
                <w:lang w:val="en-US" w:eastAsia="zh-CN"/>
              </w:rPr>
              <w:t>“十四五”</w:t>
            </w:r>
            <w:r>
              <w:rPr>
                <w:rFonts w:hint="default"/>
                <w:color w:val="auto"/>
                <w:lang w:val="en-US" w:eastAsia="zh-CN"/>
              </w:rPr>
              <w:t>期间共设置生态环境保护主要指标26项，其中约束性指标12项，预期性指标14项，涵盖绿色低碳、环境治理、生态保护、风险防控四大领域。根据衡阳市生态环境局发布的《关于2022年12月及1-12月全市环境质量状况的通报》，2022年</w:t>
            </w:r>
            <w:r>
              <w:rPr>
                <w:rFonts w:hint="eastAsia"/>
                <w:color w:val="auto"/>
                <w:lang w:val="en-US" w:eastAsia="zh-CN"/>
              </w:rPr>
              <w:t>蒸湘区</w:t>
            </w:r>
            <w:r>
              <w:rPr>
                <w:rFonts w:hint="default"/>
                <w:color w:val="auto"/>
                <w:lang w:val="en-US" w:eastAsia="zh-CN"/>
              </w:rPr>
              <w:t>为环境空气质量达标区，距离本项目所在区域最近的地表水监测断面为达标断面，环境质量较好。</w:t>
            </w:r>
          </w:p>
          <w:p w14:paraId="06ADE415">
            <w:pPr>
              <w:rPr>
                <w:rFonts w:hint="default"/>
                <w:color w:val="auto"/>
                <w:lang w:val="en-US" w:eastAsia="zh-CN"/>
              </w:rPr>
            </w:pPr>
            <w:r>
              <w:rPr>
                <w:rFonts w:hint="default"/>
                <w:color w:val="auto"/>
                <w:lang w:val="en-US" w:eastAsia="zh-CN"/>
              </w:rPr>
              <w:t>本项目在落实好本环评报告提出的污染防治措施后，运营期对区域环境影响较小，符合《衡阳市</w:t>
            </w:r>
            <w:r>
              <w:rPr>
                <w:rFonts w:hint="eastAsia" w:ascii="宋体" w:hAnsi="宋体" w:eastAsia="宋体" w:cs="宋体"/>
                <w:color w:val="auto"/>
                <w:lang w:val="en-US" w:eastAsia="zh-CN"/>
              </w:rPr>
              <w:t>“十四五”</w:t>
            </w:r>
            <w:r>
              <w:rPr>
                <w:rFonts w:hint="default"/>
                <w:color w:val="auto"/>
                <w:lang w:val="en-US" w:eastAsia="zh-CN"/>
              </w:rPr>
              <w:t>生态环境保护规划》的相关要求。</w:t>
            </w:r>
          </w:p>
          <w:p w14:paraId="25899C09">
            <w:pPr>
              <w:pStyle w:val="5"/>
              <w:bidi w:val="0"/>
              <w:rPr>
                <w:rFonts w:hint="eastAsia"/>
                <w:color w:val="auto"/>
                <w:lang w:val="en-US" w:eastAsia="zh-CN"/>
              </w:rPr>
            </w:pPr>
            <w:bookmarkStart w:id="84" w:name="_Toc12801"/>
            <w:bookmarkStart w:id="85" w:name="_Toc5500"/>
            <w:bookmarkStart w:id="86" w:name="_Toc16782"/>
            <w:bookmarkStart w:id="87" w:name="_Toc3209"/>
            <w:bookmarkStart w:id="88" w:name="_Toc17239"/>
            <w:bookmarkStart w:id="89" w:name="_Toc9809"/>
            <w:bookmarkStart w:id="90" w:name="_Toc11715"/>
            <w:r>
              <w:rPr>
                <w:rFonts w:hint="eastAsia"/>
                <w:color w:val="auto"/>
                <w:lang w:val="en-US" w:eastAsia="zh-CN"/>
              </w:rPr>
              <w:t>4.5 与《衡阳市“十四五”空气质量改善规划》的符合性分析</w:t>
            </w:r>
            <w:bookmarkEnd w:id="84"/>
            <w:bookmarkEnd w:id="85"/>
            <w:bookmarkEnd w:id="86"/>
            <w:bookmarkEnd w:id="87"/>
            <w:bookmarkEnd w:id="88"/>
            <w:bookmarkEnd w:id="89"/>
            <w:bookmarkEnd w:id="90"/>
          </w:p>
          <w:p w14:paraId="753150AB">
            <w:pPr>
              <w:rPr>
                <w:rFonts w:hint="default"/>
                <w:color w:val="auto"/>
                <w:lang w:val="en-US" w:eastAsia="zh-CN"/>
              </w:rPr>
            </w:pPr>
            <w:r>
              <w:rPr>
                <w:rFonts w:hint="default"/>
                <w:color w:val="auto"/>
                <w:lang w:val="en-US" w:eastAsia="zh-CN"/>
              </w:rPr>
              <w:t>本项目与《衡阳市</w:t>
            </w:r>
            <w:r>
              <w:rPr>
                <w:rFonts w:hint="eastAsia" w:ascii="宋体" w:hAnsi="宋体" w:eastAsia="宋体" w:cs="宋体"/>
                <w:color w:val="auto"/>
                <w:lang w:val="en-US" w:eastAsia="zh-CN"/>
              </w:rPr>
              <w:t>“十四五”</w:t>
            </w:r>
            <w:r>
              <w:rPr>
                <w:rFonts w:hint="default"/>
                <w:color w:val="auto"/>
                <w:lang w:val="en-US" w:eastAsia="zh-CN"/>
              </w:rPr>
              <w:t>空气质量改善规划》相关要求的符合性分析详见表1-5。</w:t>
            </w:r>
          </w:p>
          <w:p w14:paraId="29FEA056">
            <w:pPr>
              <w:pStyle w:val="18"/>
              <w:bidi w:val="0"/>
              <w:rPr>
                <w:rFonts w:hint="eastAsia"/>
                <w:color w:val="auto"/>
                <w:lang w:val="en-US" w:eastAsia="zh-CN"/>
              </w:rPr>
            </w:pPr>
            <w:r>
              <w:rPr>
                <w:rFonts w:hint="eastAsia"/>
                <w:color w:val="auto"/>
                <w:lang w:val="en-US" w:eastAsia="zh-CN"/>
              </w:rPr>
              <w:t>表1-4 与《衡阳市“十四五”空气质量改善规划》的符合性分析</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4"/>
              <w:gridCol w:w="2445"/>
              <w:gridCol w:w="915"/>
            </w:tblGrid>
            <w:tr w14:paraId="44A30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6" w:type="pct"/>
                  <w:noWrap w:val="0"/>
                  <w:vAlign w:val="center"/>
                </w:tcPr>
                <w:p w14:paraId="6C3A4949">
                  <w:pPr>
                    <w:pStyle w:val="17"/>
                    <w:bidi w:val="0"/>
                    <w:rPr>
                      <w:rFonts w:hint="default"/>
                      <w:b w:val="0"/>
                      <w:bCs w:val="0"/>
                      <w:color w:val="auto"/>
                      <w:lang w:val="en-US" w:eastAsia="zh-CN"/>
                    </w:rPr>
                  </w:pPr>
                  <w:r>
                    <w:rPr>
                      <w:rFonts w:hint="eastAsia"/>
                      <w:b w:val="0"/>
                      <w:bCs w:val="0"/>
                      <w:color w:val="auto"/>
                      <w:lang w:val="en-US" w:eastAsia="zh-CN"/>
                    </w:rPr>
                    <w:t>规划要求</w:t>
                  </w:r>
                </w:p>
              </w:tc>
              <w:tc>
                <w:tcPr>
                  <w:tcW w:w="1851" w:type="pct"/>
                  <w:noWrap w:val="0"/>
                  <w:vAlign w:val="center"/>
                </w:tcPr>
                <w:p w14:paraId="1A67D7FC">
                  <w:pPr>
                    <w:pStyle w:val="17"/>
                    <w:bidi w:val="0"/>
                    <w:rPr>
                      <w:rFonts w:hint="default"/>
                      <w:b w:val="0"/>
                      <w:bCs w:val="0"/>
                      <w:color w:val="auto"/>
                      <w:lang w:val="en-US" w:eastAsia="zh-CN"/>
                    </w:rPr>
                  </w:pPr>
                  <w:r>
                    <w:rPr>
                      <w:rFonts w:hint="eastAsia"/>
                      <w:b w:val="0"/>
                      <w:bCs w:val="0"/>
                      <w:color w:val="auto"/>
                      <w:lang w:val="en-US" w:eastAsia="zh-CN"/>
                    </w:rPr>
                    <w:t>本项目情况</w:t>
                  </w:r>
                </w:p>
              </w:tc>
              <w:tc>
                <w:tcPr>
                  <w:tcW w:w="692" w:type="pct"/>
                  <w:noWrap w:val="0"/>
                  <w:vAlign w:val="center"/>
                </w:tcPr>
                <w:p w14:paraId="0F16592F">
                  <w:pPr>
                    <w:pStyle w:val="17"/>
                    <w:bidi w:val="0"/>
                    <w:rPr>
                      <w:rFonts w:hint="default"/>
                      <w:b w:val="0"/>
                      <w:bCs w:val="0"/>
                      <w:color w:val="auto"/>
                      <w:lang w:val="en-US" w:eastAsia="zh-CN"/>
                    </w:rPr>
                  </w:pPr>
                  <w:r>
                    <w:rPr>
                      <w:rFonts w:hint="eastAsia"/>
                      <w:b w:val="0"/>
                      <w:bCs w:val="0"/>
                      <w:color w:val="auto"/>
                      <w:lang w:val="en-US" w:eastAsia="zh-CN"/>
                    </w:rPr>
                    <w:t>符合性</w:t>
                  </w:r>
                </w:p>
              </w:tc>
            </w:tr>
            <w:tr w14:paraId="3CA4C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6" w:type="pct"/>
                  <w:noWrap w:val="0"/>
                  <w:vAlign w:val="center"/>
                </w:tcPr>
                <w:p w14:paraId="1A66F1F1">
                  <w:pPr>
                    <w:pStyle w:val="17"/>
                    <w:bidi w:val="0"/>
                    <w:jc w:val="both"/>
                    <w:rPr>
                      <w:rFonts w:hint="default"/>
                      <w:b/>
                      <w:bCs/>
                      <w:color w:val="auto"/>
                      <w:lang w:val="en-US" w:eastAsia="zh-CN"/>
                    </w:rPr>
                  </w:pPr>
                  <w:r>
                    <w:rPr>
                      <w:rFonts w:hint="default"/>
                      <w:b/>
                      <w:bCs/>
                      <w:color w:val="auto"/>
                      <w:lang w:val="en-US" w:eastAsia="zh-CN"/>
                    </w:rPr>
                    <w:t>优化能源结构，加快能源清洁低碳高效发展</w:t>
                  </w:r>
                </w:p>
                <w:p w14:paraId="7B72968E">
                  <w:pPr>
                    <w:pStyle w:val="17"/>
                    <w:bidi w:val="0"/>
                    <w:jc w:val="both"/>
                    <w:rPr>
                      <w:rFonts w:hint="default"/>
                      <w:color w:val="auto"/>
                      <w:vertAlign w:val="baseline"/>
                      <w:lang w:val="en-US" w:eastAsia="zh-CN"/>
                    </w:rPr>
                  </w:pPr>
                  <w:r>
                    <w:rPr>
                      <w:rFonts w:hint="default"/>
                      <w:color w:val="auto"/>
                      <w:lang w:val="en-US" w:eastAsia="zh-CN"/>
                    </w:rPr>
                    <w:t>推进能源结构优化，大力发展清洁能源。优化能源结构，提升供给侧非化石能源比重，提高消费侧电力比重，增加天然气供应量，降低煤炭消费比重。积极发展太阳能光伏、</w:t>
                  </w:r>
                  <w:r>
                    <w:rPr>
                      <w:rFonts w:hint="eastAsia"/>
                      <w:color w:val="auto"/>
                      <w:lang w:val="en-US" w:eastAsia="zh-CN"/>
                    </w:rPr>
                    <w:t>风电</w:t>
                  </w:r>
                  <w:r>
                    <w:rPr>
                      <w:rFonts w:hint="default"/>
                      <w:color w:val="auto"/>
                      <w:lang w:val="en-US" w:eastAsia="zh-CN"/>
                    </w:rPr>
                    <w:t>、生物质能等清洁能源，推进非化石能源规模化利用。大力推进电能替代煤炭，积极稳妥推进以气代煤，因地制宜推进生物质等能源代煤，开展氢能源代煤示范。推进热电联产、集中供热和工业余热利用，关停热电联产集中供热管网覆盖区域内的燃煤锅炉、工业窑炉</w:t>
                  </w:r>
                  <w:r>
                    <w:rPr>
                      <w:rFonts w:hint="eastAsia"/>
                      <w:color w:val="auto"/>
                      <w:lang w:val="en-US" w:eastAsia="zh-CN"/>
                    </w:rPr>
                    <w:t>。</w:t>
                  </w:r>
                </w:p>
              </w:tc>
              <w:tc>
                <w:tcPr>
                  <w:tcW w:w="1851" w:type="pct"/>
                  <w:noWrap w:val="0"/>
                  <w:vAlign w:val="center"/>
                </w:tcPr>
                <w:p w14:paraId="2752978E">
                  <w:pPr>
                    <w:pStyle w:val="17"/>
                    <w:bidi w:val="0"/>
                    <w:jc w:val="left"/>
                    <w:rPr>
                      <w:rFonts w:hint="default"/>
                      <w:color w:val="auto"/>
                      <w:vertAlign w:val="baseline"/>
                      <w:lang w:val="en-US" w:eastAsia="zh-CN"/>
                    </w:rPr>
                  </w:pPr>
                  <w:r>
                    <w:rPr>
                      <w:rFonts w:hint="eastAsia"/>
                      <w:color w:val="auto"/>
                      <w:vertAlign w:val="baseline"/>
                      <w:lang w:val="en-US" w:eastAsia="zh-CN"/>
                    </w:rPr>
                    <w:t>本项目用能主要为电力等清洁能源。</w:t>
                  </w:r>
                </w:p>
              </w:tc>
              <w:tc>
                <w:tcPr>
                  <w:tcW w:w="692" w:type="pct"/>
                  <w:noWrap w:val="0"/>
                  <w:vAlign w:val="center"/>
                </w:tcPr>
                <w:p w14:paraId="73F71982">
                  <w:pPr>
                    <w:pStyle w:val="17"/>
                    <w:bidi w:val="0"/>
                    <w:jc w:val="center"/>
                    <w:rPr>
                      <w:rFonts w:hint="default"/>
                      <w:color w:val="auto"/>
                      <w:vertAlign w:val="baseline"/>
                      <w:lang w:val="en-US" w:eastAsia="zh-CN"/>
                    </w:rPr>
                  </w:pPr>
                  <w:r>
                    <w:rPr>
                      <w:rFonts w:hint="eastAsia"/>
                      <w:color w:val="auto"/>
                      <w:vertAlign w:val="baseline"/>
                      <w:lang w:val="en-US" w:eastAsia="zh-CN"/>
                    </w:rPr>
                    <w:t>符合</w:t>
                  </w:r>
                </w:p>
              </w:tc>
            </w:tr>
            <w:tr w14:paraId="5BB54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6" w:type="pct"/>
                  <w:noWrap w:val="0"/>
                  <w:vAlign w:val="center"/>
                </w:tcPr>
                <w:p w14:paraId="46CE7576">
                  <w:pPr>
                    <w:pStyle w:val="17"/>
                    <w:bidi w:val="0"/>
                    <w:jc w:val="both"/>
                    <w:rPr>
                      <w:rFonts w:hint="eastAsia"/>
                      <w:b/>
                      <w:bCs/>
                      <w:color w:val="auto"/>
                      <w:lang w:val="en-US" w:eastAsia="zh-CN"/>
                    </w:rPr>
                  </w:pPr>
                  <w:r>
                    <w:rPr>
                      <w:rFonts w:hint="eastAsia"/>
                      <w:b/>
                      <w:bCs/>
                      <w:color w:val="auto"/>
                      <w:lang w:val="en-US" w:eastAsia="zh-CN"/>
                    </w:rPr>
                    <w:t>强化VOCs全过程综合治理</w:t>
                  </w:r>
                </w:p>
                <w:p w14:paraId="0A5D9A88">
                  <w:pPr>
                    <w:pStyle w:val="17"/>
                    <w:bidi w:val="0"/>
                    <w:jc w:val="both"/>
                    <w:rPr>
                      <w:rFonts w:hint="default"/>
                      <w:color w:val="auto"/>
                      <w:lang w:val="en-US" w:eastAsia="zh-CN"/>
                    </w:rPr>
                  </w:pPr>
                  <w:r>
                    <w:rPr>
                      <w:rFonts w:hint="eastAsia"/>
                      <w:color w:val="auto"/>
                      <w:lang w:val="en-US" w:eastAsia="zh-CN"/>
                    </w:rPr>
                    <w:t>优化含VOCs原辅材料和产品结构。严格控制生产和使用高VOCs含量溶剂型涂料、油墨、胶粘剂、清洗剂等建设项目，现有高VOCs含量产品生产企业要加快产品升级转型，提高水性、高固体分、无溶剂、粉末等低VOCs含量产品的比重。</w:t>
                  </w:r>
                </w:p>
              </w:tc>
              <w:tc>
                <w:tcPr>
                  <w:tcW w:w="1851" w:type="pct"/>
                  <w:noWrap w:val="0"/>
                  <w:vAlign w:val="center"/>
                </w:tcPr>
                <w:p w14:paraId="0D82CC26">
                  <w:pPr>
                    <w:pStyle w:val="17"/>
                    <w:bidi w:val="0"/>
                    <w:jc w:val="both"/>
                    <w:rPr>
                      <w:rFonts w:hint="default"/>
                      <w:color w:val="auto"/>
                      <w:vertAlign w:val="baseline"/>
                      <w:lang w:val="en-US" w:eastAsia="zh-CN"/>
                    </w:rPr>
                  </w:pPr>
                  <w:r>
                    <w:rPr>
                      <w:rFonts w:hint="eastAsia"/>
                      <w:color w:val="auto"/>
                      <w:vertAlign w:val="baseline"/>
                      <w:lang w:val="en-US" w:eastAsia="zh-CN"/>
                    </w:rPr>
                    <w:t>本项目运营期生产原料与产品均不含挥发性有机物。</w:t>
                  </w:r>
                </w:p>
              </w:tc>
              <w:tc>
                <w:tcPr>
                  <w:tcW w:w="692" w:type="pct"/>
                  <w:noWrap w:val="0"/>
                  <w:vAlign w:val="center"/>
                </w:tcPr>
                <w:p w14:paraId="16676679">
                  <w:pPr>
                    <w:pStyle w:val="17"/>
                    <w:bidi w:val="0"/>
                    <w:jc w:val="center"/>
                    <w:rPr>
                      <w:rFonts w:hint="default"/>
                      <w:color w:val="auto"/>
                      <w:vertAlign w:val="baseline"/>
                      <w:lang w:val="en-US" w:eastAsia="zh-CN"/>
                    </w:rPr>
                  </w:pPr>
                  <w:r>
                    <w:rPr>
                      <w:rFonts w:hint="eastAsia"/>
                      <w:color w:val="auto"/>
                      <w:vertAlign w:val="baseline"/>
                      <w:lang w:val="en-US" w:eastAsia="zh-CN"/>
                    </w:rPr>
                    <w:t>符合</w:t>
                  </w:r>
                </w:p>
              </w:tc>
            </w:tr>
            <w:tr w14:paraId="38730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6" w:type="pct"/>
                  <w:noWrap w:val="0"/>
                  <w:vAlign w:val="center"/>
                </w:tcPr>
                <w:p w14:paraId="0E7D7C0B">
                  <w:pPr>
                    <w:pStyle w:val="17"/>
                    <w:bidi w:val="0"/>
                    <w:jc w:val="both"/>
                    <w:rPr>
                      <w:rFonts w:hint="default"/>
                      <w:b/>
                      <w:bCs/>
                      <w:color w:val="auto"/>
                      <w:lang w:val="en-US" w:eastAsia="zh-CN"/>
                    </w:rPr>
                  </w:pPr>
                  <w:r>
                    <w:rPr>
                      <w:rFonts w:hint="default"/>
                      <w:b/>
                      <w:bCs/>
                      <w:color w:val="auto"/>
                      <w:lang w:val="en-US" w:eastAsia="zh-CN"/>
                    </w:rPr>
                    <w:t>深化扬尘污染综合治理</w:t>
                  </w:r>
                </w:p>
                <w:p w14:paraId="3C10B93B">
                  <w:pPr>
                    <w:pStyle w:val="17"/>
                    <w:bidi w:val="0"/>
                    <w:jc w:val="both"/>
                    <w:rPr>
                      <w:rFonts w:hint="default"/>
                      <w:color w:val="auto"/>
                      <w:vertAlign w:val="baseline"/>
                      <w:lang w:val="en-US" w:eastAsia="zh-CN"/>
                    </w:rPr>
                  </w:pPr>
                  <w:r>
                    <w:rPr>
                      <w:rFonts w:hint="default"/>
                      <w:color w:val="auto"/>
                      <w:vertAlign w:val="baseline"/>
                      <w:lang w:val="en-US" w:eastAsia="zh-CN"/>
                    </w:rPr>
                    <w:t>全面推行绿色施工。按照衡阳市《建筑工地扬尘防治</w:t>
                  </w:r>
                  <w:r>
                    <w:rPr>
                      <w:rFonts w:hint="eastAsia" w:ascii="宋体" w:hAnsi="宋体" w:eastAsia="宋体" w:cs="宋体"/>
                      <w:color w:val="auto"/>
                      <w:vertAlign w:val="baseline"/>
                      <w:lang w:val="en-US" w:eastAsia="zh-CN"/>
                    </w:rPr>
                    <w:t>“十严禁”</w:t>
                  </w:r>
                  <w:r>
                    <w:rPr>
                      <w:rFonts w:hint="default"/>
                      <w:color w:val="auto"/>
                      <w:vertAlign w:val="baseline"/>
                      <w:lang w:val="en-US" w:eastAsia="zh-CN"/>
                    </w:rPr>
                    <w:t>》和《关于进一步加强全市建筑工地扬尘污染防治工作》的规范要求，严格执行</w:t>
                  </w:r>
                  <w:r>
                    <w:rPr>
                      <w:rFonts w:hint="eastAsia" w:ascii="宋体" w:hAnsi="宋体" w:eastAsia="宋体" w:cs="宋体"/>
                      <w:color w:val="auto"/>
                      <w:vertAlign w:val="baseline"/>
                      <w:lang w:val="en-US" w:eastAsia="zh-CN"/>
                    </w:rPr>
                    <w:t>“六个百分之百”</w:t>
                  </w:r>
                </w:p>
                <w:p w14:paraId="4DEAC625">
                  <w:pPr>
                    <w:pStyle w:val="17"/>
                    <w:bidi w:val="0"/>
                    <w:jc w:val="both"/>
                    <w:rPr>
                      <w:rFonts w:hint="default"/>
                      <w:color w:val="auto"/>
                      <w:lang w:val="en-US" w:eastAsia="zh-CN"/>
                    </w:rPr>
                  </w:pPr>
                  <w:r>
                    <w:rPr>
                      <w:rFonts w:hint="default"/>
                      <w:color w:val="auto"/>
                      <w:lang w:val="en-US" w:eastAsia="zh-CN"/>
                    </w:rPr>
                    <w:t>加强堆场扬尘治理。加强建筑工地沙石、建筑垃圾等堆场管理，必须采取洒水、覆盖、绿化等有效的防尘措施，减少扬尘污染。加强码头作业扬尘控制，大型煤炭、矿石等干散货码头物料堆场全面完成抑尘设施建设和物料输送系统封闭改造</w:t>
                  </w:r>
                  <w:r>
                    <w:rPr>
                      <w:rFonts w:hint="eastAsia"/>
                      <w:color w:val="auto"/>
                      <w:lang w:val="en-US" w:eastAsia="zh-CN"/>
                    </w:rPr>
                    <w:t>。</w:t>
                  </w:r>
                </w:p>
              </w:tc>
              <w:tc>
                <w:tcPr>
                  <w:tcW w:w="1851" w:type="pct"/>
                  <w:noWrap w:val="0"/>
                  <w:vAlign w:val="center"/>
                </w:tcPr>
                <w:p w14:paraId="7D1A0D4C">
                  <w:pPr>
                    <w:pStyle w:val="17"/>
                    <w:bidi w:val="0"/>
                    <w:jc w:val="left"/>
                    <w:rPr>
                      <w:rFonts w:hint="default"/>
                      <w:color w:val="auto"/>
                      <w:vertAlign w:val="baseline"/>
                      <w:lang w:val="en-US" w:eastAsia="zh-CN"/>
                    </w:rPr>
                  </w:pPr>
                  <w:r>
                    <w:rPr>
                      <w:rFonts w:hint="eastAsia"/>
                      <w:color w:val="auto"/>
                      <w:vertAlign w:val="baseline"/>
                      <w:lang w:val="en-US" w:eastAsia="zh-CN"/>
                    </w:rPr>
                    <w:t>本项目工地现场周边围挡，防止物料、渣土外泄；施工场地的出入口道路硬化，并采取措施防止车辆将泥沙带出施工现场；装卸和贮存物料防止遗撒或者扬尘；建筑垃圾密封运输；粉状原材料放置时有覆盖物；施工期灰尘产生部位应进行洒水抑尘；合理安排施工时间，易起尘的施工不应安排在大风天气进行。</w:t>
                  </w:r>
                </w:p>
              </w:tc>
              <w:tc>
                <w:tcPr>
                  <w:tcW w:w="692" w:type="pct"/>
                  <w:noWrap w:val="0"/>
                  <w:vAlign w:val="center"/>
                </w:tcPr>
                <w:p w14:paraId="623D6537">
                  <w:pPr>
                    <w:pStyle w:val="17"/>
                    <w:bidi w:val="0"/>
                    <w:jc w:val="center"/>
                    <w:rPr>
                      <w:rFonts w:hint="default"/>
                      <w:color w:val="auto"/>
                      <w:vertAlign w:val="baseline"/>
                      <w:lang w:val="en-US" w:eastAsia="zh-CN"/>
                    </w:rPr>
                  </w:pPr>
                  <w:r>
                    <w:rPr>
                      <w:rFonts w:hint="eastAsia"/>
                      <w:color w:val="auto"/>
                      <w:vertAlign w:val="baseline"/>
                      <w:lang w:val="en-US" w:eastAsia="zh-CN"/>
                    </w:rPr>
                    <w:t>符合</w:t>
                  </w:r>
                </w:p>
              </w:tc>
            </w:tr>
          </w:tbl>
          <w:p w14:paraId="065794F3">
            <w:pPr>
              <w:rPr>
                <w:rFonts w:hint="default"/>
                <w:color w:val="auto"/>
                <w:lang w:val="en-US" w:eastAsia="zh-CN"/>
              </w:rPr>
            </w:pPr>
            <w:r>
              <w:rPr>
                <w:rFonts w:hint="eastAsia"/>
                <w:color w:val="auto"/>
                <w:lang w:val="en-US" w:eastAsia="zh-CN"/>
              </w:rPr>
              <w:t>综上，本项目建设符合《衡阳市“十四五”空气质量改善规划》的相关要求。</w:t>
            </w:r>
          </w:p>
        </w:tc>
      </w:tr>
    </w:tbl>
    <w:p w14:paraId="14D5F843">
      <w:pPr>
        <w:spacing w:line="360" w:lineRule="auto"/>
        <w:outlineLvl w:val="0"/>
        <w:rPr>
          <w:rFonts w:eastAsia="黑体"/>
          <w:color w:val="auto"/>
          <w:sz w:val="30"/>
        </w:rPr>
        <w:sectPr>
          <w:footerReference r:id="rId6" w:type="default"/>
          <w:pgSz w:w="11906" w:h="16838"/>
          <w:pgMar w:top="1701" w:right="1531" w:bottom="1701" w:left="1531" w:header="851" w:footer="1077" w:gutter="0"/>
          <w:pgNumType w:fmt="decimal" w:start="1"/>
          <w:cols w:space="720" w:num="1"/>
          <w:docGrid w:linePitch="312" w:charSpace="0"/>
        </w:sectPr>
      </w:pPr>
    </w:p>
    <w:p w14:paraId="10A4FE29">
      <w:pPr>
        <w:pStyle w:val="2"/>
        <w:bidi w:val="0"/>
        <w:rPr>
          <w:color w:val="auto"/>
        </w:rPr>
      </w:pPr>
      <w:bookmarkStart w:id="91" w:name="_Toc6070"/>
      <w:r>
        <w:rPr>
          <w:rFonts w:hint="eastAsia"/>
          <w:color w:val="auto"/>
        </w:rPr>
        <w:t>二、建设项目工程分析</w:t>
      </w:r>
      <w:bookmarkEnd w:id="91"/>
    </w:p>
    <w:tbl>
      <w:tblPr>
        <w:tblStyle w:val="1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4"/>
        <w:gridCol w:w="8606"/>
      </w:tblGrid>
      <w:tr w14:paraId="3E9778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0" w:hRule="atLeast"/>
          <w:jc w:val="center"/>
        </w:trPr>
        <w:tc>
          <w:tcPr>
            <w:tcW w:w="454" w:type="dxa"/>
            <w:noWrap w:val="0"/>
            <w:vAlign w:val="center"/>
          </w:tcPr>
          <w:p w14:paraId="075A2A4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color w:val="auto"/>
              </w:rPr>
            </w:pPr>
            <w:r>
              <w:rPr>
                <w:rFonts w:hint="eastAsia"/>
                <w:color w:val="auto"/>
              </w:rPr>
              <w:t>建设内容</w:t>
            </w:r>
          </w:p>
        </w:tc>
        <w:tc>
          <w:tcPr>
            <w:tcW w:w="8605" w:type="dxa"/>
            <w:noWrap w:val="0"/>
            <w:vAlign w:val="top"/>
          </w:tcPr>
          <w:p w14:paraId="202212F5">
            <w:pPr>
              <w:pStyle w:val="4"/>
              <w:bidi w:val="0"/>
              <w:rPr>
                <w:rFonts w:hint="default"/>
                <w:color w:val="auto"/>
                <w:lang w:val="en-US" w:eastAsia="zh-CN"/>
              </w:rPr>
            </w:pPr>
            <w:bookmarkStart w:id="92" w:name="_Toc18727"/>
            <w:bookmarkStart w:id="93" w:name="_Toc8891"/>
            <w:bookmarkStart w:id="94" w:name="_Toc11127"/>
            <w:bookmarkStart w:id="95" w:name="_Toc14478"/>
            <w:bookmarkStart w:id="96" w:name="_Toc18219"/>
            <w:r>
              <w:rPr>
                <w:rFonts w:hint="eastAsia"/>
                <w:color w:val="auto"/>
                <w:lang w:val="en-US" w:eastAsia="zh-CN"/>
              </w:rPr>
              <w:t>1、</w:t>
            </w:r>
            <w:bookmarkEnd w:id="92"/>
            <w:bookmarkEnd w:id="93"/>
            <w:r>
              <w:rPr>
                <w:rFonts w:hint="eastAsia"/>
                <w:color w:val="auto"/>
                <w:lang w:val="en-US" w:eastAsia="zh-CN"/>
              </w:rPr>
              <w:t>项目由来</w:t>
            </w:r>
            <w:bookmarkEnd w:id="94"/>
            <w:bookmarkEnd w:id="95"/>
            <w:bookmarkEnd w:id="96"/>
          </w:p>
          <w:p w14:paraId="060C3C36">
            <w:pPr>
              <w:spacing w:line="360" w:lineRule="auto"/>
              <w:ind w:firstLine="480" w:firstLineChars="200"/>
              <w:rPr>
                <w:color w:val="auto"/>
                <w:sz w:val="24"/>
                <w:szCs w:val="22"/>
                <w:u w:val="none"/>
              </w:rPr>
            </w:pPr>
            <w:r>
              <w:rPr>
                <w:color w:val="auto"/>
                <w:sz w:val="24"/>
                <w:szCs w:val="22"/>
                <w:u w:val="none"/>
              </w:rPr>
              <w:t>随着城市化进程的不断加快，城市中建筑垃圾</w:t>
            </w:r>
            <w:r>
              <w:rPr>
                <w:rFonts w:hint="eastAsia"/>
                <w:color w:val="auto"/>
                <w:sz w:val="24"/>
                <w:szCs w:val="22"/>
                <w:u w:val="none"/>
                <w:lang w:val="en-US" w:eastAsia="zh-CN"/>
              </w:rPr>
              <w:t>和装修垃圾</w:t>
            </w:r>
            <w:r>
              <w:rPr>
                <w:color w:val="auto"/>
                <w:sz w:val="24"/>
                <w:szCs w:val="22"/>
                <w:u w:val="none"/>
              </w:rPr>
              <w:t>的产生数量也在快速增长。人民在享受城市文明同时，也在遭受城市垃圾所带来的烦恼，其中建筑垃圾</w:t>
            </w:r>
            <w:r>
              <w:rPr>
                <w:rFonts w:hint="eastAsia"/>
                <w:color w:val="auto"/>
                <w:sz w:val="24"/>
                <w:szCs w:val="22"/>
                <w:u w:val="none"/>
                <w:lang w:val="en-US" w:eastAsia="zh-CN"/>
              </w:rPr>
              <w:t>和装修垃圾</w:t>
            </w:r>
            <w:r>
              <w:rPr>
                <w:color w:val="auto"/>
                <w:sz w:val="24"/>
                <w:szCs w:val="22"/>
                <w:u w:val="none"/>
              </w:rPr>
              <w:t>就占有相当大的比例，约占垃圾总量的30%</w:t>
            </w:r>
            <w:r>
              <w:rPr>
                <w:rFonts w:hint="eastAsia"/>
                <w:color w:val="auto"/>
                <w:sz w:val="24"/>
                <w:szCs w:val="22"/>
                <w:u w:val="none"/>
                <w:lang w:eastAsia="zh-CN"/>
              </w:rPr>
              <w:t>～</w:t>
            </w:r>
            <w:r>
              <w:rPr>
                <w:color w:val="auto"/>
                <w:sz w:val="24"/>
                <w:szCs w:val="22"/>
                <w:u w:val="none"/>
              </w:rPr>
              <w:t>40%。因此如何处理和利用越来越多的建筑垃圾</w:t>
            </w:r>
            <w:r>
              <w:rPr>
                <w:rFonts w:hint="eastAsia"/>
                <w:color w:val="auto"/>
                <w:sz w:val="24"/>
                <w:szCs w:val="22"/>
                <w:u w:val="none"/>
                <w:lang w:val="en-US" w:eastAsia="zh-CN"/>
              </w:rPr>
              <w:t>和装修垃圾</w:t>
            </w:r>
            <w:r>
              <w:rPr>
                <w:color w:val="auto"/>
                <w:sz w:val="24"/>
                <w:szCs w:val="22"/>
                <w:u w:val="none"/>
              </w:rPr>
              <w:t>，已经成为各级政府部门和垃圾处理单位所面临的一个重要课题。建筑垃圾</w:t>
            </w:r>
            <w:r>
              <w:rPr>
                <w:rFonts w:hint="eastAsia"/>
                <w:color w:val="auto"/>
                <w:sz w:val="24"/>
                <w:szCs w:val="22"/>
                <w:u w:val="none"/>
                <w:lang w:val="en-US" w:eastAsia="zh-CN"/>
              </w:rPr>
              <w:t>和装修垃圾</w:t>
            </w:r>
            <w:r>
              <w:rPr>
                <w:color w:val="auto"/>
                <w:sz w:val="24"/>
                <w:szCs w:val="22"/>
                <w:u w:val="none"/>
              </w:rPr>
              <w:t>中的许多废物经分拣、剔除或粉碎后，大多是可以作为再生资源重新利用的。当今社会，再生资源成为资源循环的新起点，同时成为循环经济的重要组成部分。另外，在废弃资源和废旧材料回收利用加工过程中，不但解决了资源短缺问题，同时降低了垃圾排放，正可谓</w:t>
            </w:r>
            <w:r>
              <w:rPr>
                <w:rFonts w:hint="eastAsia" w:ascii="宋体" w:hAnsi="宋体" w:eastAsia="宋体" w:cs="宋体"/>
                <w:color w:val="auto"/>
                <w:sz w:val="24"/>
                <w:szCs w:val="22"/>
                <w:u w:val="none"/>
              </w:rPr>
              <w:t>“一举两得”</w:t>
            </w:r>
            <w:r>
              <w:rPr>
                <w:color w:val="auto"/>
                <w:sz w:val="24"/>
                <w:szCs w:val="22"/>
                <w:u w:val="none"/>
              </w:rPr>
              <w:t>。</w:t>
            </w:r>
          </w:p>
          <w:p w14:paraId="3C915C9E">
            <w:pPr>
              <w:spacing w:line="360" w:lineRule="auto"/>
              <w:ind w:firstLine="480" w:firstLineChars="200"/>
              <w:rPr>
                <w:color w:val="auto"/>
                <w:sz w:val="24"/>
                <w:szCs w:val="22"/>
                <w:u w:val="none"/>
              </w:rPr>
            </w:pPr>
            <w:r>
              <w:rPr>
                <w:color w:val="auto"/>
                <w:sz w:val="24"/>
                <w:szCs w:val="22"/>
                <w:u w:val="none"/>
              </w:rPr>
              <w:t>建筑垃圾</w:t>
            </w:r>
            <w:r>
              <w:rPr>
                <w:rFonts w:hint="eastAsia"/>
                <w:color w:val="auto"/>
                <w:sz w:val="24"/>
                <w:szCs w:val="22"/>
                <w:u w:val="none"/>
                <w:lang w:val="en-US" w:eastAsia="zh-CN"/>
              </w:rPr>
              <w:t>和装修垃圾</w:t>
            </w:r>
            <w:r>
              <w:rPr>
                <w:color w:val="auto"/>
                <w:sz w:val="24"/>
                <w:szCs w:val="22"/>
                <w:u w:val="none"/>
              </w:rPr>
              <w:t>中的许多废弃物经分拣、剔除或粉碎后，大多是可以作为再生资源重新利用的，如废钢铁、废铁丝等金属，经分拣、集中、重新回炉后，可以再加工制造成各种规格的钢材；砖、石、混凝土等废料经破碎后，可以代砂，用于砌筑砂浆、抹灰砂浆等，还可以用于制造砌块、铺路砖等建材制品。因此，我们在建筑垃圾</w:t>
            </w:r>
            <w:r>
              <w:rPr>
                <w:rFonts w:hint="eastAsia"/>
                <w:color w:val="auto"/>
                <w:sz w:val="24"/>
                <w:szCs w:val="22"/>
                <w:u w:val="none"/>
                <w:lang w:val="en-US" w:eastAsia="zh-CN"/>
              </w:rPr>
              <w:t>和装修垃圾</w:t>
            </w:r>
            <w:r>
              <w:rPr>
                <w:color w:val="auto"/>
                <w:sz w:val="24"/>
                <w:szCs w:val="22"/>
                <w:u w:val="none"/>
              </w:rPr>
              <w:t>的处理上，必须坚持综合利用。</w:t>
            </w:r>
          </w:p>
          <w:p w14:paraId="1A08CC59">
            <w:pPr>
              <w:spacing w:line="360" w:lineRule="auto"/>
              <w:ind w:firstLine="480" w:firstLineChars="200"/>
              <w:rPr>
                <w:rFonts w:hint="default" w:eastAsia="宋体"/>
                <w:color w:val="auto"/>
                <w:sz w:val="24"/>
                <w:szCs w:val="22"/>
                <w:u w:val="none"/>
                <w:lang w:val="en-US" w:eastAsia="zh-CN"/>
              </w:rPr>
            </w:pPr>
            <w:r>
              <w:rPr>
                <w:rFonts w:hint="eastAsia"/>
                <w:color w:val="auto"/>
                <w:sz w:val="24"/>
                <w:szCs w:val="22"/>
                <w:u w:val="none"/>
                <w:lang w:val="en-US" w:eastAsia="zh-CN"/>
              </w:rPr>
              <w:t>本次改建新增对装修垃圾与一般工业固体废物的处理及综合利用，取消清洗、水洗及泥水分离塔工序，现有工程各规格骨料/粉料产能根据市场需求进行调整，并增加砖和水稳砂产品，原料来源于</w:t>
            </w:r>
            <w:r>
              <w:rPr>
                <w:rFonts w:hint="eastAsia"/>
                <w:color w:val="auto"/>
                <w:vertAlign w:val="baseline"/>
                <w:lang w:val="en-US" w:eastAsia="zh-CN"/>
              </w:rPr>
              <w:t>本项目建筑垃圾、装修垃圾与一般工业固体废物加工生产线加工生产的各类骨料。</w:t>
            </w:r>
          </w:p>
          <w:p w14:paraId="110387E9">
            <w:pPr>
              <w:bidi w:val="0"/>
              <w:rPr>
                <w:color w:val="auto"/>
                <w:sz w:val="24"/>
                <w:u w:val="none"/>
              </w:rPr>
            </w:pPr>
            <w:r>
              <w:rPr>
                <w:color w:val="auto"/>
                <w:sz w:val="24"/>
                <w:u w:val="none"/>
              </w:rPr>
              <w:t>根据《中华人民共和国环境影响评价法》、《建设项目环境影响评价分类管理名录</w:t>
            </w:r>
            <w:r>
              <w:rPr>
                <w:rFonts w:hint="eastAsia"/>
                <w:color w:val="auto"/>
                <w:sz w:val="24"/>
                <w:u w:val="none"/>
                <w:lang w:eastAsia="zh-CN"/>
              </w:rPr>
              <w:t>（</w:t>
            </w:r>
            <w:r>
              <w:rPr>
                <w:rFonts w:hint="eastAsia"/>
                <w:color w:val="auto"/>
                <w:sz w:val="24"/>
                <w:u w:val="none"/>
                <w:lang w:val="en-US" w:eastAsia="zh-CN"/>
              </w:rPr>
              <w:t>2021年版</w:t>
            </w:r>
            <w:r>
              <w:rPr>
                <w:rFonts w:hint="eastAsia"/>
                <w:color w:val="auto"/>
                <w:sz w:val="24"/>
                <w:u w:val="none"/>
                <w:lang w:eastAsia="zh-CN"/>
              </w:rPr>
              <w:t>）</w:t>
            </w:r>
            <w:r>
              <w:rPr>
                <w:color w:val="auto"/>
                <w:sz w:val="24"/>
                <w:u w:val="none"/>
              </w:rPr>
              <w:t>》以及</w:t>
            </w:r>
            <w:r>
              <w:rPr>
                <w:rFonts w:hint="default"/>
                <w:color w:val="auto"/>
                <w:lang w:val="en-US" w:eastAsia="zh-CN"/>
              </w:rPr>
              <w:t>《产业结构调整指导目录（2021修订版）》</w:t>
            </w:r>
            <w:r>
              <w:rPr>
                <w:bCs/>
                <w:color w:val="auto"/>
                <w:sz w:val="24"/>
                <w:u w:val="none"/>
              </w:rPr>
              <w:t>和《湖南省建设项目环境保护管理办法》</w:t>
            </w:r>
            <w:r>
              <w:rPr>
                <w:color w:val="auto"/>
                <w:sz w:val="24"/>
                <w:u w:val="none"/>
              </w:rPr>
              <w:t>等有关规定，本项目属于</w:t>
            </w:r>
            <w:r>
              <w:rPr>
                <w:rFonts w:hint="eastAsia"/>
                <w:color w:val="auto"/>
                <w:sz w:val="24"/>
                <w:u w:val="none"/>
                <w:lang w:eastAsia="zh-CN"/>
              </w:rPr>
              <w:t>“</w:t>
            </w:r>
            <w:r>
              <w:rPr>
                <w:rFonts w:hint="eastAsia"/>
                <w:color w:val="auto"/>
                <w:lang w:val="en-US" w:eastAsia="zh-CN"/>
              </w:rPr>
              <w:t>二十七、非金属矿物制品业-石膏、水泥制品及类似制品制造 302-商品混凝土；砼结构构件制造；水泥制品制造</w:t>
            </w:r>
            <w:r>
              <w:rPr>
                <w:rFonts w:hint="eastAsia"/>
                <w:color w:val="auto"/>
                <w:sz w:val="24"/>
                <w:u w:val="none"/>
                <w:lang w:eastAsia="zh-CN"/>
              </w:rPr>
              <w:t>”、“</w:t>
            </w:r>
            <w:r>
              <w:rPr>
                <w:rFonts w:hint="eastAsia"/>
                <w:color w:val="auto"/>
                <w:lang w:val="en-US" w:eastAsia="zh-CN"/>
              </w:rPr>
              <w:t>四十七、生态保护和环境治理业-一般工业固体废物（含污水处理污泥）、建筑施工废弃物处置及综合利用”</w:t>
            </w:r>
            <w:r>
              <w:rPr>
                <w:color w:val="auto"/>
                <w:sz w:val="24"/>
                <w:u w:val="none"/>
              </w:rPr>
              <w:t>，本项目不属于</w:t>
            </w:r>
            <w:r>
              <w:rPr>
                <w:rFonts w:hint="eastAsia"/>
                <w:color w:val="auto"/>
                <w:sz w:val="24"/>
                <w:u w:val="none"/>
                <w:lang w:eastAsia="zh-CN"/>
              </w:rPr>
              <w:t>“</w:t>
            </w:r>
            <w:r>
              <w:rPr>
                <w:rFonts w:hint="eastAsia"/>
                <w:color w:val="auto"/>
                <w:sz w:val="24"/>
                <w:u w:val="none"/>
                <w:lang w:val="en-US" w:eastAsia="zh-CN"/>
              </w:rPr>
              <w:t>一般工业固体废物（含污水处理站污泥）采取填埋、焚烧（水泥窑协同处置的改造项目除外）方式的”</w:t>
            </w:r>
            <w:r>
              <w:rPr>
                <w:color w:val="auto"/>
                <w:sz w:val="24"/>
                <w:u w:val="none"/>
              </w:rPr>
              <w:t>，本项目属于</w:t>
            </w:r>
            <w:r>
              <w:rPr>
                <w:rFonts w:hint="eastAsia"/>
                <w:color w:val="auto"/>
                <w:sz w:val="24"/>
                <w:u w:val="none"/>
                <w:lang w:eastAsia="zh-CN"/>
              </w:rPr>
              <w:t>“</w:t>
            </w:r>
            <w:r>
              <w:rPr>
                <w:color w:val="auto"/>
                <w:sz w:val="24"/>
                <w:u w:val="none"/>
              </w:rPr>
              <w:t>其他</w:t>
            </w:r>
            <w:r>
              <w:rPr>
                <w:rFonts w:hint="eastAsia"/>
                <w:color w:val="auto"/>
                <w:sz w:val="24"/>
                <w:u w:val="none"/>
                <w:lang w:eastAsia="zh-CN"/>
              </w:rPr>
              <w:t>”</w:t>
            </w:r>
            <w:r>
              <w:rPr>
                <w:color w:val="auto"/>
                <w:sz w:val="24"/>
                <w:u w:val="none"/>
              </w:rPr>
              <w:t>类别，应当编制环境影响报告表。为此</w:t>
            </w:r>
            <w:r>
              <w:rPr>
                <w:bCs/>
                <w:color w:val="auto"/>
                <w:sz w:val="24"/>
                <w:u w:val="none"/>
              </w:rPr>
              <w:t>，</w:t>
            </w:r>
            <w:r>
              <w:rPr>
                <w:color w:val="auto"/>
                <w:sz w:val="24"/>
                <w:u w:val="none"/>
              </w:rPr>
              <w:t>衡阳京泰建材有限公司</w:t>
            </w:r>
            <w:r>
              <w:rPr>
                <w:bCs/>
                <w:color w:val="auto"/>
                <w:sz w:val="24"/>
                <w:u w:val="none"/>
              </w:rPr>
              <w:t>委托</w:t>
            </w:r>
            <w:r>
              <w:rPr>
                <w:rFonts w:hint="eastAsia"/>
                <w:bCs/>
                <w:color w:val="auto"/>
                <w:sz w:val="24"/>
                <w:u w:val="none"/>
                <w:lang w:val="en-US" w:eastAsia="zh-CN"/>
              </w:rPr>
              <w:t>衡阳职安环保科技有限责任公司</w:t>
            </w:r>
            <w:r>
              <w:rPr>
                <w:color w:val="auto"/>
                <w:sz w:val="24"/>
                <w:u w:val="none"/>
              </w:rPr>
              <w:t>承担本项目的环境影响评价工作。评价单位在充分收集有关资料、深入进行现场踏勘后，依据国家、地方的有关环保</w:t>
            </w:r>
            <w:r>
              <w:rPr>
                <w:rFonts w:hint="eastAsia"/>
                <w:color w:val="auto"/>
                <w:sz w:val="24"/>
                <w:u w:val="none"/>
                <w:lang w:eastAsia="zh-CN"/>
              </w:rPr>
              <w:t>法律法规</w:t>
            </w:r>
            <w:r>
              <w:rPr>
                <w:color w:val="auto"/>
                <w:sz w:val="24"/>
                <w:u w:val="none"/>
              </w:rPr>
              <w:t>，在建设单位大力支持下，完成了本项目的环境影响报告表编制工作。</w:t>
            </w:r>
          </w:p>
          <w:p w14:paraId="09CB70F9">
            <w:pPr>
              <w:pStyle w:val="4"/>
              <w:bidi w:val="0"/>
              <w:rPr>
                <w:rFonts w:hint="eastAsia"/>
                <w:color w:val="auto"/>
                <w:lang w:val="en-US" w:eastAsia="zh-CN"/>
              </w:rPr>
            </w:pPr>
            <w:bookmarkStart w:id="97" w:name="_Toc5788"/>
            <w:bookmarkStart w:id="98" w:name="_Toc11430"/>
            <w:bookmarkStart w:id="99" w:name="_Toc879"/>
            <w:bookmarkStart w:id="100" w:name="_Toc9595"/>
            <w:bookmarkStart w:id="101" w:name="_Toc3356"/>
            <w:r>
              <w:rPr>
                <w:rFonts w:hint="eastAsia"/>
                <w:color w:val="auto"/>
                <w:lang w:val="en-US" w:eastAsia="zh-CN"/>
              </w:rPr>
              <w:t>2、建设项目</w:t>
            </w:r>
            <w:bookmarkEnd w:id="97"/>
            <w:bookmarkEnd w:id="98"/>
            <w:bookmarkEnd w:id="99"/>
            <w:bookmarkEnd w:id="100"/>
            <w:bookmarkEnd w:id="101"/>
          </w:p>
          <w:p w14:paraId="292E3403">
            <w:pPr>
              <w:rPr>
                <w:rFonts w:hint="default"/>
                <w:color w:val="auto"/>
                <w:lang w:val="en-US" w:eastAsia="zh-CN"/>
              </w:rPr>
            </w:pPr>
            <w:r>
              <w:rPr>
                <w:rFonts w:hint="default"/>
                <w:color w:val="auto"/>
                <w:lang w:val="en-US" w:eastAsia="zh-CN"/>
              </w:rPr>
              <w:t>项目名称：衡阳京泰建材有限公司年处理</w:t>
            </w:r>
            <w:r>
              <w:rPr>
                <w:rFonts w:hint="eastAsia"/>
                <w:color w:val="auto"/>
                <w:lang w:val="en-US" w:eastAsia="zh-CN"/>
              </w:rPr>
              <w:t>24</w:t>
            </w:r>
            <w:r>
              <w:rPr>
                <w:rFonts w:hint="default"/>
                <w:color w:val="auto"/>
                <w:lang w:val="en-US" w:eastAsia="zh-CN"/>
              </w:rPr>
              <w:t>万吨建筑垃圾</w:t>
            </w:r>
            <w:r>
              <w:rPr>
                <w:rFonts w:hint="eastAsia"/>
                <w:color w:val="auto"/>
                <w:lang w:val="en-US" w:eastAsia="zh-CN"/>
              </w:rPr>
              <w:t>、</w:t>
            </w:r>
            <w:r>
              <w:rPr>
                <w:rFonts w:hint="default"/>
                <w:color w:val="auto"/>
                <w:lang w:val="en-US" w:eastAsia="zh-CN"/>
              </w:rPr>
              <w:t>装修垃圾</w:t>
            </w:r>
            <w:r>
              <w:rPr>
                <w:rFonts w:hint="eastAsia"/>
                <w:color w:val="auto"/>
                <w:lang w:val="en-US" w:eastAsia="zh-CN"/>
              </w:rPr>
              <w:t>和一般工业固体废物</w:t>
            </w:r>
            <w:r>
              <w:rPr>
                <w:rFonts w:hint="default"/>
                <w:color w:val="auto"/>
                <w:lang w:val="en-US" w:eastAsia="zh-CN"/>
              </w:rPr>
              <w:t>综合利用改建项目</w:t>
            </w:r>
          </w:p>
          <w:p w14:paraId="5AE45DCB">
            <w:pPr>
              <w:rPr>
                <w:rFonts w:hint="default"/>
                <w:color w:val="auto"/>
                <w:lang w:val="en-US" w:eastAsia="zh-CN"/>
              </w:rPr>
            </w:pPr>
            <w:r>
              <w:rPr>
                <w:rFonts w:hint="default"/>
                <w:color w:val="auto"/>
                <w:lang w:val="en-US" w:eastAsia="zh-CN"/>
              </w:rPr>
              <w:t>建设单位：衡阳京泰建材有限公司</w:t>
            </w:r>
          </w:p>
          <w:p w14:paraId="5991BE28">
            <w:pPr>
              <w:rPr>
                <w:rFonts w:hint="default"/>
                <w:color w:val="auto"/>
                <w:lang w:val="en-US" w:eastAsia="zh-CN"/>
              </w:rPr>
            </w:pPr>
            <w:r>
              <w:rPr>
                <w:rFonts w:hint="default"/>
                <w:color w:val="auto"/>
                <w:lang w:val="en-US" w:eastAsia="zh-CN"/>
              </w:rPr>
              <w:t>建设地点：湖南省衡阳市蒸湘区呆鹰岭镇振兴村江家塘组</w:t>
            </w:r>
          </w:p>
          <w:p w14:paraId="3F16668E">
            <w:pPr>
              <w:rPr>
                <w:rFonts w:hint="default"/>
                <w:color w:val="auto"/>
                <w:lang w:val="en-US" w:eastAsia="zh-CN"/>
              </w:rPr>
            </w:pPr>
            <w:r>
              <w:rPr>
                <w:rFonts w:hint="default"/>
                <w:color w:val="auto"/>
                <w:lang w:val="en-US" w:eastAsia="zh-CN"/>
              </w:rPr>
              <w:t>建设性质：</w:t>
            </w:r>
            <w:r>
              <w:rPr>
                <w:rFonts w:hint="eastAsia"/>
                <w:color w:val="auto"/>
                <w:lang w:val="en-US" w:eastAsia="zh-CN"/>
              </w:rPr>
              <w:t>改建</w:t>
            </w:r>
          </w:p>
          <w:p w14:paraId="68E2AFCB">
            <w:pPr>
              <w:rPr>
                <w:rFonts w:hint="default" w:eastAsia="宋体"/>
                <w:color w:val="auto"/>
                <w:lang w:val="en-US" w:eastAsia="zh-CN"/>
              </w:rPr>
            </w:pPr>
            <w:r>
              <w:rPr>
                <w:rFonts w:hint="default"/>
                <w:color w:val="auto"/>
                <w:lang w:val="en-US" w:eastAsia="zh-CN"/>
              </w:rPr>
              <w:t>占地面积：</w:t>
            </w:r>
            <w:r>
              <w:rPr>
                <w:rFonts w:hint="eastAsia"/>
                <w:color w:val="auto"/>
                <w:lang w:val="en-US" w:eastAsia="zh-CN"/>
              </w:rPr>
              <w:t>现有项目占地面积17000m</w:t>
            </w:r>
            <w:r>
              <w:rPr>
                <w:rFonts w:hint="eastAsia"/>
                <w:color w:val="auto"/>
                <w:vertAlign w:val="superscript"/>
                <w:lang w:val="en-US" w:eastAsia="zh-CN"/>
              </w:rPr>
              <w:t>2</w:t>
            </w:r>
            <w:r>
              <w:rPr>
                <w:rFonts w:hint="eastAsia"/>
                <w:color w:val="auto"/>
                <w:lang w:val="en-US" w:eastAsia="zh-CN"/>
              </w:rPr>
              <w:t>，本次改建</w:t>
            </w:r>
            <w:r>
              <w:rPr>
                <w:rFonts w:hint="eastAsia"/>
                <w:color w:val="auto"/>
                <w:sz w:val="24"/>
                <w:u w:val="none"/>
                <w:lang w:val="en-US" w:eastAsia="zh-CN"/>
              </w:rPr>
              <w:t>无新增占地面积</w:t>
            </w:r>
          </w:p>
          <w:p w14:paraId="364CBF02">
            <w:pPr>
              <w:rPr>
                <w:rFonts w:hint="default"/>
                <w:color w:val="auto"/>
                <w:vertAlign w:val="baseline"/>
                <w:lang w:val="en-US" w:eastAsia="zh-CN"/>
              </w:rPr>
            </w:pPr>
            <w:r>
              <w:rPr>
                <w:rFonts w:hint="default"/>
                <w:color w:val="auto"/>
                <w:lang w:val="en-US" w:eastAsia="zh-CN"/>
              </w:rPr>
              <w:t>建筑面积：</w:t>
            </w:r>
            <w:r>
              <w:rPr>
                <w:rFonts w:hint="eastAsia"/>
                <w:color w:val="auto"/>
                <w:lang w:val="en-US" w:eastAsia="zh-CN"/>
              </w:rPr>
              <w:t>共计6260</w:t>
            </w:r>
            <w:r>
              <w:rPr>
                <w:rFonts w:hint="default"/>
                <w:color w:val="auto"/>
                <w:lang w:val="en-US" w:eastAsia="zh-CN"/>
              </w:rPr>
              <w:t>m</w:t>
            </w:r>
            <w:r>
              <w:rPr>
                <w:rFonts w:hint="default"/>
                <w:color w:val="auto"/>
                <w:vertAlign w:val="superscript"/>
                <w:lang w:val="en-US" w:eastAsia="zh-CN"/>
              </w:rPr>
              <w:t>2</w:t>
            </w:r>
            <w:r>
              <w:rPr>
                <w:rFonts w:hint="eastAsia"/>
                <w:color w:val="auto"/>
                <w:vertAlign w:val="baseline"/>
                <w:lang w:val="en-US" w:eastAsia="zh-CN"/>
              </w:rPr>
              <w:t>，其中生产厂房2#1500m</w:t>
            </w:r>
            <w:r>
              <w:rPr>
                <w:rFonts w:hint="eastAsia"/>
                <w:color w:val="auto"/>
                <w:vertAlign w:val="superscript"/>
                <w:lang w:val="en-US" w:eastAsia="zh-CN"/>
              </w:rPr>
              <w:t>2</w:t>
            </w:r>
            <w:r>
              <w:rPr>
                <w:rFonts w:hint="eastAsia"/>
                <w:color w:val="auto"/>
                <w:vertAlign w:val="baseline"/>
                <w:lang w:val="en-US" w:eastAsia="zh-CN"/>
              </w:rPr>
              <w:t>和原料堆场2#400m</w:t>
            </w:r>
            <w:r>
              <w:rPr>
                <w:rFonts w:hint="eastAsia"/>
                <w:color w:val="auto"/>
                <w:vertAlign w:val="superscript"/>
                <w:lang w:val="en-US" w:eastAsia="zh-CN"/>
              </w:rPr>
              <w:t>2</w:t>
            </w:r>
            <w:r>
              <w:rPr>
                <w:rFonts w:hint="eastAsia"/>
                <w:color w:val="auto"/>
                <w:vertAlign w:val="baseline"/>
                <w:lang w:val="en-US" w:eastAsia="zh-CN"/>
              </w:rPr>
              <w:t>为新建，其余已建</w:t>
            </w:r>
          </w:p>
          <w:p w14:paraId="26DA6FF8">
            <w:pPr>
              <w:rPr>
                <w:rFonts w:hint="default"/>
                <w:color w:val="auto"/>
                <w:lang w:val="en-US" w:eastAsia="zh-CN"/>
              </w:rPr>
            </w:pPr>
            <w:r>
              <w:rPr>
                <w:rFonts w:hint="default"/>
                <w:color w:val="auto"/>
                <w:lang w:val="en-US" w:eastAsia="zh-CN"/>
              </w:rPr>
              <w:t>拟建内容及规模：</w:t>
            </w:r>
            <w:r>
              <w:rPr>
                <w:rFonts w:hint="eastAsia"/>
                <w:color w:val="auto"/>
                <w:lang w:val="en-US" w:eastAsia="zh-CN"/>
              </w:rPr>
              <w:t>本项目已建设1条年处理24万吨建筑垃圾加工生产线及其配套工程，拟新增分选设备1台以满足装修垃圾和一般工业固体废物生产需求；拟新建水稳砂生产线2条、制砖生产线1条，水稳砂、砖生产原料均来自本项目建筑垃圾、装修垃圾和一般工业固体废物加工生产的骨料、粉料。项目建成后，预计年处理建筑垃圾、装修垃圾和一般工业固体废物24万吨，年生产粗骨料2万吨，细骨料2万吨，粉料1万吨，砖3.675万吨（含5%水泥），水稳砂14.7万吨（含5%水泥）</w:t>
            </w:r>
          </w:p>
          <w:p w14:paraId="27BA7F2A">
            <w:pPr>
              <w:rPr>
                <w:rFonts w:hint="eastAsia"/>
                <w:color w:val="auto"/>
                <w:lang w:val="en-US" w:eastAsia="zh-CN"/>
              </w:rPr>
            </w:pPr>
            <w:r>
              <w:rPr>
                <w:rFonts w:hint="eastAsia"/>
                <w:color w:val="auto"/>
                <w:lang w:val="en-US" w:eastAsia="zh-CN"/>
              </w:rPr>
              <w:t>劳动定员</w:t>
            </w:r>
            <w:r>
              <w:rPr>
                <w:rFonts w:hint="default"/>
                <w:color w:val="auto"/>
                <w:lang w:val="en-US" w:eastAsia="zh-CN"/>
              </w:rPr>
              <w:t>：</w:t>
            </w:r>
            <w:r>
              <w:rPr>
                <w:rFonts w:hint="eastAsia"/>
                <w:color w:val="auto"/>
                <w:lang w:val="en-US" w:eastAsia="zh-CN"/>
              </w:rPr>
              <w:t>项目现有员工8人，本次新增37人，改建后项目员工共计45人，厂内新设食堂，不提供住宿</w:t>
            </w:r>
          </w:p>
          <w:p w14:paraId="6C4588D7">
            <w:pPr>
              <w:rPr>
                <w:rFonts w:hint="default"/>
                <w:color w:val="auto"/>
                <w:lang w:val="en-US" w:eastAsia="zh-CN"/>
              </w:rPr>
            </w:pPr>
            <w:r>
              <w:rPr>
                <w:rFonts w:hint="eastAsia"/>
                <w:color w:val="auto"/>
                <w:lang w:val="en-US" w:eastAsia="zh-CN"/>
              </w:rPr>
              <w:t>工作制度：年工作日300天，一班制-白班，每班工作8小时</w:t>
            </w:r>
          </w:p>
          <w:p w14:paraId="7B07BBBC">
            <w:pPr>
              <w:rPr>
                <w:rFonts w:hint="default"/>
                <w:color w:val="auto"/>
                <w:lang w:val="en-US" w:eastAsia="zh-CN"/>
              </w:rPr>
            </w:pPr>
            <w:r>
              <w:rPr>
                <w:rFonts w:hint="default"/>
                <w:color w:val="auto"/>
                <w:lang w:val="en-US" w:eastAsia="zh-CN"/>
              </w:rPr>
              <w:t>工程投资：总投资</w:t>
            </w:r>
            <w:r>
              <w:rPr>
                <w:rFonts w:hint="eastAsia"/>
                <w:color w:val="auto"/>
                <w:lang w:val="en-US" w:eastAsia="zh-CN"/>
              </w:rPr>
              <w:t>500</w:t>
            </w:r>
            <w:r>
              <w:rPr>
                <w:rFonts w:hint="default"/>
                <w:color w:val="auto"/>
                <w:lang w:val="en-US" w:eastAsia="zh-CN"/>
              </w:rPr>
              <w:t>万元，其中环保投资</w:t>
            </w:r>
            <w:r>
              <w:rPr>
                <w:rFonts w:hint="eastAsia"/>
                <w:color w:val="auto"/>
                <w:lang w:val="en-US" w:eastAsia="zh-CN"/>
              </w:rPr>
              <w:t>80</w:t>
            </w:r>
            <w:r>
              <w:rPr>
                <w:rFonts w:hint="default"/>
                <w:color w:val="auto"/>
                <w:lang w:val="en-US" w:eastAsia="zh-CN"/>
              </w:rPr>
              <w:t>万元</w:t>
            </w:r>
          </w:p>
          <w:p w14:paraId="0AA63020">
            <w:pPr>
              <w:pStyle w:val="4"/>
              <w:bidi w:val="0"/>
              <w:rPr>
                <w:rFonts w:hint="eastAsia"/>
                <w:color w:val="auto"/>
                <w:lang w:val="en-US" w:eastAsia="zh-CN"/>
              </w:rPr>
            </w:pPr>
            <w:bookmarkStart w:id="102" w:name="_Toc2652"/>
            <w:bookmarkStart w:id="103" w:name="_Toc7269"/>
            <w:bookmarkStart w:id="104" w:name="_Toc25505"/>
            <w:bookmarkStart w:id="105" w:name="_Toc15646"/>
            <w:bookmarkStart w:id="106" w:name="_Toc8161"/>
            <w:r>
              <w:rPr>
                <w:rFonts w:hint="eastAsia"/>
                <w:color w:val="auto"/>
                <w:lang w:val="en-US" w:eastAsia="zh-CN"/>
              </w:rPr>
              <w:t>3、项目建设内容</w:t>
            </w:r>
            <w:bookmarkEnd w:id="102"/>
            <w:bookmarkEnd w:id="103"/>
            <w:bookmarkEnd w:id="104"/>
            <w:bookmarkEnd w:id="105"/>
            <w:bookmarkEnd w:id="106"/>
          </w:p>
          <w:p w14:paraId="5341C6D2">
            <w:pPr>
              <w:rPr>
                <w:rFonts w:hint="eastAsia"/>
                <w:color w:val="auto"/>
                <w:lang w:val="en-US" w:eastAsia="zh-CN"/>
              </w:rPr>
            </w:pPr>
            <w:r>
              <w:rPr>
                <w:rFonts w:hint="eastAsia"/>
                <w:color w:val="auto"/>
                <w:lang w:val="en-US" w:eastAsia="zh-CN"/>
              </w:rPr>
              <w:t>本项目建设内容包括主体工程、辅助工程、储运工程、公用工程和环保工程，详见表2-1。</w:t>
            </w:r>
          </w:p>
          <w:p w14:paraId="6671F851">
            <w:pPr>
              <w:pStyle w:val="18"/>
              <w:bidi w:val="0"/>
              <w:rPr>
                <w:rFonts w:hint="eastAsia"/>
                <w:color w:val="auto"/>
                <w:lang w:val="en-US" w:eastAsia="zh-CN"/>
              </w:rPr>
            </w:pPr>
            <w:r>
              <w:rPr>
                <w:rFonts w:hint="eastAsia"/>
                <w:color w:val="auto"/>
                <w:lang w:val="en-US" w:eastAsia="zh-CN"/>
              </w:rPr>
              <w:t>表2-1 项目建设内容一览表</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106"/>
              <w:gridCol w:w="1205"/>
              <w:gridCol w:w="4712"/>
              <w:gridCol w:w="669"/>
            </w:tblGrid>
            <w:tr w14:paraId="7B87B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noWrap w:val="0"/>
                  <w:vAlign w:val="center"/>
                </w:tcPr>
                <w:p w14:paraId="2B8BEFDC">
                  <w:pPr>
                    <w:pStyle w:val="17"/>
                    <w:jc w:val="center"/>
                    <w:rPr>
                      <w:rFonts w:hint="default"/>
                      <w:color w:val="auto"/>
                      <w:vertAlign w:val="baseline"/>
                      <w:lang w:val="en-US" w:eastAsia="zh-CN"/>
                    </w:rPr>
                  </w:pPr>
                  <w:r>
                    <w:rPr>
                      <w:rFonts w:hint="eastAsia"/>
                      <w:color w:val="auto"/>
                      <w:vertAlign w:val="baseline"/>
                      <w:lang w:val="en-US" w:eastAsia="zh-CN"/>
                    </w:rPr>
                    <w:t>工程类别</w:t>
                  </w:r>
                </w:p>
              </w:tc>
              <w:tc>
                <w:tcPr>
                  <w:tcW w:w="660" w:type="pct"/>
                  <w:noWrap w:val="0"/>
                  <w:vAlign w:val="center"/>
                </w:tcPr>
                <w:p w14:paraId="223D4D61">
                  <w:pPr>
                    <w:pStyle w:val="17"/>
                    <w:jc w:val="center"/>
                    <w:rPr>
                      <w:rFonts w:hint="default"/>
                      <w:color w:val="auto"/>
                      <w:vertAlign w:val="baseline"/>
                      <w:lang w:val="en-US" w:eastAsia="zh-CN"/>
                    </w:rPr>
                  </w:pPr>
                  <w:r>
                    <w:rPr>
                      <w:rFonts w:hint="eastAsia"/>
                      <w:color w:val="auto"/>
                      <w:vertAlign w:val="baseline"/>
                      <w:lang w:val="en-US" w:eastAsia="zh-CN"/>
                    </w:rPr>
                    <w:t>工程名称</w:t>
                  </w:r>
                </w:p>
              </w:tc>
              <w:tc>
                <w:tcPr>
                  <w:tcW w:w="3531" w:type="pct"/>
                  <w:gridSpan w:val="2"/>
                  <w:noWrap w:val="0"/>
                  <w:vAlign w:val="center"/>
                </w:tcPr>
                <w:p w14:paraId="12953CF1">
                  <w:pPr>
                    <w:pStyle w:val="17"/>
                    <w:jc w:val="center"/>
                    <w:rPr>
                      <w:rFonts w:hint="default"/>
                      <w:color w:val="auto"/>
                      <w:vertAlign w:val="baseline"/>
                      <w:lang w:val="en-US" w:eastAsia="zh-CN"/>
                    </w:rPr>
                  </w:pPr>
                  <w:r>
                    <w:rPr>
                      <w:rFonts w:hint="eastAsia"/>
                      <w:color w:val="auto"/>
                      <w:vertAlign w:val="baseline"/>
                      <w:lang w:val="en-US" w:eastAsia="zh-CN"/>
                    </w:rPr>
                    <w:t>工程内容</w:t>
                  </w:r>
                </w:p>
              </w:tc>
              <w:tc>
                <w:tcPr>
                  <w:tcW w:w="399" w:type="pct"/>
                  <w:noWrap w:val="0"/>
                  <w:vAlign w:val="center"/>
                </w:tcPr>
                <w:p w14:paraId="398D9150">
                  <w:pPr>
                    <w:pStyle w:val="17"/>
                    <w:jc w:val="center"/>
                    <w:rPr>
                      <w:rFonts w:hint="default"/>
                      <w:color w:val="auto"/>
                      <w:vertAlign w:val="baseline"/>
                      <w:lang w:val="en-US" w:eastAsia="zh-CN"/>
                    </w:rPr>
                  </w:pPr>
                  <w:r>
                    <w:rPr>
                      <w:rFonts w:hint="eastAsia"/>
                      <w:color w:val="auto"/>
                      <w:vertAlign w:val="baseline"/>
                      <w:lang w:val="en-US" w:eastAsia="zh-CN"/>
                    </w:rPr>
                    <w:t>备注</w:t>
                  </w:r>
                </w:p>
              </w:tc>
            </w:tr>
            <w:tr w14:paraId="3B4CB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Merge w:val="restart"/>
                  <w:noWrap w:val="0"/>
                  <w:vAlign w:val="center"/>
                </w:tcPr>
                <w:p w14:paraId="5F63E6DF">
                  <w:pPr>
                    <w:pStyle w:val="17"/>
                    <w:jc w:val="center"/>
                    <w:rPr>
                      <w:rFonts w:hint="default"/>
                      <w:color w:val="auto"/>
                      <w:vertAlign w:val="baseline"/>
                      <w:lang w:val="en-US" w:eastAsia="zh-CN"/>
                    </w:rPr>
                  </w:pPr>
                  <w:r>
                    <w:rPr>
                      <w:rFonts w:hint="eastAsia"/>
                      <w:color w:val="auto"/>
                      <w:vertAlign w:val="baseline"/>
                      <w:lang w:val="en-US" w:eastAsia="zh-CN"/>
                    </w:rPr>
                    <w:t>主体工程</w:t>
                  </w:r>
                </w:p>
              </w:tc>
              <w:tc>
                <w:tcPr>
                  <w:tcW w:w="660" w:type="pct"/>
                  <w:noWrap w:val="0"/>
                  <w:vAlign w:val="center"/>
                </w:tcPr>
                <w:p w14:paraId="30C83F29">
                  <w:pPr>
                    <w:pStyle w:val="17"/>
                    <w:jc w:val="center"/>
                    <w:rPr>
                      <w:rFonts w:hint="default"/>
                      <w:color w:val="auto"/>
                      <w:vertAlign w:val="baseline"/>
                      <w:lang w:val="en-US" w:eastAsia="zh-CN"/>
                    </w:rPr>
                  </w:pPr>
                  <w:r>
                    <w:rPr>
                      <w:rFonts w:hint="eastAsia"/>
                      <w:color w:val="auto"/>
                      <w:vertAlign w:val="baseline"/>
                      <w:lang w:val="en-US" w:eastAsia="zh-CN"/>
                    </w:rPr>
                    <w:t>生产厂房1#</w:t>
                  </w:r>
                </w:p>
              </w:tc>
              <w:tc>
                <w:tcPr>
                  <w:tcW w:w="3531" w:type="pct"/>
                  <w:gridSpan w:val="2"/>
                  <w:noWrap w:val="0"/>
                  <w:vAlign w:val="center"/>
                </w:tcPr>
                <w:p w14:paraId="757B0F94">
                  <w:pPr>
                    <w:pStyle w:val="17"/>
                    <w:jc w:val="both"/>
                    <w:rPr>
                      <w:rFonts w:hint="default"/>
                      <w:color w:val="auto"/>
                      <w:vertAlign w:val="baseline"/>
                      <w:lang w:val="en-US" w:eastAsia="zh-CN"/>
                    </w:rPr>
                  </w:pPr>
                  <w:r>
                    <w:rPr>
                      <w:rFonts w:hint="eastAsia"/>
                      <w:color w:val="auto"/>
                      <w:vertAlign w:val="baseline"/>
                      <w:lang w:val="en-US" w:eastAsia="zh-CN"/>
                    </w:rPr>
                    <w:t>高12m，单层建筑，轻质钢结构，建筑面积1500m</w:t>
                  </w:r>
                  <w:r>
                    <w:rPr>
                      <w:rFonts w:hint="eastAsia"/>
                      <w:color w:val="auto"/>
                      <w:vertAlign w:val="superscript"/>
                      <w:lang w:val="en-US" w:eastAsia="zh-CN"/>
                    </w:rPr>
                    <w:t>2</w:t>
                  </w:r>
                  <w:r>
                    <w:rPr>
                      <w:rFonts w:hint="eastAsia"/>
                      <w:color w:val="auto"/>
                      <w:vertAlign w:val="baseline"/>
                      <w:lang w:val="en-US" w:eastAsia="zh-CN"/>
                    </w:rPr>
                    <w:t>，厂房全封闭，位于厂区中部，自东向西依次布置分拣、鄂式破碎机、反击破碎机和冲击破碎机、振动筛，设置15m高排气筒（DA001）</w:t>
                  </w:r>
                </w:p>
              </w:tc>
              <w:tc>
                <w:tcPr>
                  <w:tcW w:w="399" w:type="pct"/>
                  <w:noWrap w:val="0"/>
                  <w:vAlign w:val="center"/>
                </w:tcPr>
                <w:p w14:paraId="7A7B01F9">
                  <w:pPr>
                    <w:pStyle w:val="17"/>
                    <w:jc w:val="center"/>
                    <w:rPr>
                      <w:rFonts w:hint="default"/>
                      <w:color w:val="auto"/>
                      <w:vertAlign w:val="baseline"/>
                      <w:lang w:val="en-US" w:eastAsia="zh-CN"/>
                    </w:rPr>
                  </w:pPr>
                  <w:r>
                    <w:rPr>
                      <w:rFonts w:hint="eastAsia"/>
                      <w:color w:val="auto"/>
                      <w:vertAlign w:val="baseline"/>
                      <w:lang w:val="en-US" w:eastAsia="zh-CN"/>
                    </w:rPr>
                    <w:t>已建</w:t>
                  </w:r>
                </w:p>
              </w:tc>
            </w:tr>
            <w:tr w14:paraId="194E7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Merge w:val="continue"/>
                  <w:noWrap w:val="0"/>
                  <w:vAlign w:val="center"/>
                </w:tcPr>
                <w:p w14:paraId="7D71FA47">
                  <w:pPr>
                    <w:pStyle w:val="17"/>
                    <w:jc w:val="center"/>
                    <w:rPr>
                      <w:rFonts w:hint="default"/>
                      <w:color w:val="auto"/>
                      <w:vertAlign w:val="baseline"/>
                      <w:lang w:val="en-US" w:eastAsia="zh-CN"/>
                    </w:rPr>
                  </w:pPr>
                </w:p>
              </w:tc>
              <w:tc>
                <w:tcPr>
                  <w:tcW w:w="660" w:type="pct"/>
                  <w:noWrap w:val="0"/>
                  <w:vAlign w:val="center"/>
                </w:tcPr>
                <w:p w14:paraId="2C72555E">
                  <w:pPr>
                    <w:pStyle w:val="17"/>
                    <w:jc w:val="center"/>
                    <w:rPr>
                      <w:rFonts w:hint="default"/>
                      <w:color w:val="auto"/>
                      <w:vertAlign w:val="baseline"/>
                      <w:lang w:val="en-US" w:eastAsia="zh-CN"/>
                    </w:rPr>
                  </w:pPr>
                  <w:r>
                    <w:rPr>
                      <w:rFonts w:hint="eastAsia"/>
                      <w:color w:val="auto"/>
                      <w:vertAlign w:val="baseline"/>
                      <w:lang w:val="en-US" w:eastAsia="zh-CN"/>
                    </w:rPr>
                    <w:t>生产厂房2#</w:t>
                  </w:r>
                </w:p>
              </w:tc>
              <w:tc>
                <w:tcPr>
                  <w:tcW w:w="3531" w:type="pct"/>
                  <w:gridSpan w:val="2"/>
                  <w:noWrap w:val="0"/>
                  <w:vAlign w:val="center"/>
                </w:tcPr>
                <w:p w14:paraId="33362334">
                  <w:pPr>
                    <w:pStyle w:val="17"/>
                    <w:jc w:val="both"/>
                    <w:rPr>
                      <w:rFonts w:hint="default"/>
                      <w:color w:val="auto"/>
                      <w:vertAlign w:val="baseline"/>
                      <w:lang w:val="en-US" w:eastAsia="zh-CN"/>
                    </w:rPr>
                  </w:pPr>
                  <w:r>
                    <w:rPr>
                      <w:rFonts w:hint="eastAsia"/>
                      <w:color w:val="auto"/>
                      <w:vertAlign w:val="baseline"/>
                      <w:lang w:val="en-US" w:eastAsia="zh-CN"/>
                    </w:rPr>
                    <w:t>高12m，单层建筑，轻质钢结构，建筑面积1500m</w:t>
                  </w:r>
                  <w:r>
                    <w:rPr>
                      <w:rFonts w:hint="eastAsia"/>
                      <w:color w:val="auto"/>
                      <w:vertAlign w:val="superscript"/>
                      <w:lang w:val="en-US" w:eastAsia="zh-CN"/>
                    </w:rPr>
                    <w:t>2</w:t>
                  </w:r>
                  <w:r>
                    <w:rPr>
                      <w:rFonts w:hint="eastAsia"/>
                      <w:color w:val="auto"/>
                      <w:vertAlign w:val="baseline"/>
                      <w:lang w:val="en-US" w:eastAsia="zh-CN"/>
                    </w:rPr>
                    <w:t>，厂房全封闭，位于厂区北部，自北向南依次布置水稳砂生产线2条、制砖生产线1条，厂房东侧为原料堆场</w:t>
                  </w:r>
                </w:p>
              </w:tc>
              <w:tc>
                <w:tcPr>
                  <w:tcW w:w="399" w:type="pct"/>
                  <w:noWrap w:val="0"/>
                  <w:vAlign w:val="center"/>
                </w:tcPr>
                <w:p w14:paraId="2E3E8BB8">
                  <w:pPr>
                    <w:pStyle w:val="17"/>
                    <w:jc w:val="center"/>
                    <w:rPr>
                      <w:rFonts w:hint="default"/>
                      <w:color w:val="auto"/>
                      <w:vertAlign w:val="baseline"/>
                      <w:lang w:val="en-US" w:eastAsia="zh-CN"/>
                    </w:rPr>
                  </w:pPr>
                  <w:r>
                    <w:rPr>
                      <w:rFonts w:hint="eastAsia"/>
                      <w:color w:val="auto"/>
                      <w:vertAlign w:val="baseline"/>
                      <w:lang w:val="en-US" w:eastAsia="zh-CN"/>
                    </w:rPr>
                    <w:t>新建</w:t>
                  </w:r>
                </w:p>
              </w:tc>
            </w:tr>
            <w:tr w14:paraId="65599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Merge w:val="restart"/>
                  <w:noWrap w:val="0"/>
                  <w:vAlign w:val="center"/>
                </w:tcPr>
                <w:p w14:paraId="067241A0">
                  <w:pPr>
                    <w:pStyle w:val="17"/>
                    <w:jc w:val="center"/>
                    <w:rPr>
                      <w:rFonts w:hint="default"/>
                      <w:color w:val="auto"/>
                      <w:vertAlign w:val="baseline"/>
                      <w:lang w:val="en-US" w:eastAsia="zh-CN"/>
                    </w:rPr>
                  </w:pPr>
                  <w:r>
                    <w:rPr>
                      <w:rFonts w:hint="eastAsia"/>
                      <w:color w:val="auto"/>
                      <w:vertAlign w:val="baseline"/>
                      <w:lang w:val="en-US" w:eastAsia="zh-CN"/>
                    </w:rPr>
                    <w:t>辅助工程</w:t>
                  </w:r>
                </w:p>
              </w:tc>
              <w:tc>
                <w:tcPr>
                  <w:tcW w:w="660" w:type="pct"/>
                  <w:noWrap w:val="0"/>
                  <w:vAlign w:val="center"/>
                </w:tcPr>
                <w:p w14:paraId="6D66DB36">
                  <w:pPr>
                    <w:pStyle w:val="17"/>
                    <w:jc w:val="center"/>
                    <w:rPr>
                      <w:rFonts w:hint="default"/>
                      <w:color w:val="auto"/>
                      <w:vertAlign w:val="baseline"/>
                      <w:lang w:val="en-US" w:eastAsia="zh-CN"/>
                    </w:rPr>
                  </w:pPr>
                  <w:r>
                    <w:rPr>
                      <w:rFonts w:hint="eastAsia"/>
                      <w:color w:val="auto"/>
                      <w:vertAlign w:val="baseline"/>
                      <w:lang w:val="en-US" w:eastAsia="zh-CN"/>
                    </w:rPr>
                    <w:t>办公区/员工食堂</w:t>
                  </w:r>
                </w:p>
              </w:tc>
              <w:tc>
                <w:tcPr>
                  <w:tcW w:w="3531" w:type="pct"/>
                  <w:gridSpan w:val="2"/>
                  <w:noWrap w:val="0"/>
                  <w:vAlign w:val="center"/>
                </w:tcPr>
                <w:p w14:paraId="43A35B36">
                  <w:pPr>
                    <w:pStyle w:val="17"/>
                    <w:jc w:val="both"/>
                    <w:rPr>
                      <w:rFonts w:hint="default"/>
                      <w:color w:val="auto"/>
                      <w:vertAlign w:val="baseline"/>
                      <w:lang w:val="en-US" w:eastAsia="zh-CN"/>
                    </w:rPr>
                  </w:pPr>
                  <w:r>
                    <w:rPr>
                      <w:rFonts w:hint="eastAsia"/>
                      <w:color w:val="auto"/>
                      <w:vertAlign w:val="baseline"/>
                      <w:lang w:val="en-US" w:eastAsia="zh-CN"/>
                    </w:rPr>
                    <w:t>租赁场地现有的民房作为办公区，占地约150m</w:t>
                  </w:r>
                  <w:r>
                    <w:rPr>
                      <w:rFonts w:hint="eastAsia"/>
                      <w:color w:val="auto"/>
                      <w:vertAlign w:val="superscript"/>
                      <w:lang w:val="en-US" w:eastAsia="zh-CN"/>
                    </w:rPr>
                    <w:t>2</w:t>
                  </w:r>
                  <w:r>
                    <w:rPr>
                      <w:rFonts w:hint="eastAsia"/>
                      <w:color w:val="auto"/>
                      <w:vertAlign w:val="baseline"/>
                      <w:lang w:val="en-US" w:eastAsia="zh-CN"/>
                    </w:rPr>
                    <w:t>，建筑面积450m</w:t>
                  </w:r>
                  <w:r>
                    <w:rPr>
                      <w:rFonts w:hint="eastAsia"/>
                      <w:color w:val="auto"/>
                      <w:vertAlign w:val="superscript"/>
                      <w:lang w:val="en-US" w:eastAsia="zh-CN"/>
                    </w:rPr>
                    <w:t>2</w:t>
                  </w:r>
                  <w:r>
                    <w:rPr>
                      <w:rFonts w:hint="eastAsia"/>
                      <w:color w:val="auto"/>
                      <w:vertAlign w:val="baseline"/>
                      <w:lang w:val="en-US" w:eastAsia="zh-CN"/>
                    </w:rPr>
                    <w:t>，3层，砖混结构，位于厂区西面。1-2楼为办公室，3楼为员工食堂。</w:t>
                  </w:r>
                </w:p>
              </w:tc>
              <w:tc>
                <w:tcPr>
                  <w:tcW w:w="399" w:type="pct"/>
                  <w:noWrap w:val="0"/>
                  <w:vAlign w:val="center"/>
                </w:tcPr>
                <w:p w14:paraId="61A41575">
                  <w:pPr>
                    <w:pStyle w:val="17"/>
                    <w:jc w:val="center"/>
                    <w:rPr>
                      <w:rFonts w:hint="default"/>
                      <w:color w:val="auto"/>
                      <w:vertAlign w:val="baseline"/>
                      <w:lang w:val="en-US" w:eastAsia="zh-CN"/>
                    </w:rPr>
                  </w:pPr>
                  <w:r>
                    <w:rPr>
                      <w:rFonts w:hint="eastAsia"/>
                      <w:color w:val="auto"/>
                      <w:vertAlign w:val="baseline"/>
                      <w:lang w:val="en-US" w:eastAsia="zh-CN"/>
                    </w:rPr>
                    <w:t>租赁</w:t>
                  </w:r>
                </w:p>
              </w:tc>
            </w:tr>
            <w:tr w14:paraId="4486A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Merge w:val="continue"/>
                  <w:noWrap w:val="0"/>
                  <w:vAlign w:val="center"/>
                </w:tcPr>
                <w:p w14:paraId="70FAD46C">
                  <w:pPr>
                    <w:pStyle w:val="17"/>
                    <w:jc w:val="center"/>
                    <w:rPr>
                      <w:rFonts w:hint="default"/>
                      <w:color w:val="auto"/>
                      <w:vertAlign w:val="baseline"/>
                      <w:lang w:val="en-US" w:eastAsia="zh-CN"/>
                    </w:rPr>
                  </w:pPr>
                </w:p>
              </w:tc>
              <w:tc>
                <w:tcPr>
                  <w:tcW w:w="660" w:type="pct"/>
                  <w:noWrap w:val="0"/>
                  <w:vAlign w:val="center"/>
                </w:tcPr>
                <w:p w14:paraId="18DBA7D0">
                  <w:pPr>
                    <w:pStyle w:val="17"/>
                    <w:jc w:val="center"/>
                    <w:rPr>
                      <w:rFonts w:hint="default"/>
                      <w:color w:val="auto"/>
                      <w:vertAlign w:val="baseline"/>
                      <w:lang w:val="en-US" w:eastAsia="zh-CN"/>
                    </w:rPr>
                  </w:pPr>
                  <w:r>
                    <w:rPr>
                      <w:rFonts w:hint="eastAsia"/>
                      <w:color w:val="auto"/>
                      <w:vertAlign w:val="baseline"/>
                      <w:lang w:val="en-US" w:eastAsia="zh-CN"/>
                    </w:rPr>
                    <w:t>配电房/水泵房</w:t>
                  </w:r>
                </w:p>
              </w:tc>
              <w:tc>
                <w:tcPr>
                  <w:tcW w:w="3531" w:type="pct"/>
                  <w:gridSpan w:val="2"/>
                  <w:noWrap w:val="0"/>
                  <w:vAlign w:val="center"/>
                </w:tcPr>
                <w:p w14:paraId="3665211C">
                  <w:pPr>
                    <w:pStyle w:val="17"/>
                    <w:jc w:val="both"/>
                    <w:rPr>
                      <w:rFonts w:hint="default"/>
                      <w:color w:val="auto"/>
                      <w:vertAlign w:val="baseline"/>
                      <w:lang w:val="en-US" w:eastAsia="zh-CN"/>
                    </w:rPr>
                  </w:pPr>
                  <w:r>
                    <w:rPr>
                      <w:rFonts w:hint="eastAsia"/>
                      <w:color w:val="auto"/>
                      <w:vertAlign w:val="baseline"/>
                      <w:lang w:val="en-US" w:eastAsia="zh-CN"/>
                    </w:rPr>
                    <w:t>占地160m</w:t>
                  </w:r>
                  <w:r>
                    <w:rPr>
                      <w:rFonts w:hint="eastAsia"/>
                      <w:color w:val="auto"/>
                      <w:vertAlign w:val="superscript"/>
                      <w:lang w:val="en-US" w:eastAsia="zh-CN"/>
                    </w:rPr>
                    <w:t>2</w:t>
                  </w:r>
                  <w:r>
                    <w:rPr>
                      <w:rFonts w:hint="eastAsia"/>
                      <w:color w:val="auto"/>
                      <w:vertAlign w:val="baseline"/>
                      <w:lang w:val="en-US" w:eastAsia="zh-CN"/>
                    </w:rPr>
                    <w:t>，建筑面积160m</w:t>
                  </w:r>
                  <w:r>
                    <w:rPr>
                      <w:rFonts w:hint="eastAsia"/>
                      <w:color w:val="auto"/>
                      <w:vertAlign w:val="superscript"/>
                      <w:lang w:val="en-US" w:eastAsia="zh-CN"/>
                    </w:rPr>
                    <w:t>2</w:t>
                  </w:r>
                  <w:r>
                    <w:rPr>
                      <w:rFonts w:hint="eastAsia"/>
                      <w:color w:val="auto"/>
                      <w:vertAlign w:val="baseline"/>
                      <w:lang w:val="en-US" w:eastAsia="zh-CN"/>
                    </w:rPr>
                    <w:t>（含危废暂存间，面积9m</w:t>
                  </w:r>
                  <w:r>
                    <w:rPr>
                      <w:rFonts w:hint="eastAsia"/>
                      <w:color w:val="auto"/>
                      <w:vertAlign w:val="superscript"/>
                      <w:lang w:val="en-US" w:eastAsia="zh-CN"/>
                    </w:rPr>
                    <w:t>2</w:t>
                  </w:r>
                  <w:r>
                    <w:rPr>
                      <w:rFonts w:hint="eastAsia"/>
                      <w:color w:val="auto"/>
                      <w:vertAlign w:val="baseline"/>
                      <w:lang w:val="en-US" w:eastAsia="zh-CN"/>
                    </w:rPr>
                    <w:t>），1层，砖混结构，位于厂区北面</w:t>
                  </w:r>
                </w:p>
              </w:tc>
              <w:tc>
                <w:tcPr>
                  <w:tcW w:w="399" w:type="pct"/>
                  <w:noWrap w:val="0"/>
                  <w:vAlign w:val="center"/>
                </w:tcPr>
                <w:p w14:paraId="2BA8ECBA">
                  <w:pPr>
                    <w:pStyle w:val="17"/>
                    <w:jc w:val="center"/>
                    <w:rPr>
                      <w:rFonts w:hint="default"/>
                      <w:color w:val="auto"/>
                      <w:vertAlign w:val="baseline"/>
                      <w:lang w:val="en-US" w:eastAsia="zh-CN"/>
                    </w:rPr>
                  </w:pPr>
                  <w:r>
                    <w:rPr>
                      <w:rFonts w:hint="eastAsia"/>
                      <w:color w:val="auto"/>
                      <w:vertAlign w:val="baseline"/>
                      <w:lang w:val="en-US" w:eastAsia="zh-CN"/>
                    </w:rPr>
                    <w:t>已建</w:t>
                  </w:r>
                </w:p>
              </w:tc>
            </w:tr>
            <w:tr w14:paraId="054B3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Merge w:val="restart"/>
                  <w:noWrap w:val="0"/>
                  <w:vAlign w:val="center"/>
                </w:tcPr>
                <w:p w14:paraId="1BA2C641">
                  <w:pPr>
                    <w:pStyle w:val="17"/>
                    <w:jc w:val="center"/>
                    <w:rPr>
                      <w:rFonts w:hint="default"/>
                      <w:color w:val="auto"/>
                      <w:vertAlign w:val="baseline"/>
                      <w:lang w:val="en-US" w:eastAsia="zh-CN"/>
                    </w:rPr>
                  </w:pPr>
                  <w:r>
                    <w:rPr>
                      <w:rFonts w:hint="eastAsia"/>
                      <w:color w:val="auto"/>
                      <w:vertAlign w:val="baseline"/>
                      <w:lang w:val="en-US" w:eastAsia="zh-CN"/>
                    </w:rPr>
                    <w:t>储运工程</w:t>
                  </w:r>
                </w:p>
              </w:tc>
              <w:tc>
                <w:tcPr>
                  <w:tcW w:w="660" w:type="pct"/>
                  <w:noWrap w:val="0"/>
                  <w:vAlign w:val="center"/>
                </w:tcPr>
                <w:p w14:paraId="3D230890">
                  <w:pPr>
                    <w:pStyle w:val="17"/>
                    <w:jc w:val="center"/>
                    <w:rPr>
                      <w:rFonts w:hint="default"/>
                      <w:color w:val="auto"/>
                      <w:vertAlign w:val="baseline"/>
                      <w:lang w:val="en-US" w:eastAsia="zh-CN"/>
                    </w:rPr>
                  </w:pPr>
                  <w:r>
                    <w:rPr>
                      <w:rFonts w:hint="eastAsia"/>
                      <w:color w:val="auto"/>
                      <w:vertAlign w:val="baseline"/>
                      <w:lang w:val="en-US" w:eastAsia="zh-CN"/>
                    </w:rPr>
                    <w:t>原料堆场1#</w:t>
                  </w:r>
                </w:p>
              </w:tc>
              <w:tc>
                <w:tcPr>
                  <w:tcW w:w="3531" w:type="pct"/>
                  <w:gridSpan w:val="2"/>
                  <w:noWrap w:val="0"/>
                  <w:vAlign w:val="center"/>
                </w:tcPr>
                <w:p w14:paraId="30C792FA">
                  <w:pPr>
                    <w:pStyle w:val="17"/>
                    <w:jc w:val="both"/>
                    <w:rPr>
                      <w:rFonts w:hint="default"/>
                      <w:color w:val="auto"/>
                      <w:vertAlign w:val="baseline"/>
                      <w:lang w:val="en-US" w:eastAsia="zh-CN"/>
                    </w:rPr>
                  </w:pPr>
                  <w:r>
                    <w:rPr>
                      <w:rFonts w:hint="eastAsia"/>
                      <w:color w:val="auto"/>
                      <w:vertAlign w:val="baseline"/>
                      <w:lang w:val="en-US" w:eastAsia="zh-CN"/>
                    </w:rPr>
                    <w:t>建筑面积1050m</w:t>
                  </w:r>
                  <w:r>
                    <w:rPr>
                      <w:rFonts w:hint="eastAsia"/>
                      <w:color w:val="auto"/>
                      <w:vertAlign w:val="superscript"/>
                      <w:lang w:val="en-US" w:eastAsia="zh-CN"/>
                    </w:rPr>
                    <w:t>2</w:t>
                  </w:r>
                  <w:r>
                    <w:rPr>
                      <w:rFonts w:hint="eastAsia"/>
                      <w:color w:val="auto"/>
                      <w:vertAlign w:val="baseline"/>
                      <w:lang w:val="en-US" w:eastAsia="zh-CN"/>
                    </w:rPr>
                    <w:t>（含一般固废堆放区，占地150m</w:t>
                  </w:r>
                  <w:r>
                    <w:rPr>
                      <w:rFonts w:hint="eastAsia"/>
                      <w:color w:val="auto"/>
                      <w:vertAlign w:val="superscript"/>
                      <w:lang w:val="en-US" w:eastAsia="zh-CN"/>
                    </w:rPr>
                    <w:t>2</w:t>
                  </w:r>
                  <w:r>
                    <w:rPr>
                      <w:rFonts w:hint="eastAsia"/>
                      <w:color w:val="auto"/>
                      <w:vertAlign w:val="baseline"/>
                      <w:lang w:val="en-US" w:eastAsia="zh-CN"/>
                    </w:rPr>
                    <w:t>），1层，钢架结构，位于生产厂房1#东南侧，用于堆放外运至厂内的建筑垃圾、装修垃圾和一般工业固体废物</w:t>
                  </w:r>
                </w:p>
              </w:tc>
              <w:tc>
                <w:tcPr>
                  <w:tcW w:w="399" w:type="pct"/>
                  <w:noWrap w:val="0"/>
                  <w:vAlign w:val="center"/>
                </w:tcPr>
                <w:p w14:paraId="10F4AE3D">
                  <w:pPr>
                    <w:pStyle w:val="17"/>
                    <w:jc w:val="center"/>
                    <w:rPr>
                      <w:rFonts w:hint="default"/>
                      <w:color w:val="auto"/>
                      <w:vertAlign w:val="baseline"/>
                      <w:lang w:val="en-US" w:eastAsia="zh-CN"/>
                    </w:rPr>
                  </w:pPr>
                  <w:r>
                    <w:rPr>
                      <w:rFonts w:hint="eastAsia"/>
                      <w:color w:val="auto"/>
                      <w:vertAlign w:val="baseline"/>
                      <w:lang w:val="en-US" w:eastAsia="zh-CN"/>
                    </w:rPr>
                    <w:t>已建</w:t>
                  </w:r>
                </w:p>
              </w:tc>
            </w:tr>
            <w:tr w14:paraId="710AA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8" w:type="pct"/>
                  <w:vMerge w:val="continue"/>
                  <w:noWrap w:val="0"/>
                  <w:vAlign w:val="center"/>
                </w:tcPr>
                <w:p w14:paraId="57E7E0DB">
                  <w:pPr>
                    <w:pStyle w:val="17"/>
                    <w:jc w:val="center"/>
                    <w:rPr>
                      <w:rFonts w:hint="default"/>
                      <w:color w:val="auto"/>
                      <w:vertAlign w:val="baseline"/>
                      <w:lang w:val="en-US" w:eastAsia="zh-CN"/>
                    </w:rPr>
                  </w:pPr>
                </w:p>
              </w:tc>
              <w:tc>
                <w:tcPr>
                  <w:tcW w:w="660" w:type="pct"/>
                  <w:noWrap w:val="0"/>
                  <w:vAlign w:val="center"/>
                </w:tcPr>
                <w:p w14:paraId="5B8704D1">
                  <w:pPr>
                    <w:pStyle w:val="17"/>
                    <w:jc w:val="center"/>
                    <w:rPr>
                      <w:rFonts w:hint="default"/>
                      <w:color w:val="auto"/>
                      <w:vertAlign w:val="baseline"/>
                      <w:lang w:val="en-US" w:eastAsia="zh-CN"/>
                    </w:rPr>
                  </w:pPr>
                  <w:r>
                    <w:rPr>
                      <w:rFonts w:hint="eastAsia"/>
                      <w:color w:val="auto"/>
                      <w:vertAlign w:val="baseline"/>
                      <w:lang w:val="en-US" w:eastAsia="zh-CN"/>
                    </w:rPr>
                    <w:t>产品堆场</w:t>
                  </w:r>
                </w:p>
              </w:tc>
              <w:tc>
                <w:tcPr>
                  <w:tcW w:w="3531" w:type="pct"/>
                  <w:gridSpan w:val="2"/>
                  <w:noWrap w:val="0"/>
                  <w:vAlign w:val="center"/>
                </w:tcPr>
                <w:p w14:paraId="0B60347B">
                  <w:pPr>
                    <w:pStyle w:val="17"/>
                    <w:jc w:val="both"/>
                    <w:rPr>
                      <w:rFonts w:hint="default"/>
                      <w:color w:val="auto"/>
                      <w:vertAlign w:val="baseline"/>
                      <w:lang w:val="en-US" w:eastAsia="zh-CN"/>
                    </w:rPr>
                  </w:pPr>
                  <w:r>
                    <w:rPr>
                      <w:rFonts w:hint="eastAsia"/>
                      <w:color w:val="auto"/>
                      <w:vertAlign w:val="baseline"/>
                      <w:lang w:val="en-US" w:eastAsia="zh-CN"/>
                    </w:rPr>
                    <w:t>建筑面积1200m</w:t>
                  </w:r>
                  <w:r>
                    <w:rPr>
                      <w:rFonts w:hint="eastAsia"/>
                      <w:color w:val="auto"/>
                      <w:vertAlign w:val="superscript"/>
                      <w:lang w:val="en-US" w:eastAsia="zh-CN"/>
                    </w:rPr>
                    <w:t>2</w:t>
                  </w:r>
                  <w:r>
                    <w:rPr>
                      <w:rFonts w:hint="eastAsia"/>
                      <w:color w:val="auto"/>
                      <w:vertAlign w:val="baseline"/>
                      <w:lang w:val="en-US" w:eastAsia="zh-CN"/>
                    </w:rPr>
                    <w:t>（含滤饼堆放区，占地60m</w:t>
                  </w:r>
                  <w:r>
                    <w:rPr>
                      <w:rFonts w:hint="eastAsia"/>
                      <w:color w:val="auto"/>
                      <w:vertAlign w:val="superscript"/>
                      <w:lang w:val="en-US" w:eastAsia="zh-CN"/>
                    </w:rPr>
                    <w:t>2</w:t>
                  </w:r>
                  <w:r>
                    <w:rPr>
                      <w:rFonts w:hint="eastAsia"/>
                      <w:color w:val="auto"/>
                      <w:vertAlign w:val="baseline"/>
                      <w:lang w:val="en-US" w:eastAsia="zh-CN"/>
                    </w:rPr>
                    <w:t>，因清洗、水洗及泥水分离塔工序已取消，滤饼堆放区现已弃用），1层，钢架结构，位于生产厂房1#西南侧，用于堆放粉料、细骨料、粗骨料、水稳砂和砖</w:t>
                  </w:r>
                </w:p>
              </w:tc>
              <w:tc>
                <w:tcPr>
                  <w:tcW w:w="399" w:type="pct"/>
                  <w:noWrap w:val="0"/>
                  <w:vAlign w:val="center"/>
                </w:tcPr>
                <w:p w14:paraId="15B5910C">
                  <w:pPr>
                    <w:pStyle w:val="17"/>
                    <w:jc w:val="center"/>
                    <w:rPr>
                      <w:rFonts w:hint="default"/>
                      <w:color w:val="auto"/>
                      <w:vertAlign w:val="baseline"/>
                      <w:lang w:val="en-US" w:eastAsia="zh-CN"/>
                    </w:rPr>
                  </w:pPr>
                  <w:r>
                    <w:rPr>
                      <w:rFonts w:hint="eastAsia"/>
                      <w:color w:val="auto"/>
                      <w:vertAlign w:val="baseline"/>
                      <w:lang w:val="en-US" w:eastAsia="zh-CN"/>
                    </w:rPr>
                    <w:t>已建</w:t>
                  </w:r>
                </w:p>
              </w:tc>
            </w:tr>
            <w:tr w14:paraId="30633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Merge w:val="continue"/>
                  <w:noWrap w:val="0"/>
                  <w:vAlign w:val="center"/>
                </w:tcPr>
                <w:p w14:paraId="47C449B6">
                  <w:pPr>
                    <w:pStyle w:val="17"/>
                    <w:jc w:val="center"/>
                    <w:rPr>
                      <w:rFonts w:hint="default"/>
                      <w:color w:val="auto"/>
                      <w:vertAlign w:val="baseline"/>
                      <w:lang w:val="en-US" w:eastAsia="zh-CN"/>
                    </w:rPr>
                  </w:pPr>
                </w:p>
              </w:tc>
              <w:tc>
                <w:tcPr>
                  <w:tcW w:w="660" w:type="pct"/>
                  <w:noWrap w:val="0"/>
                  <w:vAlign w:val="center"/>
                </w:tcPr>
                <w:p w14:paraId="4E0603E9">
                  <w:pPr>
                    <w:pStyle w:val="17"/>
                    <w:jc w:val="center"/>
                    <w:rPr>
                      <w:rFonts w:hint="default"/>
                      <w:color w:val="auto"/>
                      <w:vertAlign w:val="baseline"/>
                      <w:lang w:val="en-US" w:eastAsia="zh-CN"/>
                    </w:rPr>
                  </w:pPr>
                  <w:r>
                    <w:rPr>
                      <w:rFonts w:hint="eastAsia"/>
                      <w:color w:val="auto"/>
                      <w:vertAlign w:val="baseline"/>
                      <w:lang w:val="en-US" w:eastAsia="zh-CN"/>
                    </w:rPr>
                    <w:t>原料堆场2#</w:t>
                  </w:r>
                </w:p>
              </w:tc>
              <w:tc>
                <w:tcPr>
                  <w:tcW w:w="3531" w:type="pct"/>
                  <w:gridSpan w:val="2"/>
                  <w:noWrap w:val="0"/>
                  <w:vAlign w:val="center"/>
                </w:tcPr>
                <w:p w14:paraId="51F14C1F">
                  <w:pPr>
                    <w:pStyle w:val="17"/>
                    <w:jc w:val="both"/>
                    <w:rPr>
                      <w:rFonts w:hint="default"/>
                      <w:color w:val="auto"/>
                      <w:vertAlign w:val="baseline"/>
                      <w:lang w:val="en-US" w:eastAsia="zh-CN"/>
                    </w:rPr>
                  </w:pPr>
                  <w:r>
                    <w:rPr>
                      <w:rFonts w:hint="eastAsia"/>
                      <w:color w:val="auto"/>
                      <w:vertAlign w:val="baseline"/>
                      <w:lang w:val="en-US" w:eastAsia="zh-CN"/>
                    </w:rPr>
                    <w:t>建筑面积400m</w:t>
                  </w:r>
                  <w:r>
                    <w:rPr>
                      <w:rFonts w:hint="eastAsia"/>
                      <w:color w:val="auto"/>
                      <w:vertAlign w:val="superscript"/>
                      <w:lang w:val="en-US" w:eastAsia="zh-CN"/>
                    </w:rPr>
                    <w:t>2</w:t>
                  </w:r>
                  <w:r>
                    <w:rPr>
                      <w:rFonts w:hint="eastAsia"/>
                      <w:color w:val="auto"/>
                      <w:vertAlign w:val="baseline"/>
                      <w:lang w:val="en-US" w:eastAsia="zh-CN"/>
                    </w:rPr>
                    <w:t>，1层，钢架结构，位于生产厂房2#东侧，用于堆放生产水稳砂、砖所需的粉料、细骨料和粗骨料与外购的水泥</w:t>
                  </w:r>
                </w:p>
              </w:tc>
              <w:tc>
                <w:tcPr>
                  <w:tcW w:w="399" w:type="pct"/>
                  <w:noWrap w:val="0"/>
                  <w:vAlign w:val="center"/>
                </w:tcPr>
                <w:p w14:paraId="4BA71830">
                  <w:pPr>
                    <w:pStyle w:val="17"/>
                    <w:jc w:val="center"/>
                    <w:rPr>
                      <w:rFonts w:hint="default"/>
                      <w:color w:val="auto"/>
                      <w:vertAlign w:val="baseline"/>
                      <w:lang w:val="en-US" w:eastAsia="zh-CN"/>
                    </w:rPr>
                  </w:pPr>
                  <w:r>
                    <w:rPr>
                      <w:rFonts w:hint="eastAsia"/>
                      <w:color w:val="auto"/>
                      <w:vertAlign w:val="baseline"/>
                      <w:lang w:val="en-US" w:eastAsia="zh-CN"/>
                    </w:rPr>
                    <w:t>新建</w:t>
                  </w:r>
                </w:p>
              </w:tc>
            </w:tr>
            <w:tr w14:paraId="1B55B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Merge w:val="restart"/>
                  <w:noWrap w:val="0"/>
                  <w:vAlign w:val="center"/>
                </w:tcPr>
                <w:p w14:paraId="0BBD0E84">
                  <w:pPr>
                    <w:pStyle w:val="17"/>
                    <w:jc w:val="center"/>
                    <w:rPr>
                      <w:rFonts w:hint="default"/>
                      <w:color w:val="auto"/>
                      <w:vertAlign w:val="baseline"/>
                      <w:lang w:val="en-US" w:eastAsia="zh-CN"/>
                    </w:rPr>
                  </w:pPr>
                  <w:r>
                    <w:rPr>
                      <w:rFonts w:hint="eastAsia"/>
                      <w:color w:val="auto"/>
                      <w:vertAlign w:val="baseline"/>
                      <w:lang w:val="en-US" w:eastAsia="zh-CN"/>
                    </w:rPr>
                    <w:t>公用工程</w:t>
                  </w:r>
                </w:p>
              </w:tc>
              <w:tc>
                <w:tcPr>
                  <w:tcW w:w="660" w:type="pct"/>
                  <w:noWrap w:val="0"/>
                  <w:vAlign w:val="center"/>
                </w:tcPr>
                <w:p w14:paraId="0BA0875A">
                  <w:pPr>
                    <w:pStyle w:val="17"/>
                    <w:jc w:val="center"/>
                    <w:rPr>
                      <w:rFonts w:hint="default"/>
                      <w:color w:val="auto"/>
                      <w:vertAlign w:val="baseline"/>
                      <w:lang w:val="en-US" w:eastAsia="zh-CN"/>
                    </w:rPr>
                  </w:pPr>
                  <w:r>
                    <w:rPr>
                      <w:rFonts w:hint="eastAsia"/>
                      <w:color w:val="auto"/>
                      <w:vertAlign w:val="baseline"/>
                      <w:lang w:val="en-US" w:eastAsia="zh-CN"/>
                    </w:rPr>
                    <w:t>供水</w:t>
                  </w:r>
                </w:p>
              </w:tc>
              <w:tc>
                <w:tcPr>
                  <w:tcW w:w="3531" w:type="pct"/>
                  <w:gridSpan w:val="2"/>
                  <w:noWrap w:val="0"/>
                  <w:vAlign w:val="center"/>
                </w:tcPr>
                <w:p w14:paraId="66785448">
                  <w:pPr>
                    <w:pStyle w:val="17"/>
                    <w:jc w:val="both"/>
                    <w:rPr>
                      <w:rFonts w:hint="default"/>
                      <w:color w:val="auto"/>
                      <w:vertAlign w:val="baseline"/>
                      <w:lang w:val="en-US" w:eastAsia="zh-CN"/>
                    </w:rPr>
                  </w:pPr>
                  <w:r>
                    <w:rPr>
                      <w:rFonts w:hint="eastAsia"/>
                      <w:color w:val="auto"/>
                      <w:vertAlign w:val="baseline"/>
                      <w:lang w:val="en-US" w:eastAsia="zh-CN"/>
                    </w:rPr>
                    <w:t>池塘水及井水</w:t>
                  </w:r>
                </w:p>
              </w:tc>
              <w:tc>
                <w:tcPr>
                  <w:tcW w:w="399" w:type="pct"/>
                  <w:noWrap w:val="0"/>
                  <w:vAlign w:val="center"/>
                </w:tcPr>
                <w:p w14:paraId="2141EE71">
                  <w:pPr>
                    <w:pStyle w:val="17"/>
                    <w:jc w:val="center"/>
                    <w:rPr>
                      <w:rFonts w:hint="default"/>
                      <w:color w:val="auto"/>
                      <w:vertAlign w:val="baseline"/>
                      <w:lang w:val="en-US" w:eastAsia="zh-CN"/>
                    </w:rPr>
                  </w:pPr>
                  <w:r>
                    <w:rPr>
                      <w:rFonts w:hint="eastAsia"/>
                      <w:color w:val="auto"/>
                      <w:vertAlign w:val="baseline"/>
                      <w:lang w:val="en-US" w:eastAsia="zh-CN"/>
                    </w:rPr>
                    <w:t>依托</w:t>
                  </w:r>
                </w:p>
              </w:tc>
            </w:tr>
            <w:tr w14:paraId="21BD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Merge w:val="continue"/>
                  <w:noWrap w:val="0"/>
                  <w:vAlign w:val="center"/>
                </w:tcPr>
                <w:p w14:paraId="08C4C6C2">
                  <w:pPr>
                    <w:pStyle w:val="17"/>
                    <w:jc w:val="center"/>
                    <w:rPr>
                      <w:rFonts w:hint="eastAsia"/>
                      <w:color w:val="auto"/>
                      <w:vertAlign w:val="baseline"/>
                      <w:lang w:val="en-US" w:eastAsia="zh-CN"/>
                    </w:rPr>
                  </w:pPr>
                </w:p>
              </w:tc>
              <w:tc>
                <w:tcPr>
                  <w:tcW w:w="660" w:type="pct"/>
                  <w:noWrap w:val="0"/>
                  <w:vAlign w:val="center"/>
                </w:tcPr>
                <w:p w14:paraId="0ADE6A0C">
                  <w:pPr>
                    <w:pStyle w:val="17"/>
                    <w:jc w:val="center"/>
                    <w:rPr>
                      <w:rFonts w:hint="default"/>
                      <w:color w:val="auto"/>
                      <w:vertAlign w:val="baseline"/>
                      <w:lang w:val="en-US" w:eastAsia="zh-CN"/>
                    </w:rPr>
                  </w:pPr>
                  <w:r>
                    <w:rPr>
                      <w:rFonts w:hint="eastAsia"/>
                      <w:color w:val="auto"/>
                      <w:vertAlign w:val="baseline"/>
                      <w:lang w:val="en-US" w:eastAsia="zh-CN"/>
                    </w:rPr>
                    <w:t>供电</w:t>
                  </w:r>
                </w:p>
              </w:tc>
              <w:tc>
                <w:tcPr>
                  <w:tcW w:w="3531" w:type="pct"/>
                  <w:gridSpan w:val="2"/>
                  <w:noWrap w:val="0"/>
                  <w:vAlign w:val="center"/>
                </w:tcPr>
                <w:p w14:paraId="3D58F734">
                  <w:pPr>
                    <w:pStyle w:val="17"/>
                    <w:jc w:val="both"/>
                    <w:rPr>
                      <w:rFonts w:hint="default"/>
                      <w:color w:val="auto"/>
                      <w:vertAlign w:val="baseline"/>
                      <w:lang w:val="en-US" w:eastAsia="zh-CN"/>
                    </w:rPr>
                  </w:pPr>
                  <w:r>
                    <w:rPr>
                      <w:rFonts w:hint="eastAsia"/>
                      <w:color w:val="auto"/>
                      <w:vertAlign w:val="baseline"/>
                      <w:lang w:val="en-US" w:eastAsia="zh-CN"/>
                    </w:rPr>
                    <w:t>乡镇电网供电</w:t>
                  </w:r>
                </w:p>
              </w:tc>
              <w:tc>
                <w:tcPr>
                  <w:tcW w:w="399" w:type="pct"/>
                  <w:noWrap w:val="0"/>
                  <w:vAlign w:val="center"/>
                </w:tcPr>
                <w:p w14:paraId="340D6657">
                  <w:pPr>
                    <w:pStyle w:val="17"/>
                    <w:jc w:val="center"/>
                    <w:rPr>
                      <w:rFonts w:hint="default"/>
                      <w:color w:val="auto"/>
                      <w:vertAlign w:val="baseline"/>
                      <w:lang w:val="en-US" w:eastAsia="zh-CN"/>
                    </w:rPr>
                  </w:pPr>
                  <w:r>
                    <w:rPr>
                      <w:rFonts w:hint="eastAsia"/>
                      <w:color w:val="auto"/>
                      <w:vertAlign w:val="baseline"/>
                      <w:lang w:val="en-US" w:eastAsia="zh-CN"/>
                    </w:rPr>
                    <w:t>依托</w:t>
                  </w:r>
                </w:p>
              </w:tc>
            </w:tr>
            <w:tr w14:paraId="54F4E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Merge w:val="continue"/>
                  <w:noWrap w:val="0"/>
                  <w:vAlign w:val="center"/>
                </w:tcPr>
                <w:p w14:paraId="1959E552">
                  <w:pPr>
                    <w:pStyle w:val="17"/>
                    <w:jc w:val="center"/>
                    <w:rPr>
                      <w:rFonts w:hint="eastAsia"/>
                      <w:color w:val="auto"/>
                      <w:vertAlign w:val="baseline"/>
                      <w:lang w:val="en-US" w:eastAsia="zh-CN"/>
                    </w:rPr>
                  </w:pPr>
                </w:p>
              </w:tc>
              <w:tc>
                <w:tcPr>
                  <w:tcW w:w="660" w:type="pct"/>
                  <w:noWrap w:val="0"/>
                  <w:vAlign w:val="center"/>
                </w:tcPr>
                <w:p w14:paraId="54AC40B2">
                  <w:pPr>
                    <w:pStyle w:val="17"/>
                    <w:jc w:val="center"/>
                    <w:rPr>
                      <w:rFonts w:hint="default"/>
                      <w:color w:val="auto"/>
                      <w:vertAlign w:val="baseline"/>
                      <w:lang w:val="en-US" w:eastAsia="zh-CN"/>
                    </w:rPr>
                  </w:pPr>
                  <w:r>
                    <w:rPr>
                      <w:rFonts w:hint="eastAsia"/>
                      <w:color w:val="auto"/>
                      <w:vertAlign w:val="baseline"/>
                      <w:lang w:val="en-US" w:eastAsia="zh-CN"/>
                    </w:rPr>
                    <w:t>排水</w:t>
                  </w:r>
                </w:p>
              </w:tc>
              <w:tc>
                <w:tcPr>
                  <w:tcW w:w="3531" w:type="pct"/>
                  <w:gridSpan w:val="2"/>
                  <w:noWrap w:val="0"/>
                  <w:vAlign w:val="center"/>
                </w:tcPr>
                <w:p w14:paraId="7D552C12">
                  <w:pPr>
                    <w:pStyle w:val="17"/>
                    <w:jc w:val="both"/>
                    <w:rPr>
                      <w:rFonts w:hint="default"/>
                      <w:color w:val="auto"/>
                      <w:vertAlign w:val="baseline"/>
                      <w:lang w:val="en-US" w:eastAsia="zh-CN"/>
                    </w:rPr>
                  </w:pPr>
                  <w:r>
                    <w:rPr>
                      <w:rFonts w:hint="eastAsia"/>
                      <w:color w:val="auto"/>
                      <w:vertAlign w:val="baseline"/>
                      <w:lang w:val="en-US" w:eastAsia="zh-CN"/>
                    </w:rPr>
                    <w:t>本项目已实施雨污分流制，生活污水经化粪池熟化后用于农肥，</w:t>
                  </w:r>
                  <w:r>
                    <w:rPr>
                      <w:rFonts w:hint="eastAsia"/>
                      <w:color w:val="auto"/>
                    </w:rPr>
                    <w:t>堆场抑尘废水</w:t>
                  </w:r>
                  <w:r>
                    <w:rPr>
                      <w:rFonts w:hint="eastAsia"/>
                      <w:color w:val="auto"/>
                      <w:lang w:eastAsia="zh-CN"/>
                    </w:rPr>
                    <w:t>、</w:t>
                  </w:r>
                  <w:r>
                    <w:rPr>
                      <w:rFonts w:hint="eastAsia"/>
                      <w:color w:val="auto"/>
                    </w:rPr>
                    <w:t>洒水降尘废水</w:t>
                  </w:r>
                  <w:r>
                    <w:rPr>
                      <w:rFonts w:hint="eastAsia"/>
                      <w:color w:val="auto"/>
                      <w:lang w:eastAsia="zh-CN"/>
                    </w:rPr>
                    <w:t>、</w:t>
                  </w:r>
                  <w:r>
                    <w:rPr>
                      <w:rFonts w:hint="eastAsia"/>
                      <w:color w:val="auto"/>
                      <w:lang w:val="en-US" w:eastAsia="zh-CN"/>
                    </w:rPr>
                    <w:t>制砖生产废水和水稳砂生产废水全部</w:t>
                  </w:r>
                  <w:r>
                    <w:rPr>
                      <w:rFonts w:hint="eastAsia"/>
                      <w:color w:val="auto"/>
                    </w:rPr>
                    <w:t>蒸发损耗或进入产品，车辆冲洗废水经隔油池、沉淀池处理后回用于车辆冲洗</w:t>
                  </w:r>
                  <w:r>
                    <w:rPr>
                      <w:rFonts w:hint="eastAsia"/>
                      <w:color w:val="auto"/>
                      <w:vertAlign w:val="baseline"/>
                      <w:lang w:val="en-US" w:eastAsia="zh-CN"/>
                    </w:rPr>
                    <w:t>，初期雨水经初期雨水池沉淀后用于生产，不外排</w:t>
                  </w:r>
                </w:p>
              </w:tc>
              <w:tc>
                <w:tcPr>
                  <w:tcW w:w="399" w:type="pct"/>
                  <w:noWrap w:val="0"/>
                  <w:vAlign w:val="center"/>
                </w:tcPr>
                <w:p w14:paraId="1171FE04">
                  <w:pPr>
                    <w:pStyle w:val="17"/>
                    <w:jc w:val="center"/>
                    <w:rPr>
                      <w:rFonts w:hint="default"/>
                      <w:color w:val="auto"/>
                      <w:vertAlign w:val="baseline"/>
                      <w:lang w:val="en-US" w:eastAsia="zh-CN"/>
                    </w:rPr>
                  </w:pPr>
                  <w:r>
                    <w:rPr>
                      <w:rFonts w:hint="eastAsia"/>
                      <w:color w:val="auto"/>
                      <w:vertAlign w:val="baseline"/>
                      <w:lang w:val="en-US" w:eastAsia="zh-CN"/>
                    </w:rPr>
                    <w:t>依托</w:t>
                  </w:r>
                </w:p>
              </w:tc>
            </w:tr>
            <w:tr w14:paraId="1FD73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8" w:type="pct"/>
                  <w:vMerge w:val="restart"/>
                  <w:noWrap w:val="0"/>
                  <w:vAlign w:val="center"/>
                </w:tcPr>
                <w:p w14:paraId="6F33C6D3">
                  <w:pPr>
                    <w:pStyle w:val="17"/>
                    <w:jc w:val="center"/>
                    <w:rPr>
                      <w:rFonts w:hint="default"/>
                      <w:color w:val="auto"/>
                      <w:vertAlign w:val="baseline"/>
                      <w:lang w:val="en-US" w:eastAsia="zh-CN"/>
                    </w:rPr>
                  </w:pPr>
                  <w:r>
                    <w:rPr>
                      <w:rFonts w:hint="eastAsia"/>
                      <w:color w:val="auto"/>
                      <w:vertAlign w:val="baseline"/>
                      <w:lang w:val="en-US" w:eastAsia="zh-CN"/>
                    </w:rPr>
                    <w:t>环保工程</w:t>
                  </w:r>
                </w:p>
              </w:tc>
              <w:tc>
                <w:tcPr>
                  <w:tcW w:w="660" w:type="pct"/>
                  <w:vMerge w:val="restart"/>
                  <w:noWrap w:val="0"/>
                  <w:vAlign w:val="center"/>
                </w:tcPr>
                <w:p w14:paraId="341956C6">
                  <w:pPr>
                    <w:pStyle w:val="17"/>
                    <w:jc w:val="center"/>
                    <w:rPr>
                      <w:rFonts w:hint="default"/>
                      <w:color w:val="auto"/>
                      <w:vertAlign w:val="baseline"/>
                      <w:lang w:val="en-US" w:eastAsia="zh-CN"/>
                    </w:rPr>
                  </w:pPr>
                  <w:r>
                    <w:rPr>
                      <w:rFonts w:hint="eastAsia"/>
                      <w:color w:val="auto"/>
                      <w:vertAlign w:val="baseline"/>
                      <w:lang w:val="en-US" w:eastAsia="zh-CN"/>
                    </w:rPr>
                    <w:t>废气治理</w:t>
                  </w:r>
                </w:p>
              </w:tc>
              <w:tc>
                <w:tcPr>
                  <w:tcW w:w="719" w:type="pct"/>
                  <w:noWrap w:val="0"/>
                  <w:vAlign w:val="center"/>
                </w:tcPr>
                <w:p w14:paraId="1C5939EC">
                  <w:pPr>
                    <w:pStyle w:val="17"/>
                    <w:jc w:val="center"/>
                    <w:rPr>
                      <w:rFonts w:hint="default"/>
                      <w:color w:val="auto"/>
                      <w:vertAlign w:val="baseline"/>
                      <w:lang w:val="en-US" w:eastAsia="zh-CN"/>
                    </w:rPr>
                  </w:pPr>
                  <w:r>
                    <w:rPr>
                      <w:rFonts w:hint="eastAsia"/>
                      <w:color w:val="auto"/>
                      <w:vertAlign w:val="baseline"/>
                      <w:lang w:val="en-US" w:eastAsia="zh-CN"/>
                    </w:rPr>
                    <w:t>原料堆场</w:t>
                  </w:r>
                </w:p>
              </w:tc>
              <w:tc>
                <w:tcPr>
                  <w:tcW w:w="2812" w:type="pct"/>
                  <w:noWrap w:val="0"/>
                  <w:vAlign w:val="center"/>
                </w:tcPr>
                <w:p w14:paraId="06CBE022">
                  <w:pPr>
                    <w:pStyle w:val="17"/>
                    <w:bidi w:val="0"/>
                    <w:jc w:val="left"/>
                    <w:rPr>
                      <w:rFonts w:hint="default"/>
                      <w:color w:val="auto"/>
                      <w:lang w:val="en-US" w:eastAsia="zh-CN"/>
                    </w:rPr>
                  </w:pPr>
                  <w:r>
                    <w:rPr>
                      <w:rFonts w:hint="eastAsia"/>
                      <w:color w:val="auto"/>
                      <w:lang w:val="en-US" w:eastAsia="zh-CN"/>
                    </w:rPr>
                    <w:t>原料入棚，三面围挡，地面硬化，同时喷雾抑尘</w:t>
                  </w:r>
                </w:p>
              </w:tc>
              <w:tc>
                <w:tcPr>
                  <w:tcW w:w="399" w:type="pct"/>
                  <w:vMerge w:val="restart"/>
                  <w:noWrap w:val="0"/>
                  <w:vAlign w:val="center"/>
                </w:tcPr>
                <w:p w14:paraId="48990DAF">
                  <w:pPr>
                    <w:pStyle w:val="17"/>
                    <w:jc w:val="center"/>
                    <w:rPr>
                      <w:rFonts w:hint="default"/>
                      <w:color w:val="auto"/>
                      <w:vertAlign w:val="baseline"/>
                      <w:lang w:val="en-US" w:eastAsia="zh-CN"/>
                    </w:rPr>
                  </w:pPr>
                  <w:r>
                    <w:rPr>
                      <w:rFonts w:hint="eastAsia"/>
                      <w:color w:val="auto"/>
                      <w:vertAlign w:val="baseline"/>
                      <w:lang w:val="en-US" w:eastAsia="zh-CN"/>
                    </w:rPr>
                    <w:t>已建</w:t>
                  </w:r>
                </w:p>
              </w:tc>
            </w:tr>
            <w:tr w14:paraId="35800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8" w:type="pct"/>
                  <w:vMerge w:val="continue"/>
                  <w:noWrap w:val="0"/>
                  <w:vAlign w:val="center"/>
                </w:tcPr>
                <w:p w14:paraId="2316F199">
                  <w:pPr>
                    <w:pStyle w:val="17"/>
                    <w:jc w:val="center"/>
                    <w:rPr>
                      <w:color w:val="auto"/>
                    </w:rPr>
                  </w:pPr>
                </w:p>
              </w:tc>
              <w:tc>
                <w:tcPr>
                  <w:tcW w:w="660" w:type="pct"/>
                  <w:vMerge w:val="continue"/>
                  <w:noWrap w:val="0"/>
                  <w:vAlign w:val="center"/>
                </w:tcPr>
                <w:p w14:paraId="5679B7A7">
                  <w:pPr>
                    <w:pStyle w:val="17"/>
                    <w:jc w:val="center"/>
                    <w:rPr>
                      <w:color w:val="auto"/>
                    </w:rPr>
                  </w:pPr>
                </w:p>
              </w:tc>
              <w:tc>
                <w:tcPr>
                  <w:tcW w:w="719" w:type="pct"/>
                  <w:noWrap w:val="0"/>
                  <w:vAlign w:val="center"/>
                </w:tcPr>
                <w:p w14:paraId="04DE925F">
                  <w:pPr>
                    <w:pStyle w:val="17"/>
                    <w:jc w:val="center"/>
                    <w:rPr>
                      <w:rFonts w:hint="default" w:eastAsia="宋体"/>
                      <w:color w:val="auto"/>
                      <w:lang w:val="en-US" w:eastAsia="zh-CN"/>
                    </w:rPr>
                  </w:pPr>
                  <w:r>
                    <w:rPr>
                      <w:rFonts w:hint="eastAsia"/>
                      <w:color w:val="auto"/>
                      <w:lang w:val="en-US" w:eastAsia="zh-CN"/>
                    </w:rPr>
                    <w:t>破碎、筛分</w:t>
                  </w:r>
                </w:p>
              </w:tc>
              <w:tc>
                <w:tcPr>
                  <w:tcW w:w="2812" w:type="pct"/>
                  <w:noWrap w:val="0"/>
                  <w:vAlign w:val="center"/>
                </w:tcPr>
                <w:p w14:paraId="0E6E6017">
                  <w:pPr>
                    <w:pStyle w:val="17"/>
                    <w:bidi w:val="0"/>
                    <w:jc w:val="both"/>
                    <w:rPr>
                      <w:rFonts w:hint="eastAsia"/>
                      <w:color w:val="auto"/>
                      <w:lang w:val="en-US" w:eastAsia="zh-CN"/>
                    </w:rPr>
                  </w:pPr>
                  <w:r>
                    <w:rPr>
                      <w:rFonts w:hint="eastAsia"/>
                      <w:color w:val="auto"/>
                      <w:lang w:val="en-US" w:eastAsia="zh-CN"/>
                    </w:rPr>
                    <w:t>经</w:t>
                  </w:r>
                  <w:r>
                    <w:rPr>
                      <w:color w:val="auto"/>
                    </w:rPr>
                    <w:t>负压吸风收尘装置、脉冲反吹布袋除尘器处理后</w:t>
                  </w:r>
                  <w:r>
                    <w:rPr>
                      <w:rFonts w:hint="eastAsia"/>
                      <w:color w:val="auto"/>
                      <w:lang w:val="en-US" w:eastAsia="zh-CN"/>
                    </w:rPr>
                    <w:t>引至15m高排气筒（DA001）有组织排放</w:t>
                  </w:r>
                  <w:r>
                    <w:rPr>
                      <w:color w:val="auto"/>
                    </w:rPr>
                    <w:t>，厂房全封闭、区域加设雾炮机</w:t>
                  </w:r>
                </w:p>
              </w:tc>
              <w:tc>
                <w:tcPr>
                  <w:tcW w:w="399" w:type="pct"/>
                  <w:vMerge w:val="continue"/>
                  <w:noWrap w:val="0"/>
                  <w:vAlign w:val="center"/>
                </w:tcPr>
                <w:p w14:paraId="6D3666EA">
                  <w:pPr>
                    <w:pStyle w:val="17"/>
                    <w:jc w:val="center"/>
                    <w:rPr>
                      <w:color w:val="auto"/>
                    </w:rPr>
                  </w:pPr>
                </w:p>
              </w:tc>
            </w:tr>
            <w:tr w14:paraId="0D368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8" w:type="pct"/>
                  <w:vMerge w:val="continue"/>
                  <w:noWrap w:val="0"/>
                  <w:vAlign w:val="center"/>
                </w:tcPr>
                <w:p w14:paraId="439AB435">
                  <w:pPr>
                    <w:pStyle w:val="17"/>
                    <w:jc w:val="center"/>
                    <w:rPr>
                      <w:color w:val="auto"/>
                    </w:rPr>
                  </w:pPr>
                </w:p>
              </w:tc>
              <w:tc>
                <w:tcPr>
                  <w:tcW w:w="660" w:type="pct"/>
                  <w:vMerge w:val="continue"/>
                  <w:noWrap w:val="0"/>
                  <w:vAlign w:val="center"/>
                </w:tcPr>
                <w:p w14:paraId="1FC1987E">
                  <w:pPr>
                    <w:pStyle w:val="17"/>
                    <w:jc w:val="center"/>
                    <w:rPr>
                      <w:color w:val="auto"/>
                    </w:rPr>
                  </w:pPr>
                </w:p>
              </w:tc>
              <w:tc>
                <w:tcPr>
                  <w:tcW w:w="719" w:type="pct"/>
                  <w:noWrap w:val="0"/>
                  <w:vAlign w:val="center"/>
                </w:tcPr>
                <w:p w14:paraId="71BCA6FA">
                  <w:pPr>
                    <w:pStyle w:val="17"/>
                    <w:jc w:val="center"/>
                    <w:rPr>
                      <w:rFonts w:hint="default" w:eastAsia="宋体"/>
                      <w:color w:val="auto"/>
                      <w:lang w:val="en-US" w:eastAsia="zh-CN"/>
                    </w:rPr>
                  </w:pPr>
                  <w:r>
                    <w:rPr>
                      <w:rFonts w:hint="eastAsia"/>
                      <w:color w:val="auto"/>
                      <w:lang w:val="en-US" w:eastAsia="zh-CN"/>
                    </w:rPr>
                    <w:t>输送粉尘</w:t>
                  </w:r>
                </w:p>
              </w:tc>
              <w:tc>
                <w:tcPr>
                  <w:tcW w:w="2812" w:type="pct"/>
                  <w:noWrap w:val="0"/>
                  <w:vAlign w:val="center"/>
                </w:tcPr>
                <w:p w14:paraId="7727846C">
                  <w:pPr>
                    <w:pStyle w:val="17"/>
                    <w:bidi w:val="0"/>
                    <w:jc w:val="both"/>
                    <w:rPr>
                      <w:color w:val="auto"/>
                      <w:lang w:val="en-US" w:eastAsia="zh-CN"/>
                    </w:rPr>
                  </w:pPr>
                  <w:r>
                    <w:rPr>
                      <w:color w:val="auto"/>
                    </w:rPr>
                    <w:t>廊道封闭、喷雾抑尘</w:t>
                  </w:r>
                </w:p>
              </w:tc>
              <w:tc>
                <w:tcPr>
                  <w:tcW w:w="399" w:type="pct"/>
                  <w:vMerge w:val="continue"/>
                  <w:noWrap w:val="0"/>
                  <w:vAlign w:val="center"/>
                </w:tcPr>
                <w:p w14:paraId="09FCF130">
                  <w:pPr>
                    <w:pStyle w:val="17"/>
                    <w:jc w:val="center"/>
                    <w:rPr>
                      <w:color w:val="auto"/>
                    </w:rPr>
                  </w:pPr>
                </w:p>
              </w:tc>
            </w:tr>
            <w:tr w14:paraId="16831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8" w:type="pct"/>
                  <w:vMerge w:val="continue"/>
                  <w:noWrap w:val="0"/>
                  <w:vAlign w:val="center"/>
                </w:tcPr>
                <w:p w14:paraId="05321B05">
                  <w:pPr>
                    <w:pStyle w:val="17"/>
                    <w:jc w:val="center"/>
                    <w:rPr>
                      <w:color w:val="auto"/>
                    </w:rPr>
                  </w:pPr>
                </w:p>
              </w:tc>
              <w:tc>
                <w:tcPr>
                  <w:tcW w:w="660" w:type="pct"/>
                  <w:vMerge w:val="continue"/>
                  <w:noWrap w:val="0"/>
                  <w:vAlign w:val="center"/>
                </w:tcPr>
                <w:p w14:paraId="05D8C36C">
                  <w:pPr>
                    <w:pStyle w:val="17"/>
                    <w:jc w:val="center"/>
                    <w:rPr>
                      <w:color w:val="auto"/>
                    </w:rPr>
                  </w:pPr>
                </w:p>
              </w:tc>
              <w:tc>
                <w:tcPr>
                  <w:tcW w:w="719" w:type="pct"/>
                  <w:noWrap w:val="0"/>
                  <w:vAlign w:val="center"/>
                </w:tcPr>
                <w:p w14:paraId="7BBF6CB1">
                  <w:pPr>
                    <w:pStyle w:val="17"/>
                    <w:jc w:val="center"/>
                    <w:rPr>
                      <w:rFonts w:hint="eastAsia" w:eastAsia="宋体"/>
                      <w:color w:val="auto"/>
                      <w:lang w:val="en-US" w:eastAsia="zh-CN"/>
                    </w:rPr>
                  </w:pPr>
                  <w:r>
                    <w:rPr>
                      <w:rFonts w:hint="eastAsia"/>
                      <w:color w:val="auto"/>
                      <w:lang w:val="en-US" w:eastAsia="zh-CN"/>
                    </w:rPr>
                    <w:t>道路扬尘</w:t>
                  </w:r>
                </w:p>
              </w:tc>
              <w:tc>
                <w:tcPr>
                  <w:tcW w:w="2812" w:type="pct"/>
                  <w:noWrap w:val="0"/>
                  <w:vAlign w:val="center"/>
                </w:tcPr>
                <w:p w14:paraId="2C41EEC6">
                  <w:pPr>
                    <w:pStyle w:val="17"/>
                    <w:bidi w:val="0"/>
                    <w:jc w:val="both"/>
                    <w:rPr>
                      <w:color w:val="auto"/>
                      <w:lang w:val="en-US" w:eastAsia="zh-CN"/>
                    </w:rPr>
                  </w:pPr>
                  <w:r>
                    <w:rPr>
                      <w:rFonts w:hint="eastAsia"/>
                      <w:color w:val="auto"/>
                    </w:rPr>
                    <w:t>道路硬化、定期清扫，洒水抑尘</w:t>
                  </w:r>
                </w:p>
              </w:tc>
              <w:tc>
                <w:tcPr>
                  <w:tcW w:w="399" w:type="pct"/>
                  <w:vMerge w:val="continue"/>
                  <w:noWrap w:val="0"/>
                  <w:vAlign w:val="center"/>
                </w:tcPr>
                <w:p w14:paraId="64F42200">
                  <w:pPr>
                    <w:pStyle w:val="17"/>
                    <w:jc w:val="center"/>
                    <w:rPr>
                      <w:color w:val="auto"/>
                    </w:rPr>
                  </w:pPr>
                </w:p>
              </w:tc>
            </w:tr>
            <w:tr w14:paraId="515AE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8" w:type="pct"/>
                  <w:vMerge w:val="continue"/>
                  <w:noWrap w:val="0"/>
                  <w:vAlign w:val="center"/>
                </w:tcPr>
                <w:p w14:paraId="7F9CFA90">
                  <w:pPr>
                    <w:pStyle w:val="17"/>
                    <w:jc w:val="center"/>
                    <w:rPr>
                      <w:color w:val="auto"/>
                    </w:rPr>
                  </w:pPr>
                </w:p>
              </w:tc>
              <w:tc>
                <w:tcPr>
                  <w:tcW w:w="660" w:type="pct"/>
                  <w:vMerge w:val="continue"/>
                  <w:noWrap w:val="0"/>
                  <w:vAlign w:val="center"/>
                </w:tcPr>
                <w:p w14:paraId="7069BA99">
                  <w:pPr>
                    <w:pStyle w:val="17"/>
                    <w:jc w:val="center"/>
                    <w:rPr>
                      <w:color w:val="auto"/>
                    </w:rPr>
                  </w:pPr>
                </w:p>
              </w:tc>
              <w:tc>
                <w:tcPr>
                  <w:tcW w:w="719" w:type="pct"/>
                  <w:noWrap w:val="0"/>
                  <w:vAlign w:val="center"/>
                </w:tcPr>
                <w:p w14:paraId="5D0676A8">
                  <w:pPr>
                    <w:pStyle w:val="17"/>
                    <w:jc w:val="center"/>
                    <w:rPr>
                      <w:rFonts w:hint="default" w:eastAsia="宋体"/>
                      <w:color w:val="auto"/>
                      <w:lang w:val="en-US" w:eastAsia="zh-CN"/>
                    </w:rPr>
                  </w:pPr>
                  <w:r>
                    <w:rPr>
                      <w:rFonts w:hint="eastAsia"/>
                      <w:color w:val="auto"/>
                      <w:lang w:val="en-US" w:eastAsia="zh-CN"/>
                    </w:rPr>
                    <w:t>产品堆场</w:t>
                  </w:r>
                </w:p>
              </w:tc>
              <w:tc>
                <w:tcPr>
                  <w:tcW w:w="2812" w:type="pct"/>
                  <w:noWrap w:val="0"/>
                  <w:vAlign w:val="center"/>
                </w:tcPr>
                <w:p w14:paraId="05705C99">
                  <w:pPr>
                    <w:pStyle w:val="17"/>
                    <w:bidi w:val="0"/>
                    <w:jc w:val="both"/>
                    <w:rPr>
                      <w:color w:val="auto"/>
                      <w:lang w:val="en-US" w:eastAsia="zh-CN"/>
                    </w:rPr>
                  </w:pPr>
                  <w:r>
                    <w:rPr>
                      <w:rFonts w:hint="eastAsia"/>
                      <w:color w:val="auto"/>
                      <w:lang w:val="en-US" w:eastAsia="zh-CN"/>
                    </w:rPr>
                    <w:t>三面围挡；加盖棚罩并在地面硬化，同时喷雾抑尘</w:t>
                  </w:r>
                </w:p>
              </w:tc>
              <w:tc>
                <w:tcPr>
                  <w:tcW w:w="399" w:type="pct"/>
                  <w:vMerge w:val="continue"/>
                  <w:noWrap w:val="0"/>
                  <w:vAlign w:val="center"/>
                </w:tcPr>
                <w:p w14:paraId="3E254006">
                  <w:pPr>
                    <w:pStyle w:val="17"/>
                    <w:jc w:val="center"/>
                    <w:rPr>
                      <w:color w:val="auto"/>
                    </w:rPr>
                  </w:pPr>
                </w:p>
              </w:tc>
            </w:tr>
            <w:tr w14:paraId="547F9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trPr>
              <w:tc>
                <w:tcPr>
                  <w:tcW w:w="408" w:type="pct"/>
                  <w:vMerge w:val="continue"/>
                  <w:noWrap w:val="0"/>
                  <w:vAlign w:val="center"/>
                </w:tcPr>
                <w:p w14:paraId="2033137C">
                  <w:pPr>
                    <w:pStyle w:val="17"/>
                    <w:jc w:val="center"/>
                    <w:rPr>
                      <w:color w:val="auto"/>
                    </w:rPr>
                  </w:pPr>
                </w:p>
              </w:tc>
              <w:tc>
                <w:tcPr>
                  <w:tcW w:w="660" w:type="pct"/>
                  <w:vMerge w:val="continue"/>
                  <w:noWrap w:val="0"/>
                  <w:vAlign w:val="center"/>
                </w:tcPr>
                <w:p w14:paraId="012CD6ED">
                  <w:pPr>
                    <w:pStyle w:val="17"/>
                    <w:jc w:val="center"/>
                    <w:rPr>
                      <w:color w:val="auto"/>
                    </w:rPr>
                  </w:pPr>
                </w:p>
              </w:tc>
              <w:tc>
                <w:tcPr>
                  <w:tcW w:w="719" w:type="pct"/>
                  <w:noWrap w:val="0"/>
                  <w:vAlign w:val="center"/>
                </w:tcPr>
                <w:p w14:paraId="2D902026">
                  <w:pPr>
                    <w:pStyle w:val="17"/>
                    <w:jc w:val="center"/>
                    <w:rPr>
                      <w:rFonts w:hint="default"/>
                      <w:color w:val="auto"/>
                      <w:lang w:val="en-US" w:eastAsia="zh-CN"/>
                    </w:rPr>
                  </w:pPr>
                  <w:r>
                    <w:rPr>
                      <w:rFonts w:hint="eastAsia"/>
                      <w:color w:val="auto"/>
                      <w:lang w:val="en-US" w:eastAsia="zh-CN"/>
                    </w:rPr>
                    <w:t>搅拌粉尘</w:t>
                  </w:r>
                </w:p>
              </w:tc>
              <w:tc>
                <w:tcPr>
                  <w:tcW w:w="2812" w:type="pct"/>
                  <w:noWrap w:val="0"/>
                  <w:vAlign w:val="center"/>
                </w:tcPr>
                <w:p w14:paraId="372738AF">
                  <w:pPr>
                    <w:pStyle w:val="17"/>
                    <w:bidi w:val="0"/>
                    <w:jc w:val="both"/>
                    <w:rPr>
                      <w:rFonts w:hint="default"/>
                      <w:color w:val="auto"/>
                      <w:lang w:val="en-US" w:eastAsia="zh-CN"/>
                    </w:rPr>
                  </w:pPr>
                  <w:r>
                    <w:rPr>
                      <w:rFonts w:hint="eastAsia"/>
                      <w:color w:val="auto"/>
                      <w:lang w:val="en-US" w:eastAsia="zh-CN"/>
                    </w:rPr>
                    <w:t>管道收集+布袋除尘器+15m高排气筒（DA002）有组织排放，厂房全封闭</w:t>
                  </w:r>
                </w:p>
              </w:tc>
              <w:tc>
                <w:tcPr>
                  <w:tcW w:w="399" w:type="pct"/>
                  <w:noWrap w:val="0"/>
                  <w:vAlign w:val="center"/>
                </w:tcPr>
                <w:p w14:paraId="52795664">
                  <w:pPr>
                    <w:pStyle w:val="17"/>
                    <w:jc w:val="center"/>
                    <w:rPr>
                      <w:rFonts w:hint="eastAsia" w:eastAsia="宋体"/>
                      <w:color w:val="auto"/>
                      <w:lang w:val="en-US" w:eastAsia="zh-CN"/>
                    </w:rPr>
                  </w:pPr>
                  <w:r>
                    <w:rPr>
                      <w:rFonts w:hint="eastAsia"/>
                      <w:color w:val="auto"/>
                      <w:lang w:val="en-US" w:eastAsia="zh-CN"/>
                    </w:rPr>
                    <w:t>新建</w:t>
                  </w:r>
                </w:p>
              </w:tc>
            </w:tr>
            <w:tr w14:paraId="31863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trPr>
              <w:tc>
                <w:tcPr>
                  <w:tcW w:w="408" w:type="pct"/>
                  <w:vMerge w:val="continue"/>
                  <w:noWrap w:val="0"/>
                  <w:vAlign w:val="center"/>
                </w:tcPr>
                <w:p w14:paraId="7AECA23D">
                  <w:pPr>
                    <w:pStyle w:val="17"/>
                    <w:jc w:val="center"/>
                    <w:rPr>
                      <w:color w:val="auto"/>
                    </w:rPr>
                  </w:pPr>
                </w:p>
              </w:tc>
              <w:tc>
                <w:tcPr>
                  <w:tcW w:w="660" w:type="pct"/>
                  <w:vMerge w:val="continue"/>
                  <w:noWrap w:val="0"/>
                  <w:vAlign w:val="center"/>
                </w:tcPr>
                <w:p w14:paraId="113E66C3">
                  <w:pPr>
                    <w:pStyle w:val="17"/>
                    <w:jc w:val="center"/>
                    <w:rPr>
                      <w:color w:val="auto"/>
                    </w:rPr>
                  </w:pPr>
                </w:p>
              </w:tc>
              <w:tc>
                <w:tcPr>
                  <w:tcW w:w="719" w:type="pct"/>
                  <w:noWrap w:val="0"/>
                  <w:vAlign w:val="center"/>
                </w:tcPr>
                <w:p w14:paraId="244F28CA">
                  <w:pPr>
                    <w:pStyle w:val="17"/>
                    <w:jc w:val="center"/>
                    <w:rPr>
                      <w:rFonts w:hint="default"/>
                      <w:color w:val="auto"/>
                      <w:lang w:val="en-US" w:eastAsia="zh-CN"/>
                    </w:rPr>
                  </w:pPr>
                  <w:r>
                    <w:rPr>
                      <w:rFonts w:hint="eastAsia"/>
                      <w:color w:val="auto"/>
                      <w:lang w:val="en-US" w:eastAsia="zh-CN"/>
                    </w:rPr>
                    <w:t>水泥装卸储存粉尘</w:t>
                  </w:r>
                </w:p>
              </w:tc>
              <w:tc>
                <w:tcPr>
                  <w:tcW w:w="2812" w:type="pct"/>
                  <w:noWrap w:val="0"/>
                  <w:vAlign w:val="center"/>
                </w:tcPr>
                <w:p w14:paraId="3E601B61">
                  <w:pPr>
                    <w:pStyle w:val="17"/>
                    <w:bidi w:val="0"/>
                    <w:jc w:val="both"/>
                    <w:rPr>
                      <w:rFonts w:hint="default"/>
                      <w:color w:val="auto"/>
                      <w:lang w:val="en-US" w:eastAsia="zh-CN"/>
                    </w:rPr>
                  </w:pPr>
                  <w:r>
                    <w:rPr>
                      <w:rFonts w:hint="eastAsia"/>
                      <w:color w:val="auto"/>
                      <w:lang w:val="en-US" w:eastAsia="zh-CN"/>
                    </w:rPr>
                    <w:t>生产厂房2#全封闭，装卸口与筒仓设置布袋除尘器治理后无组织排放</w:t>
                  </w:r>
                </w:p>
              </w:tc>
              <w:tc>
                <w:tcPr>
                  <w:tcW w:w="399" w:type="pct"/>
                  <w:noWrap w:val="0"/>
                  <w:vAlign w:val="center"/>
                </w:tcPr>
                <w:p w14:paraId="3783DBD2">
                  <w:pPr>
                    <w:pStyle w:val="17"/>
                    <w:jc w:val="center"/>
                    <w:rPr>
                      <w:rFonts w:hint="eastAsia"/>
                      <w:color w:val="auto"/>
                      <w:lang w:val="en-US" w:eastAsia="zh-CN"/>
                    </w:rPr>
                  </w:pPr>
                  <w:r>
                    <w:rPr>
                      <w:rFonts w:hint="eastAsia"/>
                      <w:color w:val="auto"/>
                      <w:lang w:val="en-US" w:eastAsia="zh-CN"/>
                    </w:rPr>
                    <w:t>新建</w:t>
                  </w:r>
                </w:p>
              </w:tc>
            </w:tr>
            <w:tr w14:paraId="07EE4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trPr>
              <w:tc>
                <w:tcPr>
                  <w:tcW w:w="408" w:type="pct"/>
                  <w:vMerge w:val="continue"/>
                  <w:noWrap w:val="0"/>
                  <w:vAlign w:val="center"/>
                </w:tcPr>
                <w:p w14:paraId="11F8BDC3">
                  <w:pPr>
                    <w:pStyle w:val="17"/>
                    <w:jc w:val="center"/>
                    <w:rPr>
                      <w:color w:val="auto"/>
                    </w:rPr>
                  </w:pPr>
                </w:p>
              </w:tc>
              <w:tc>
                <w:tcPr>
                  <w:tcW w:w="660" w:type="pct"/>
                  <w:vMerge w:val="restart"/>
                  <w:noWrap w:val="0"/>
                  <w:vAlign w:val="center"/>
                </w:tcPr>
                <w:p w14:paraId="18E56DDA">
                  <w:pPr>
                    <w:pStyle w:val="17"/>
                    <w:jc w:val="center"/>
                    <w:rPr>
                      <w:rFonts w:hint="eastAsia" w:eastAsia="宋体"/>
                      <w:color w:val="auto"/>
                      <w:lang w:val="en-US" w:eastAsia="zh-CN"/>
                    </w:rPr>
                  </w:pPr>
                  <w:r>
                    <w:rPr>
                      <w:rFonts w:hint="eastAsia"/>
                      <w:color w:val="auto"/>
                      <w:lang w:val="en-US" w:eastAsia="zh-CN"/>
                    </w:rPr>
                    <w:t>废水治理</w:t>
                  </w:r>
                </w:p>
              </w:tc>
              <w:tc>
                <w:tcPr>
                  <w:tcW w:w="719" w:type="pct"/>
                  <w:noWrap w:val="0"/>
                  <w:vAlign w:val="center"/>
                </w:tcPr>
                <w:p w14:paraId="13F04E13">
                  <w:pPr>
                    <w:pStyle w:val="17"/>
                    <w:jc w:val="center"/>
                    <w:rPr>
                      <w:rFonts w:hint="default"/>
                      <w:color w:val="auto"/>
                      <w:lang w:val="en-US" w:eastAsia="zh-CN"/>
                    </w:rPr>
                  </w:pPr>
                  <w:r>
                    <w:rPr>
                      <w:rFonts w:hint="eastAsia"/>
                      <w:color w:val="auto"/>
                      <w:lang w:val="en-US" w:eastAsia="zh-CN"/>
                    </w:rPr>
                    <w:t>生活污水</w:t>
                  </w:r>
                </w:p>
              </w:tc>
              <w:tc>
                <w:tcPr>
                  <w:tcW w:w="2812" w:type="pct"/>
                  <w:noWrap w:val="0"/>
                  <w:vAlign w:val="center"/>
                </w:tcPr>
                <w:p w14:paraId="7F7C7A7A">
                  <w:pPr>
                    <w:pStyle w:val="17"/>
                    <w:bidi w:val="0"/>
                    <w:jc w:val="both"/>
                    <w:rPr>
                      <w:rFonts w:hint="default"/>
                      <w:color w:val="auto"/>
                      <w:lang w:val="en-US" w:eastAsia="zh-CN"/>
                    </w:rPr>
                  </w:pPr>
                  <w:r>
                    <w:rPr>
                      <w:rFonts w:hint="eastAsia"/>
                      <w:color w:val="auto"/>
                      <w:lang w:val="en-US" w:eastAsia="zh-CN"/>
                    </w:rPr>
                    <w:t>生活污水经化粪池熟化后用于农肥，不外排</w:t>
                  </w:r>
                </w:p>
              </w:tc>
              <w:tc>
                <w:tcPr>
                  <w:tcW w:w="399" w:type="pct"/>
                  <w:vMerge w:val="restart"/>
                  <w:noWrap w:val="0"/>
                  <w:vAlign w:val="center"/>
                </w:tcPr>
                <w:p w14:paraId="6A357C6F">
                  <w:pPr>
                    <w:pStyle w:val="17"/>
                    <w:jc w:val="center"/>
                    <w:rPr>
                      <w:rFonts w:hint="eastAsia" w:eastAsia="宋体"/>
                      <w:color w:val="auto"/>
                      <w:lang w:val="en-US" w:eastAsia="zh-CN"/>
                    </w:rPr>
                  </w:pPr>
                  <w:r>
                    <w:rPr>
                      <w:rFonts w:hint="eastAsia"/>
                      <w:color w:val="auto"/>
                      <w:lang w:val="en-US" w:eastAsia="zh-CN"/>
                    </w:rPr>
                    <w:t>不外排</w:t>
                  </w:r>
                </w:p>
              </w:tc>
            </w:tr>
            <w:tr w14:paraId="5D0CD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trPr>
              <w:tc>
                <w:tcPr>
                  <w:tcW w:w="408" w:type="pct"/>
                  <w:vMerge w:val="continue"/>
                  <w:noWrap w:val="0"/>
                  <w:vAlign w:val="center"/>
                </w:tcPr>
                <w:p w14:paraId="28C34B95">
                  <w:pPr>
                    <w:pStyle w:val="17"/>
                    <w:jc w:val="center"/>
                    <w:rPr>
                      <w:color w:val="auto"/>
                    </w:rPr>
                  </w:pPr>
                </w:p>
              </w:tc>
              <w:tc>
                <w:tcPr>
                  <w:tcW w:w="660" w:type="pct"/>
                  <w:vMerge w:val="continue"/>
                  <w:noWrap w:val="0"/>
                  <w:vAlign w:val="center"/>
                </w:tcPr>
                <w:p w14:paraId="08FA5E91">
                  <w:pPr>
                    <w:pStyle w:val="17"/>
                    <w:jc w:val="center"/>
                    <w:rPr>
                      <w:rFonts w:hint="eastAsia"/>
                      <w:color w:val="auto"/>
                      <w:lang w:val="en-US" w:eastAsia="zh-CN"/>
                    </w:rPr>
                  </w:pPr>
                </w:p>
              </w:tc>
              <w:tc>
                <w:tcPr>
                  <w:tcW w:w="719" w:type="pct"/>
                  <w:noWrap w:val="0"/>
                  <w:vAlign w:val="center"/>
                </w:tcPr>
                <w:p w14:paraId="33C6959B">
                  <w:pPr>
                    <w:pStyle w:val="17"/>
                    <w:jc w:val="center"/>
                    <w:rPr>
                      <w:rFonts w:hint="default"/>
                      <w:color w:val="auto"/>
                      <w:lang w:val="en-US" w:eastAsia="zh-CN"/>
                    </w:rPr>
                  </w:pPr>
                  <w:r>
                    <w:rPr>
                      <w:rFonts w:hint="eastAsia"/>
                      <w:color w:val="auto"/>
                      <w:lang w:val="en-US" w:eastAsia="zh-CN"/>
                    </w:rPr>
                    <w:t>初期雨水</w:t>
                  </w:r>
                </w:p>
              </w:tc>
              <w:tc>
                <w:tcPr>
                  <w:tcW w:w="2812" w:type="pct"/>
                  <w:noWrap w:val="0"/>
                  <w:vAlign w:val="center"/>
                </w:tcPr>
                <w:p w14:paraId="61B83386">
                  <w:pPr>
                    <w:pStyle w:val="17"/>
                    <w:bidi w:val="0"/>
                    <w:jc w:val="both"/>
                    <w:rPr>
                      <w:rFonts w:hint="default"/>
                      <w:color w:val="auto"/>
                      <w:lang w:val="en-US" w:eastAsia="zh-CN"/>
                    </w:rPr>
                  </w:pPr>
                  <w:r>
                    <w:rPr>
                      <w:rFonts w:hint="eastAsia"/>
                      <w:color w:val="auto"/>
                      <w:vertAlign w:val="baseline"/>
                      <w:lang w:val="en-US" w:eastAsia="zh-CN"/>
                    </w:rPr>
                    <w:t>厂区初期雨水通过厂区四周已建环形截水沟汇至厂区西面已建200m</w:t>
                  </w:r>
                  <w:r>
                    <w:rPr>
                      <w:rFonts w:hint="eastAsia"/>
                      <w:color w:val="auto"/>
                      <w:vertAlign w:val="superscript"/>
                      <w:lang w:val="en-US" w:eastAsia="zh-CN"/>
                    </w:rPr>
                    <w:t>3</w:t>
                  </w:r>
                  <w:r>
                    <w:rPr>
                      <w:rFonts w:hint="eastAsia"/>
                      <w:color w:val="auto"/>
                      <w:vertAlign w:val="baseline"/>
                      <w:lang w:val="en-US" w:eastAsia="zh-CN"/>
                    </w:rPr>
                    <w:t>初期雨水池沉淀后用于洒水抑尘，不外排</w:t>
                  </w:r>
                </w:p>
              </w:tc>
              <w:tc>
                <w:tcPr>
                  <w:tcW w:w="399" w:type="pct"/>
                  <w:vMerge w:val="continue"/>
                  <w:noWrap w:val="0"/>
                  <w:vAlign w:val="center"/>
                </w:tcPr>
                <w:p w14:paraId="47EECE58">
                  <w:pPr>
                    <w:pStyle w:val="17"/>
                    <w:jc w:val="center"/>
                    <w:rPr>
                      <w:color w:val="auto"/>
                    </w:rPr>
                  </w:pPr>
                </w:p>
              </w:tc>
            </w:tr>
            <w:tr w14:paraId="451DA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trPr>
              <w:tc>
                <w:tcPr>
                  <w:tcW w:w="408" w:type="pct"/>
                  <w:vMerge w:val="continue"/>
                  <w:noWrap w:val="0"/>
                  <w:vAlign w:val="center"/>
                </w:tcPr>
                <w:p w14:paraId="671B9A97">
                  <w:pPr>
                    <w:pStyle w:val="17"/>
                    <w:jc w:val="center"/>
                    <w:rPr>
                      <w:color w:val="auto"/>
                    </w:rPr>
                  </w:pPr>
                </w:p>
              </w:tc>
              <w:tc>
                <w:tcPr>
                  <w:tcW w:w="660" w:type="pct"/>
                  <w:vMerge w:val="continue"/>
                  <w:noWrap w:val="0"/>
                  <w:vAlign w:val="center"/>
                </w:tcPr>
                <w:p w14:paraId="560266B8">
                  <w:pPr>
                    <w:pStyle w:val="17"/>
                    <w:jc w:val="center"/>
                    <w:rPr>
                      <w:rFonts w:hint="eastAsia"/>
                      <w:color w:val="auto"/>
                      <w:lang w:val="en-US" w:eastAsia="zh-CN"/>
                    </w:rPr>
                  </w:pPr>
                </w:p>
              </w:tc>
              <w:tc>
                <w:tcPr>
                  <w:tcW w:w="719" w:type="pct"/>
                  <w:noWrap w:val="0"/>
                  <w:vAlign w:val="center"/>
                </w:tcPr>
                <w:p w14:paraId="131CBFF1">
                  <w:pPr>
                    <w:pStyle w:val="17"/>
                    <w:jc w:val="center"/>
                    <w:rPr>
                      <w:rFonts w:hint="default"/>
                      <w:color w:val="auto"/>
                      <w:lang w:val="en-US" w:eastAsia="zh-CN"/>
                    </w:rPr>
                  </w:pPr>
                  <w:r>
                    <w:rPr>
                      <w:rFonts w:hint="eastAsia"/>
                      <w:color w:val="auto"/>
                      <w:lang w:val="en-US" w:eastAsia="zh-CN"/>
                    </w:rPr>
                    <w:t>生产废水</w:t>
                  </w:r>
                </w:p>
              </w:tc>
              <w:tc>
                <w:tcPr>
                  <w:tcW w:w="2812" w:type="pct"/>
                  <w:noWrap w:val="0"/>
                  <w:vAlign w:val="center"/>
                </w:tcPr>
                <w:p w14:paraId="6924F219">
                  <w:pPr>
                    <w:pStyle w:val="17"/>
                    <w:bidi w:val="0"/>
                    <w:jc w:val="both"/>
                    <w:rPr>
                      <w:rFonts w:hint="default"/>
                      <w:color w:val="auto"/>
                      <w:vertAlign w:val="baseline"/>
                      <w:lang w:val="en-US" w:eastAsia="zh-CN"/>
                    </w:rPr>
                  </w:pPr>
                  <w:r>
                    <w:rPr>
                      <w:rFonts w:hint="eastAsia"/>
                      <w:color w:val="auto"/>
                    </w:rPr>
                    <w:t>堆场抑尘废水</w:t>
                  </w:r>
                  <w:r>
                    <w:rPr>
                      <w:rFonts w:hint="eastAsia"/>
                      <w:color w:val="auto"/>
                      <w:lang w:eastAsia="zh-CN"/>
                    </w:rPr>
                    <w:t>、</w:t>
                  </w:r>
                  <w:r>
                    <w:rPr>
                      <w:rFonts w:hint="eastAsia"/>
                      <w:color w:val="auto"/>
                    </w:rPr>
                    <w:t>洒水降尘废水</w:t>
                  </w:r>
                  <w:r>
                    <w:rPr>
                      <w:rFonts w:hint="eastAsia"/>
                      <w:color w:val="auto"/>
                      <w:lang w:eastAsia="zh-CN"/>
                    </w:rPr>
                    <w:t>、</w:t>
                  </w:r>
                  <w:r>
                    <w:rPr>
                      <w:rFonts w:hint="eastAsia"/>
                      <w:color w:val="auto"/>
                      <w:lang w:val="en-US" w:eastAsia="zh-CN"/>
                    </w:rPr>
                    <w:t>制砖生产废水和水稳砂生产废水全部</w:t>
                  </w:r>
                  <w:r>
                    <w:rPr>
                      <w:rFonts w:hint="eastAsia"/>
                      <w:color w:val="auto"/>
                    </w:rPr>
                    <w:t>蒸发损耗或进入产品，车辆冲洗废水经隔油池、沉淀池处理后回用于车辆冲洗</w:t>
                  </w:r>
                </w:p>
              </w:tc>
              <w:tc>
                <w:tcPr>
                  <w:tcW w:w="399" w:type="pct"/>
                  <w:vMerge w:val="continue"/>
                  <w:noWrap w:val="0"/>
                  <w:vAlign w:val="center"/>
                </w:tcPr>
                <w:p w14:paraId="15A0FA48">
                  <w:pPr>
                    <w:pStyle w:val="17"/>
                    <w:jc w:val="center"/>
                    <w:rPr>
                      <w:color w:val="auto"/>
                    </w:rPr>
                  </w:pPr>
                </w:p>
              </w:tc>
            </w:tr>
            <w:tr w14:paraId="7DB13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trPr>
              <w:tc>
                <w:tcPr>
                  <w:tcW w:w="408" w:type="pct"/>
                  <w:vMerge w:val="continue"/>
                  <w:noWrap w:val="0"/>
                  <w:vAlign w:val="center"/>
                </w:tcPr>
                <w:p w14:paraId="013804A5">
                  <w:pPr>
                    <w:pStyle w:val="17"/>
                    <w:jc w:val="center"/>
                    <w:rPr>
                      <w:color w:val="auto"/>
                    </w:rPr>
                  </w:pPr>
                </w:p>
              </w:tc>
              <w:tc>
                <w:tcPr>
                  <w:tcW w:w="1379" w:type="pct"/>
                  <w:gridSpan w:val="2"/>
                  <w:noWrap w:val="0"/>
                  <w:vAlign w:val="center"/>
                </w:tcPr>
                <w:p w14:paraId="3A8C08C0">
                  <w:pPr>
                    <w:pStyle w:val="17"/>
                    <w:bidi w:val="0"/>
                    <w:jc w:val="center"/>
                    <w:rPr>
                      <w:rFonts w:hint="default"/>
                      <w:color w:val="auto"/>
                      <w:vertAlign w:val="baseline"/>
                      <w:lang w:val="en-US" w:eastAsia="zh-CN"/>
                    </w:rPr>
                  </w:pPr>
                  <w:r>
                    <w:rPr>
                      <w:rFonts w:hint="eastAsia"/>
                      <w:color w:val="auto"/>
                      <w:lang w:val="en-US" w:eastAsia="zh-CN"/>
                    </w:rPr>
                    <w:t>噪声治理</w:t>
                  </w:r>
                </w:p>
              </w:tc>
              <w:tc>
                <w:tcPr>
                  <w:tcW w:w="2812" w:type="pct"/>
                  <w:noWrap w:val="0"/>
                  <w:vAlign w:val="center"/>
                </w:tcPr>
                <w:p w14:paraId="4BB43701">
                  <w:pPr>
                    <w:pStyle w:val="17"/>
                    <w:bidi w:val="0"/>
                    <w:jc w:val="both"/>
                    <w:rPr>
                      <w:rFonts w:hint="eastAsia"/>
                      <w:color w:val="auto"/>
                      <w:vertAlign w:val="baseline"/>
                      <w:lang w:val="en-US" w:eastAsia="zh-CN"/>
                    </w:rPr>
                  </w:pPr>
                  <w:r>
                    <w:rPr>
                      <w:rFonts w:hint="eastAsia"/>
                      <w:color w:val="auto"/>
                      <w:vertAlign w:val="baseline"/>
                      <w:lang w:val="en-US" w:eastAsia="zh-CN"/>
                    </w:rPr>
                    <w:t>选用低噪声设备，并采取隔声、减震等措施</w:t>
                  </w:r>
                </w:p>
              </w:tc>
              <w:tc>
                <w:tcPr>
                  <w:tcW w:w="399" w:type="pct"/>
                  <w:noWrap w:val="0"/>
                  <w:vAlign w:val="center"/>
                </w:tcPr>
                <w:p w14:paraId="3A52DEEF">
                  <w:pPr>
                    <w:pStyle w:val="17"/>
                    <w:jc w:val="center"/>
                    <w:rPr>
                      <w:rFonts w:hint="default" w:eastAsia="宋体"/>
                      <w:color w:val="auto"/>
                      <w:lang w:val="en-US" w:eastAsia="zh-CN"/>
                    </w:rPr>
                  </w:pPr>
                  <w:r>
                    <w:rPr>
                      <w:rFonts w:hint="eastAsia"/>
                      <w:color w:val="auto"/>
                      <w:lang w:val="en-US" w:eastAsia="zh-CN"/>
                    </w:rPr>
                    <w:t>部分新建</w:t>
                  </w:r>
                </w:p>
              </w:tc>
            </w:tr>
            <w:tr w14:paraId="24F90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8" w:type="pct"/>
                  <w:vMerge w:val="continue"/>
                  <w:noWrap w:val="0"/>
                  <w:vAlign w:val="center"/>
                </w:tcPr>
                <w:p w14:paraId="6F85A5E1">
                  <w:pPr>
                    <w:pStyle w:val="17"/>
                    <w:jc w:val="center"/>
                    <w:rPr>
                      <w:color w:val="auto"/>
                    </w:rPr>
                  </w:pPr>
                </w:p>
              </w:tc>
              <w:tc>
                <w:tcPr>
                  <w:tcW w:w="660" w:type="pct"/>
                  <w:vMerge w:val="restart"/>
                  <w:noWrap w:val="0"/>
                  <w:vAlign w:val="center"/>
                </w:tcPr>
                <w:p w14:paraId="4AA780E1">
                  <w:pPr>
                    <w:pStyle w:val="17"/>
                    <w:jc w:val="center"/>
                    <w:rPr>
                      <w:rFonts w:hint="default"/>
                      <w:color w:val="auto"/>
                      <w:lang w:val="en-US" w:eastAsia="zh-CN"/>
                    </w:rPr>
                  </w:pPr>
                  <w:r>
                    <w:rPr>
                      <w:rFonts w:hint="eastAsia"/>
                      <w:color w:val="auto"/>
                      <w:lang w:val="en-US" w:eastAsia="zh-CN"/>
                    </w:rPr>
                    <w:t>固废处置</w:t>
                  </w:r>
                </w:p>
              </w:tc>
              <w:tc>
                <w:tcPr>
                  <w:tcW w:w="719" w:type="pct"/>
                  <w:noWrap w:val="0"/>
                  <w:vAlign w:val="center"/>
                </w:tcPr>
                <w:p w14:paraId="7298F848">
                  <w:pPr>
                    <w:pStyle w:val="17"/>
                    <w:bidi w:val="0"/>
                    <w:jc w:val="center"/>
                    <w:rPr>
                      <w:rFonts w:hint="default"/>
                      <w:color w:val="auto"/>
                      <w:vertAlign w:val="baseline"/>
                      <w:lang w:val="en-US" w:eastAsia="zh-CN"/>
                    </w:rPr>
                  </w:pPr>
                  <w:r>
                    <w:rPr>
                      <w:rFonts w:hint="eastAsia"/>
                      <w:color w:val="auto"/>
                      <w:vertAlign w:val="baseline"/>
                      <w:lang w:val="en-US" w:eastAsia="zh-CN"/>
                    </w:rPr>
                    <w:t>生活垃圾</w:t>
                  </w:r>
                </w:p>
              </w:tc>
              <w:tc>
                <w:tcPr>
                  <w:tcW w:w="2812" w:type="pct"/>
                  <w:noWrap w:val="0"/>
                  <w:vAlign w:val="center"/>
                </w:tcPr>
                <w:p w14:paraId="78036980">
                  <w:pPr>
                    <w:pStyle w:val="17"/>
                    <w:bidi w:val="0"/>
                    <w:jc w:val="both"/>
                    <w:rPr>
                      <w:rFonts w:hint="default"/>
                      <w:color w:val="auto"/>
                      <w:vertAlign w:val="baseline"/>
                      <w:lang w:eastAsia="zh-CN"/>
                    </w:rPr>
                  </w:pPr>
                  <w:r>
                    <w:rPr>
                      <w:rFonts w:hint="default"/>
                      <w:color w:val="auto"/>
                      <w:vertAlign w:val="baseline"/>
                      <w:lang w:eastAsia="zh-CN"/>
                    </w:rPr>
                    <w:t>厂区内设置若干垃圾桶，交由当地环卫部门定期清运处置</w:t>
                  </w:r>
                </w:p>
              </w:tc>
              <w:tc>
                <w:tcPr>
                  <w:tcW w:w="399" w:type="pct"/>
                  <w:vMerge w:val="restart"/>
                  <w:noWrap w:val="0"/>
                  <w:vAlign w:val="center"/>
                </w:tcPr>
                <w:p w14:paraId="58485F38">
                  <w:pPr>
                    <w:pStyle w:val="17"/>
                    <w:jc w:val="center"/>
                    <w:rPr>
                      <w:rFonts w:hint="default"/>
                      <w:color w:val="auto"/>
                      <w:lang w:val="en-US" w:eastAsia="zh-CN"/>
                    </w:rPr>
                  </w:pPr>
                  <w:r>
                    <w:rPr>
                      <w:rFonts w:hint="eastAsia"/>
                      <w:color w:val="auto"/>
                      <w:lang w:val="en-US" w:eastAsia="zh-CN"/>
                    </w:rPr>
                    <w:t>依托</w:t>
                  </w:r>
                </w:p>
              </w:tc>
            </w:tr>
            <w:tr w14:paraId="62838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8" w:type="pct"/>
                  <w:vMerge w:val="continue"/>
                  <w:noWrap w:val="0"/>
                  <w:vAlign w:val="center"/>
                </w:tcPr>
                <w:p w14:paraId="7521C8E5">
                  <w:pPr>
                    <w:pStyle w:val="17"/>
                    <w:bidi w:val="0"/>
                    <w:jc w:val="both"/>
                    <w:rPr>
                      <w:color w:val="auto"/>
                    </w:rPr>
                  </w:pPr>
                </w:p>
              </w:tc>
              <w:tc>
                <w:tcPr>
                  <w:tcW w:w="660" w:type="pct"/>
                  <w:vMerge w:val="continue"/>
                  <w:noWrap w:val="0"/>
                  <w:vAlign w:val="center"/>
                </w:tcPr>
                <w:p w14:paraId="504A8D38">
                  <w:pPr>
                    <w:pStyle w:val="17"/>
                    <w:bidi w:val="0"/>
                    <w:jc w:val="both"/>
                    <w:rPr>
                      <w:color w:val="auto"/>
                    </w:rPr>
                  </w:pPr>
                </w:p>
              </w:tc>
              <w:tc>
                <w:tcPr>
                  <w:tcW w:w="719" w:type="pct"/>
                  <w:noWrap w:val="0"/>
                  <w:vAlign w:val="center"/>
                </w:tcPr>
                <w:p w14:paraId="65B5DF9C">
                  <w:pPr>
                    <w:pStyle w:val="17"/>
                    <w:bidi w:val="0"/>
                    <w:jc w:val="center"/>
                    <w:rPr>
                      <w:rFonts w:hint="eastAsia" w:eastAsia="宋体"/>
                      <w:color w:val="auto"/>
                      <w:lang w:val="en-US" w:eastAsia="zh-CN"/>
                    </w:rPr>
                  </w:pPr>
                  <w:r>
                    <w:rPr>
                      <w:rFonts w:hint="eastAsia"/>
                      <w:color w:val="auto"/>
                      <w:lang w:val="en-US" w:eastAsia="zh-CN"/>
                    </w:rPr>
                    <w:t>一般固废</w:t>
                  </w:r>
                </w:p>
              </w:tc>
              <w:tc>
                <w:tcPr>
                  <w:tcW w:w="2812" w:type="pct"/>
                  <w:noWrap w:val="0"/>
                  <w:vAlign w:val="center"/>
                </w:tcPr>
                <w:p w14:paraId="42AE0BCE">
                  <w:pPr>
                    <w:pStyle w:val="17"/>
                    <w:bidi w:val="0"/>
                    <w:jc w:val="both"/>
                    <w:rPr>
                      <w:rFonts w:hint="default"/>
                      <w:color w:val="auto"/>
                    </w:rPr>
                  </w:pPr>
                  <w:r>
                    <w:rPr>
                      <w:color w:val="auto"/>
                    </w:rPr>
                    <w:t>布袋除尘器粉尘</w:t>
                  </w:r>
                  <w:r>
                    <w:rPr>
                      <w:rFonts w:hint="eastAsia"/>
                      <w:color w:val="auto"/>
                      <w:lang w:val="en-US" w:eastAsia="zh-CN"/>
                    </w:rPr>
                    <w:t>以及建筑垃圾、装修垃圾和一般工业固体废物中的钢筋、木块、废塑料等统一收集后</w:t>
                  </w:r>
                  <w:r>
                    <w:rPr>
                      <w:color w:val="auto"/>
                    </w:rPr>
                    <w:t>定期外售综合利用；初期雨水池沉渣回用于制砖</w:t>
                  </w:r>
                </w:p>
              </w:tc>
              <w:tc>
                <w:tcPr>
                  <w:tcW w:w="399" w:type="pct"/>
                  <w:vMerge w:val="continue"/>
                  <w:noWrap w:val="0"/>
                  <w:vAlign w:val="center"/>
                </w:tcPr>
                <w:p w14:paraId="130E4CD4">
                  <w:pPr>
                    <w:pStyle w:val="17"/>
                    <w:bidi w:val="0"/>
                    <w:jc w:val="both"/>
                    <w:rPr>
                      <w:color w:val="auto"/>
                    </w:rPr>
                  </w:pPr>
                </w:p>
              </w:tc>
            </w:tr>
            <w:tr w14:paraId="00F34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8" w:type="pct"/>
                  <w:vMerge w:val="continue"/>
                  <w:noWrap w:val="0"/>
                  <w:vAlign w:val="center"/>
                </w:tcPr>
                <w:p w14:paraId="00FC3B36">
                  <w:pPr>
                    <w:pStyle w:val="17"/>
                    <w:bidi w:val="0"/>
                    <w:jc w:val="both"/>
                    <w:rPr>
                      <w:color w:val="auto"/>
                    </w:rPr>
                  </w:pPr>
                </w:p>
              </w:tc>
              <w:tc>
                <w:tcPr>
                  <w:tcW w:w="660" w:type="pct"/>
                  <w:vMerge w:val="continue"/>
                  <w:noWrap w:val="0"/>
                  <w:vAlign w:val="center"/>
                </w:tcPr>
                <w:p w14:paraId="71105A4E">
                  <w:pPr>
                    <w:pStyle w:val="17"/>
                    <w:bidi w:val="0"/>
                    <w:jc w:val="both"/>
                    <w:rPr>
                      <w:color w:val="auto"/>
                    </w:rPr>
                  </w:pPr>
                </w:p>
              </w:tc>
              <w:tc>
                <w:tcPr>
                  <w:tcW w:w="719" w:type="pct"/>
                  <w:noWrap w:val="0"/>
                  <w:vAlign w:val="center"/>
                </w:tcPr>
                <w:p w14:paraId="435BB4F7">
                  <w:pPr>
                    <w:pStyle w:val="17"/>
                    <w:bidi w:val="0"/>
                    <w:jc w:val="center"/>
                    <w:rPr>
                      <w:rFonts w:hint="eastAsia" w:eastAsia="宋体"/>
                      <w:color w:val="auto"/>
                      <w:lang w:val="en-US" w:eastAsia="zh-CN"/>
                    </w:rPr>
                  </w:pPr>
                  <w:r>
                    <w:rPr>
                      <w:rFonts w:hint="eastAsia"/>
                      <w:color w:val="auto"/>
                      <w:lang w:val="en-US" w:eastAsia="zh-CN"/>
                    </w:rPr>
                    <w:t>危险废物</w:t>
                  </w:r>
                </w:p>
              </w:tc>
              <w:tc>
                <w:tcPr>
                  <w:tcW w:w="2812" w:type="pct"/>
                  <w:noWrap w:val="0"/>
                  <w:vAlign w:val="center"/>
                </w:tcPr>
                <w:p w14:paraId="5215B846">
                  <w:pPr>
                    <w:pStyle w:val="17"/>
                    <w:bidi w:val="0"/>
                    <w:jc w:val="both"/>
                    <w:rPr>
                      <w:rFonts w:hint="default" w:eastAsia="宋体"/>
                      <w:color w:val="auto"/>
                      <w:lang w:val="en-US" w:eastAsia="zh-CN"/>
                    </w:rPr>
                  </w:pPr>
                  <w:r>
                    <w:rPr>
                      <w:rFonts w:hint="eastAsia"/>
                      <w:color w:val="auto"/>
                      <w:lang w:val="en-US" w:eastAsia="zh-CN"/>
                    </w:rPr>
                    <w:t>隔油渣、废机油及油桶交由有资质单位外委处置</w:t>
                  </w:r>
                </w:p>
              </w:tc>
              <w:tc>
                <w:tcPr>
                  <w:tcW w:w="399" w:type="pct"/>
                  <w:vMerge w:val="continue"/>
                  <w:noWrap w:val="0"/>
                  <w:vAlign w:val="center"/>
                </w:tcPr>
                <w:p w14:paraId="5F2FAE10">
                  <w:pPr>
                    <w:pStyle w:val="17"/>
                    <w:bidi w:val="0"/>
                    <w:jc w:val="both"/>
                    <w:rPr>
                      <w:color w:val="auto"/>
                    </w:rPr>
                  </w:pPr>
                </w:p>
              </w:tc>
            </w:tr>
          </w:tbl>
          <w:p w14:paraId="5851A0C2">
            <w:pPr>
              <w:pStyle w:val="4"/>
              <w:bidi w:val="0"/>
              <w:rPr>
                <w:rFonts w:hint="eastAsia"/>
                <w:color w:val="auto"/>
                <w:lang w:val="en-US" w:eastAsia="zh-CN"/>
              </w:rPr>
            </w:pPr>
            <w:bookmarkStart w:id="107" w:name="_Toc3123"/>
            <w:bookmarkStart w:id="108" w:name="_Toc13625"/>
            <w:bookmarkStart w:id="109" w:name="_Toc12111"/>
            <w:bookmarkStart w:id="110" w:name="_Toc25214"/>
            <w:bookmarkStart w:id="111" w:name="_Toc4190"/>
            <w:r>
              <w:rPr>
                <w:rFonts w:hint="eastAsia"/>
                <w:color w:val="auto"/>
                <w:lang w:val="en-US" w:eastAsia="zh-CN"/>
              </w:rPr>
              <w:t>4、项目依托工程可行性</w:t>
            </w:r>
            <w:bookmarkEnd w:id="107"/>
            <w:bookmarkEnd w:id="108"/>
            <w:bookmarkEnd w:id="109"/>
            <w:bookmarkEnd w:id="110"/>
            <w:bookmarkEnd w:id="111"/>
          </w:p>
          <w:p w14:paraId="57C26F81">
            <w:pPr>
              <w:pStyle w:val="5"/>
              <w:bidi w:val="0"/>
              <w:rPr>
                <w:rFonts w:hint="eastAsia"/>
                <w:color w:val="auto"/>
                <w:lang w:val="en-US" w:eastAsia="zh-CN"/>
              </w:rPr>
            </w:pPr>
            <w:bookmarkStart w:id="112" w:name="_Toc4835"/>
            <w:bookmarkStart w:id="113" w:name="_Toc23534"/>
            <w:bookmarkStart w:id="114" w:name="_Toc205"/>
            <w:bookmarkStart w:id="115" w:name="_Toc2482"/>
            <w:bookmarkStart w:id="116" w:name="_Toc21515"/>
            <w:r>
              <w:rPr>
                <w:rFonts w:hint="eastAsia"/>
                <w:color w:val="auto"/>
                <w:lang w:val="en-US" w:eastAsia="zh-CN"/>
              </w:rPr>
              <w:t>4.1 给水</w:t>
            </w:r>
            <w:bookmarkEnd w:id="112"/>
            <w:bookmarkEnd w:id="113"/>
            <w:bookmarkEnd w:id="114"/>
            <w:bookmarkEnd w:id="115"/>
            <w:bookmarkEnd w:id="116"/>
          </w:p>
          <w:p w14:paraId="4E8E7EB6">
            <w:pPr>
              <w:rPr>
                <w:rFonts w:hint="default"/>
                <w:color w:val="auto"/>
                <w:lang w:val="en-US" w:eastAsia="zh-CN"/>
              </w:rPr>
            </w:pPr>
            <w:r>
              <w:rPr>
                <w:rFonts w:hint="eastAsia"/>
                <w:color w:val="auto"/>
                <w:lang w:val="en-US" w:eastAsia="zh-CN"/>
              </w:rPr>
              <w:t>项目厂区北面已建设1间配电房/水泵房，现有工程验收时用水量为14824m</w:t>
            </w:r>
            <w:r>
              <w:rPr>
                <w:rFonts w:hint="eastAsia"/>
                <w:color w:val="auto"/>
                <w:vertAlign w:val="superscript"/>
                <w:lang w:val="en-US" w:eastAsia="zh-CN"/>
              </w:rPr>
              <w:t>3</w:t>
            </w:r>
            <w:r>
              <w:rPr>
                <w:rFonts w:hint="eastAsia"/>
                <w:color w:val="auto"/>
                <w:lang w:val="en-US" w:eastAsia="zh-CN"/>
              </w:rPr>
              <w:t>/a，本项目建成后取消筛分后粗骨料的清洗与水洗工序，新增制砖生产用水、水稳砂生产用水，改建完成后全厂年用水量约为19956.336m</w:t>
            </w:r>
            <w:r>
              <w:rPr>
                <w:rFonts w:hint="eastAsia"/>
                <w:color w:val="auto"/>
                <w:vertAlign w:val="superscript"/>
                <w:lang w:val="en-US" w:eastAsia="zh-CN"/>
              </w:rPr>
              <w:t>3</w:t>
            </w:r>
            <w:r>
              <w:rPr>
                <w:rFonts w:hint="eastAsia"/>
                <w:color w:val="auto"/>
                <w:lang w:val="en-US" w:eastAsia="zh-CN"/>
              </w:rPr>
              <w:t>/a，根据建设单位提供资料，项目依托现有工程供水方案是可行的。</w:t>
            </w:r>
          </w:p>
          <w:p w14:paraId="223F69A6">
            <w:pPr>
              <w:pStyle w:val="5"/>
              <w:bidi w:val="0"/>
              <w:rPr>
                <w:rFonts w:hint="eastAsia"/>
                <w:color w:val="auto"/>
                <w:lang w:val="en-US" w:eastAsia="zh-CN"/>
              </w:rPr>
            </w:pPr>
            <w:bookmarkStart w:id="117" w:name="_Toc18552"/>
            <w:bookmarkStart w:id="118" w:name="_Toc18327"/>
            <w:bookmarkStart w:id="119" w:name="_Toc9870"/>
            <w:bookmarkStart w:id="120" w:name="_Toc28394"/>
            <w:bookmarkStart w:id="121" w:name="_Toc31115"/>
            <w:r>
              <w:rPr>
                <w:rFonts w:hint="eastAsia"/>
                <w:color w:val="auto"/>
                <w:lang w:val="en-US" w:eastAsia="zh-CN"/>
              </w:rPr>
              <w:t>4.2 排水</w:t>
            </w:r>
            <w:bookmarkEnd w:id="117"/>
            <w:bookmarkEnd w:id="118"/>
            <w:bookmarkEnd w:id="119"/>
            <w:bookmarkEnd w:id="120"/>
            <w:bookmarkEnd w:id="121"/>
          </w:p>
          <w:p w14:paraId="54C9C3E9">
            <w:pPr>
              <w:rPr>
                <w:rFonts w:hint="eastAsia"/>
                <w:color w:val="auto"/>
                <w:lang w:val="en-US" w:eastAsia="zh-CN"/>
              </w:rPr>
            </w:pPr>
            <w:r>
              <w:rPr>
                <w:rFonts w:hint="eastAsia"/>
                <w:color w:val="auto"/>
                <w:lang w:val="en-US" w:eastAsia="zh-CN"/>
              </w:rPr>
              <w:t>本项目排水已采取雨污分流制。初期雨水经初期雨水池沉淀后用于生产，不外排；</w:t>
            </w:r>
            <w:r>
              <w:rPr>
                <w:rFonts w:hint="eastAsia"/>
                <w:color w:val="auto"/>
              </w:rPr>
              <w:t>堆场抑尘废水</w:t>
            </w:r>
            <w:r>
              <w:rPr>
                <w:rFonts w:hint="eastAsia"/>
                <w:color w:val="auto"/>
                <w:lang w:eastAsia="zh-CN"/>
              </w:rPr>
              <w:t>、</w:t>
            </w:r>
            <w:r>
              <w:rPr>
                <w:rFonts w:hint="eastAsia"/>
                <w:color w:val="auto"/>
              </w:rPr>
              <w:t>洒水降尘废水</w:t>
            </w:r>
            <w:r>
              <w:rPr>
                <w:rFonts w:hint="eastAsia"/>
                <w:color w:val="auto"/>
                <w:lang w:eastAsia="zh-CN"/>
              </w:rPr>
              <w:t>、</w:t>
            </w:r>
            <w:r>
              <w:rPr>
                <w:rFonts w:hint="eastAsia"/>
                <w:color w:val="auto"/>
                <w:lang w:val="en-US" w:eastAsia="zh-CN"/>
              </w:rPr>
              <w:t>制砖生产废水和水稳砂生产废水全部</w:t>
            </w:r>
            <w:r>
              <w:rPr>
                <w:rFonts w:hint="eastAsia"/>
                <w:color w:val="auto"/>
              </w:rPr>
              <w:t>蒸发损耗或进入产品，车辆冲洗废水经隔油池、沉淀池处理后回用于车辆冲洗</w:t>
            </w:r>
            <w:r>
              <w:rPr>
                <w:rFonts w:hint="eastAsia"/>
                <w:color w:val="auto"/>
                <w:lang w:val="en-US" w:eastAsia="zh-CN"/>
              </w:rPr>
              <w:t>；员工生活污水经化粪池熟化后用作农肥，不外排，通过现场踏勘，项目周边存在大量农田，因此生活污水经化粪池处理后用农肥消纳是可行的。项目依托现有工程排水方案是可行的。</w:t>
            </w:r>
          </w:p>
          <w:p w14:paraId="677CB71B">
            <w:pPr>
              <w:pStyle w:val="5"/>
              <w:bidi w:val="0"/>
              <w:rPr>
                <w:rFonts w:hint="eastAsia"/>
                <w:color w:val="auto"/>
                <w:lang w:val="en-US" w:eastAsia="zh-CN"/>
              </w:rPr>
            </w:pPr>
            <w:bookmarkStart w:id="122" w:name="_Toc19070"/>
            <w:bookmarkStart w:id="123" w:name="_Toc20638"/>
            <w:bookmarkStart w:id="124" w:name="_Toc9423"/>
            <w:bookmarkStart w:id="125" w:name="_Toc14165"/>
            <w:bookmarkStart w:id="126" w:name="_Toc18198"/>
            <w:r>
              <w:rPr>
                <w:rFonts w:hint="eastAsia"/>
                <w:color w:val="auto"/>
                <w:lang w:val="en-US" w:eastAsia="zh-CN"/>
              </w:rPr>
              <w:t>4.3 供电</w:t>
            </w:r>
            <w:bookmarkEnd w:id="122"/>
            <w:bookmarkEnd w:id="123"/>
            <w:bookmarkEnd w:id="124"/>
            <w:bookmarkEnd w:id="125"/>
            <w:bookmarkEnd w:id="126"/>
          </w:p>
          <w:p w14:paraId="69356286">
            <w:pPr>
              <w:bidi w:val="0"/>
              <w:rPr>
                <w:rFonts w:hint="eastAsia"/>
                <w:color w:val="auto"/>
                <w:lang w:val="en-US" w:eastAsia="zh-CN"/>
              </w:rPr>
            </w:pPr>
            <w:r>
              <w:rPr>
                <w:rFonts w:hint="default"/>
                <w:color w:val="auto"/>
                <w:lang w:val="en-US" w:eastAsia="zh-CN"/>
              </w:rPr>
              <w:t>本工程电源取自区域供电管网，场内供电通过外接电源接入厂内配电房内变压器直接转换。项目用电量基本为生产及照明用电。</w:t>
            </w:r>
            <w:r>
              <w:rPr>
                <w:rFonts w:hint="eastAsia"/>
                <w:color w:val="auto"/>
                <w:lang w:val="en-US" w:eastAsia="zh-CN"/>
              </w:rPr>
              <w:t>项目依托已有供电方案可行。</w:t>
            </w:r>
          </w:p>
          <w:p w14:paraId="6E74E67A">
            <w:pPr>
              <w:pStyle w:val="5"/>
              <w:bidi w:val="0"/>
              <w:rPr>
                <w:rFonts w:hint="eastAsia"/>
                <w:color w:val="auto"/>
                <w:lang w:val="en-US" w:eastAsia="zh-CN"/>
              </w:rPr>
            </w:pPr>
            <w:bookmarkStart w:id="127" w:name="_Toc23784"/>
            <w:bookmarkStart w:id="128" w:name="_Toc27639"/>
            <w:bookmarkStart w:id="129" w:name="_Toc7098"/>
            <w:bookmarkStart w:id="130" w:name="_Toc3463"/>
            <w:bookmarkStart w:id="131" w:name="_Toc11483"/>
            <w:r>
              <w:rPr>
                <w:rFonts w:hint="eastAsia"/>
                <w:color w:val="auto"/>
                <w:lang w:val="en-US" w:eastAsia="zh-CN"/>
              </w:rPr>
              <w:t>4.4 主体工程</w:t>
            </w:r>
            <w:bookmarkEnd w:id="127"/>
            <w:bookmarkEnd w:id="128"/>
            <w:bookmarkEnd w:id="129"/>
            <w:bookmarkEnd w:id="130"/>
            <w:bookmarkEnd w:id="131"/>
          </w:p>
          <w:p w14:paraId="01B33040">
            <w:pPr>
              <w:rPr>
                <w:rFonts w:hint="eastAsia"/>
                <w:color w:val="auto"/>
                <w:lang w:val="en-US" w:eastAsia="zh-CN"/>
              </w:rPr>
            </w:pPr>
            <w:r>
              <w:rPr>
                <w:rFonts w:hint="eastAsia"/>
                <w:color w:val="auto"/>
                <w:lang w:val="en-US" w:eastAsia="zh-CN"/>
              </w:rPr>
              <w:t>本次改建完成后，生产厂房1#由年处理24万吨建筑垃圾调整为年处理24万吨建筑垃圾、装修垃圾和一般工业固体废物，根据建设单位提供资料，现有工程设备最大产能及处理能力可以满足改建后生产需求。项目依托现有工程生产厂房1#是可行的。</w:t>
            </w:r>
          </w:p>
          <w:p w14:paraId="5B53AA80">
            <w:pPr>
              <w:pStyle w:val="5"/>
              <w:bidi w:val="0"/>
              <w:rPr>
                <w:rFonts w:hint="eastAsia"/>
                <w:color w:val="auto"/>
                <w:lang w:val="en-US" w:eastAsia="zh-CN"/>
              </w:rPr>
            </w:pPr>
            <w:bookmarkStart w:id="132" w:name="_Toc26433"/>
            <w:bookmarkStart w:id="133" w:name="_Toc11407"/>
            <w:bookmarkStart w:id="134" w:name="_Toc24728"/>
            <w:bookmarkStart w:id="135" w:name="_Toc8125"/>
            <w:bookmarkStart w:id="136" w:name="_Toc31372"/>
            <w:r>
              <w:rPr>
                <w:rFonts w:hint="eastAsia"/>
                <w:color w:val="auto"/>
                <w:lang w:val="en-US" w:eastAsia="zh-CN"/>
              </w:rPr>
              <w:t>4.5 辅助工程</w:t>
            </w:r>
            <w:bookmarkEnd w:id="132"/>
            <w:bookmarkEnd w:id="133"/>
            <w:bookmarkEnd w:id="134"/>
            <w:bookmarkEnd w:id="135"/>
            <w:bookmarkEnd w:id="136"/>
          </w:p>
          <w:p w14:paraId="392A2AAB">
            <w:pPr>
              <w:rPr>
                <w:rFonts w:hint="default"/>
                <w:color w:val="auto"/>
                <w:lang w:val="en-US" w:eastAsia="zh-CN"/>
              </w:rPr>
            </w:pPr>
            <w:r>
              <w:rPr>
                <w:rFonts w:hint="eastAsia"/>
                <w:color w:val="auto"/>
                <w:lang w:val="en-US" w:eastAsia="zh-CN"/>
              </w:rPr>
              <w:t>本项目改建完成后劳动定员由8人（现有工程环评只申报了生产人员）增加至45人（包括生产人员和管理人员，其中生产人员12人），现有工程办公区可以满足项目办公需求；现有项目配电房/水泵房可以满足项目用电量与用水量。项目依托现有辅助工程是可行的。</w:t>
            </w:r>
          </w:p>
          <w:p w14:paraId="7CA43DBB">
            <w:pPr>
              <w:pStyle w:val="5"/>
              <w:bidi w:val="0"/>
              <w:rPr>
                <w:rFonts w:hint="eastAsia"/>
                <w:color w:val="auto"/>
                <w:lang w:val="en-US" w:eastAsia="zh-CN"/>
              </w:rPr>
            </w:pPr>
            <w:bookmarkStart w:id="137" w:name="_Toc21770"/>
            <w:bookmarkStart w:id="138" w:name="_Toc11189"/>
            <w:bookmarkStart w:id="139" w:name="_Toc13561"/>
            <w:bookmarkStart w:id="140" w:name="_Toc8532"/>
            <w:bookmarkStart w:id="141" w:name="_Toc3265"/>
            <w:r>
              <w:rPr>
                <w:rFonts w:hint="eastAsia"/>
                <w:color w:val="auto"/>
                <w:lang w:val="en-US" w:eastAsia="zh-CN"/>
              </w:rPr>
              <w:t>4.6 储运工程</w:t>
            </w:r>
            <w:bookmarkEnd w:id="137"/>
            <w:bookmarkEnd w:id="138"/>
            <w:bookmarkEnd w:id="139"/>
            <w:bookmarkEnd w:id="140"/>
            <w:bookmarkEnd w:id="141"/>
          </w:p>
          <w:p w14:paraId="17349CE2">
            <w:pPr>
              <w:keepNext w:val="0"/>
              <w:keepLines w:val="0"/>
              <w:pageBreakBefore w:val="0"/>
              <w:widowControl w:val="0"/>
              <w:kinsoku/>
              <w:wordWrap w:val="0"/>
              <w:overflowPunct/>
              <w:topLinePunct w:val="0"/>
              <w:autoSpaceDE/>
              <w:autoSpaceDN/>
              <w:bidi w:val="0"/>
              <w:adjustRightInd w:val="0"/>
              <w:snapToGrid w:val="0"/>
              <w:textAlignment w:val="auto"/>
              <w:rPr>
                <w:rFonts w:hint="default"/>
                <w:color w:val="auto"/>
                <w:lang w:val="en-US" w:eastAsia="zh-CN"/>
              </w:rPr>
            </w:pPr>
            <w:r>
              <w:rPr>
                <w:rFonts w:hint="eastAsia"/>
                <w:color w:val="auto"/>
                <w:lang w:val="en-US" w:eastAsia="zh-CN"/>
              </w:rPr>
              <w:t>本项目改建完成后原料和产品的最大暂存量与现有工程基本持平，现有堆场能基本满足原料和产品堆放需求。根据建设项目提供资料，产品堆存用于堆存粉料、细骨料、粗骨料、砖和水稳砂，最大暂存量分别为：粉料100t、细骨料200t、粗骨料200t、砖400t、水稳砂700t，平均密度为</w:t>
            </w:r>
            <w:r>
              <w:rPr>
                <w:rFonts w:hint="eastAsia"/>
                <w:color w:val="auto"/>
                <w:vertAlign w:val="baseline"/>
                <w:lang w:val="en-US" w:eastAsia="zh-CN"/>
              </w:rPr>
              <w:t>2500kg/m</w:t>
            </w:r>
            <w:r>
              <w:rPr>
                <w:rFonts w:hint="eastAsia"/>
                <w:color w:val="auto"/>
                <w:vertAlign w:val="superscript"/>
                <w:lang w:val="en-US" w:eastAsia="zh-CN"/>
              </w:rPr>
              <w:t>3</w:t>
            </w:r>
            <w:r>
              <w:rPr>
                <w:rFonts w:hint="eastAsia"/>
                <w:color w:val="auto"/>
                <w:vertAlign w:val="baseline"/>
                <w:lang w:val="en-US" w:eastAsia="zh-CN"/>
              </w:rPr>
              <w:t>，</w:t>
            </w:r>
            <w:r>
              <w:rPr>
                <w:rFonts w:hint="eastAsia"/>
                <w:color w:val="auto"/>
                <w:lang w:val="en-US" w:eastAsia="zh-CN"/>
              </w:rPr>
              <w:t>堆置高度均不超过2m。原滤饼堆放区占地60m</w:t>
            </w:r>
            <w:r>
              <w:rPr>
                <w:rFonts w:hint="eastAsia"/>
                <w:color w:val="auto"/>
                <w:vertAlign w:val="superscript"/>
                <w:lang w:val="en-US" w:eastAsia="zh-CN"/>
              </w:rPr>
              <w:t>2</w:t>
            </w:r>
            <w:r>
              <w:rPr>
                <w:rFonts w:hint="eastAsia"/>
                <w:color w:val="auto"/>
                <w:lang w:val="en-US" w:eastAsia="zh-CN"/>
              </w:rPr>
              <w:t>，则最大堆置体积参考圆锥体体积公式，约为V=1/3</w:t>
            </w:r>
            <w:r>
              <w:rPr>
                <w:rFonts w:hint="default" w:ascii="Times New Roman" w:hAnsi="Times New Roman" w:cs="Times New Roman"/>
                <w:color w:val="auto"/>
                <w:lang w:val="en-US" w:eastAsia="zh-CN"/>
              </w:rPr>
              <w:t>×60m</w:t>
            </w:r>
            <w:r>
              <w:rPr>
                <w:rFonts w:hint="default" w:ascii="Times New Roman" w:hAnsi="Times New Roman" w:cs="Times New Roman"/>
                <w:color w:val="auto"/>
                <w:vertAlign w:val="superscript"/>
                <w:lang w:val="en-US" w:eastAsia="zh-CN"/>
              </w:rPr>
              <w:t>2</w:t>
            </w:r>
            <w:r>
              <w:rPr>
                <w:rFonts w:hint="default" w:ascii="Times New Roman" w:hAnsi="Times New Roman" w:cs="Times New Roman"/>
                <w:color w:val="auto"/>
                <w:lang w:val="en-US" w:eastAsia="zh-CN"/>
              </w:rPr>
              <w:t>×</w:t>
            </w:r>
            <w:r>
              <w:rPr>
                <w:rFonts w:hint="eastAsia"/>
                <w:color w:val="auto"/>
                <w:lang w:val="en-US" w:eastAsia="zh-CN"/>
              </w:rPr>
              <w:t>2m=40m</w:t>
            </w:r>
            <w:r>
              <w:rPr>
                <w:rFonts w:hint="eastAsia"/>
                <w:color w:val="auto"/>
                <w:vertAlign w:val="superscript"/>
                <w:lang w:val="en-US" w:eastAsia="zh-CN"/>
              </w:rPr>
              <w:t>3</w:t>
            </w:r>
            <w:r>
              <w:rPr>
                <w:rFonts w:hint="eastAsia"/>
                <w:color w:val="auto"/>
                <w:vertAlign w:val="baseline"/>
                <w:lang w:val="en-US" w:eastAsia="zh-CN"/>
              </w:rPr>
              <w:t>，则最大堆置质量约为100t，因此粉料产品依托原滤饼堆放区是可行的</w:t>
            </w:r>
            <w:r>
              <w:rPr>
                <w:rFonts w:hint="eastAsia"/>
                <w:color w:val="auto"/>
                <w:lang w:val="en-US" w:eastAsia="zh-CN"/>
              </w:rPr>
              <w:t>。其余</w:t>
            </w:r>
            <w:r>
              <w:rPr>
                <w:rFonts w:hint="eastAsia" w:ascii="Times New Roman" w:hAnsi="Times New Roman" w:cs="Times New Roman"/>
                <w:color w:val="auto"/>
                <w:vertAlign w:val="baseline"/>
                <w:lang w:val="en-US" w:eastAsia="zh-CN"/>
              </w:rPr>
              <w:t>产品堆存所需面积分别为：细骨料：S=3</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200</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10</w:t>
            </w:r>
            <w:r>
              <w:rPr>
                <w:rFonts w:hint="eastAsia" w:ascii="Times New Roman" w:hAnsi="Times New Roman" w:cs="Times New Roman"/>
                <w:color w:val="auto"/>
                <w:vertAlign w:val="superscript"/>
                <w:lang w:val="en-US" w:eastAsia="zh-CN"/>
              </w:rPr>
              <w:t>3</w:t>
            </w:r>
            <w:r>
              <w:rPr>
                <w:rFonts w:hint="eastAsia" w:ascii="Times New Roman" w:hAnsi="Times New Roman" w:cs="Times New Roman"/>
                <w:color w:val="auto"/>
                <w:lang w:val="en-US" w:eastAsia="zh-CN"/>
              </w:rPr>
              <w:t>kg</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2500kg/m</w:t>
            </w:r>
            <w:r>
              <w:rPr>
                <w:rFonts w:hint="eastAsia" w:ascii="Times New Roman" w:hAnsi="Times New Roman" w:cs="Times New Roman"/>
                <w:color w:val="auto"/>
                <w:vertAlign w:val="superscript"/>
                <w:lang w:val="en-US" w:eastAsia="zh-CN"/>
              </w:rPr>
              <w:t>3</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2m=120m</w:t>
            </w:r>
            <w:r>
              <w:rPr>
                <w:rFonts w:hint="eastAsia" w:ascii="Times New Roman" w:hAnsi="Times New Roman" w:cs="Times New Roman"/>
                <w:color w:val="auto"/>
                <w:vertAlign w:val="superscript"/>
                <w:lang w:val="en-US" w:eastAsia="zh-CN"/>
              </w:rPr>
              <w:t>2</w:t>
            </w:r>
            <w:r>
              <w:rPr>
                <w:rFonts w:hint="eastAsia" w:ascii="Times New Roman" w:hAnsi="Times New Roman" w:cs="Times New Roman"/>
                <w:color w:val="auto"/>
                <w:lang w:val="en-US" w:eastAsia="zh-CN"/>
              </w:rPr>
              <w:t>，粗骨料：</w:t>
            </w:r>
            <w:r>
              <w:rPr>
                <w:rFonts w:hint="eastAsia" w:ascii="Times New Roman" w:hAnsi="Times New Roman" w:cs="Times New Roman"/>
                <w:color w:val="auto"/>
                <w:vertAlign w:val="baseline"/>
                <w:lang w:val="en-US" w:eastAsia="zh-CN"/>
              </w:rPr>
              <w:t>S=3</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200</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10</w:t>
            </w:r>
            <w:r>
              <w:rPr>
                <w:rFonts w:hint="eastAsia" w:ascii="Times New Roman" w:hAnsi="Times New Roman" w:cs="Times New Roman"/>
                <w:color w:val="auto"/>
                <w:vertAlign w:val="superscript"/>
                <w:lang w:val="en-US" w:eastAsia="zh-CN"/>
              </w:rPr>
              <w:t>3</w:t>
            </w:r>
            <w:r>
              <w:rPr>
                <w:rFonts w:hint="eastAsia" w:ascii="Times New Roman" w:hAnsi="Times New Roman" w:cs="Times New Roman"/>
                <w:color w:val="auto"/>
                <w:lang w:val="en-US" w:eastAsia="zh-CN"/>
              </w:rPr>
              <w:t>kg</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2500kg/m</w:t>
            </w:r>
            <w:r>
              <w:rPr>
                <w:rFonts w:hint="eastAsia" w:ascii="Times New Roman" w:hAnsi="Times New Roman" w:cs="Times New Roman"/>
                <w:color w:val="auto"/>
                <w:vertAlign w:val="superscript"/>
                <w:lang w:val="en-US" w:eastAsia="zh-CN"/>
              </w:rPr>
              <w:t>3</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2m=120m</w:t>
            </w:r>
            <w:r>
              <w:rPr>
                <w:rFonts w:hint="eastAsia" w:ascii="Times New Roman" w:hAnsi="Times New Roman" w:cs="Times New Roman"/>
                <w:color w:val="auto"/>
                <w:vertAlign w:val="superscript"/>
                <w:lang w:val="en-US" w:eastAsia="zh-CN"/>
              </w:rPr>
              <w:t>2</w:t>
            </w:r>
            <w:r>
              <w:rPr>
                <w:rFonts w:hint="eastAsia" w:ascii="Times New Roman" w:hAnsi="Times New Roman" w:cs="Times New Roman"/>
                <w:color w:val="auto"/>
                <w:vertAlign w:val="baseline"/>
                <w:lang w:val="en-US" w:eastAsia="zh-CN"/>
              </w:rPr>
              <w:t>，砖（长方体堆存）：S=</w:t>
            </w:r>
            <w:r>
              <w:rPr>
                <w:rFonts w:hint="eastAsia" w:ascii="Times New Roman" w:hAnsi="Times New Roman" w:cs="Times New Roman"/>
                <w:color w:val="auto"/>
                <w:lang w:val="en-US" w:eastAsia="zh-CN"/>
              </w:rPr>
              <w:t>400</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10</w:t>
            </w:r>
            <w:r>
              <w:rPr>
                <w:rFonts w:hint="eastAsia" w:ascii="Times New Roman" w:hAnsi="Times New Roman" w:cs="Times New Roman"/>
                <w:color w:val="auto"/>
                <w:vertAlign w:val="superscript"/>
                <w:lang w:val="en-US" w:eastAsia="zh-CN"/>
              </w:rPr>
              <w:t>3</w:t>
            </w:r>
            <w:r>
              <w:rPr>
                <w:rFonts w:hint="eastAsia" w:ascii="Times New Roman" w:hAnsi="Times New Roman" w:cs="Times New Roman"/>
                <w:color w:val="auto"/>
                <w:lang w:val="en-US" w:eastAsia="zh-CN"/>
              </w:rPr>
              <w:t>kg</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2500kg/m</w:t>
            </w:r>
            <w:r>
              <w:rPr>
                <w:rFonts w:hint="eastAsia" w:ascii="Times New Roman" w:hAnsi="Times New Roman" w:cs="Times New Roman"/>
                <w:color w:val="auto"/>
                <w:vertAlign w:val="superscript"/>
                <w:lang w:val="en-US" w:eastAsia="zh-CN"/>
              </w:rPr>
              <w:t>3</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2m=80m</w:t>
            </w:r>
            <w:r>
              <w:rPr>
                <w:rFonts w:hint="eastAsia" w:ascii="Times New Roman" w:hAnsi="Times New Roman" w:cs="Times New Roman"/>
                <w:color w:val="auto"/>
                <w:vertAlign w:val="superscript"/>
                <w:lang w:val="en-US" w:eastAsia="zh-CN"/>
              </w:rPr>
              <w:t>2</w:t>
            </w:r>
            <w:r>
              <w:rPr>
                <w:rFonts w:hint="eastAsia" w:ascii="Times New Roman" w:hAnsi="Times New Roman" w:cs="Times New Roman"/>
                <w:color w:val="auto"/>
                <w:vertAlign w:val="baseline"/>
                <w:lang w:val="en-US" w:eastAsia="zh-CN"/>
              </w:rPr>
              <w:t>，水稳砂：S=3</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700</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10</w:t>
            </w:r>
            <w:r>
              <w:rPr>
                <w:rFonts w:hint="eastAsia" w:ascii="Times New Roman" w:hAnsi="Times New Roman" w:cs="Times New Roman"/>
                <w:color w:val="auto"/>
                <w:vertAlign w:val="superscript"/>
                <w:lang w:val="en-US" w:eastAsia="zh-CN"/>
              </w:rPr>
              <w:t>3</w:t>
            </w:r>
            <w:r>
              <w:rPr>
                <w:rFonts w:hint="eastAsia" w:ascii="Times New Roman" w:hAnsi="Times New Roman" w:cs="Times New Roman"/>
                <w:color w:val="auto"/>
                <w:lang w:val="en-US" w:eastAsia="zh-CN"/>
              </w:rPr>
              <w:t>kg</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2500kg/m</w:t>
            </w:r>
            <w:r>
              <w:rPr>
                <w:rFonts w:hint="eastAsia" w:ascii="Times New Roman" w:hAnsi="Times New Roman" w:cs="Times New Roman"/>
                <w:color w:val="auto"/>
                <w:vertAlign w:val="superscript"/>
                <w:lang w:val="en-US" w:eastAsia="zh-CN"/>
              </w:rPr>
              <w:t>3</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2m=420m</w:t>
            </w:r>
            <w:r>
              <w:rPr>
                <w:rFonts w:hint="eastAsia" w:ascii="Times New Roman" w:hAnsi="Times New Roman" w:cs="Times New Roman"/>
                <w:color w:val="auto"/>
                <w:vertAlign w:val="superscript"/>
                <w:lang w:val="en-US" w:eastAsia="zh-CN"/>
              </w:rPr>
              <w:t>2</w:t>
            </w:r>
            <w:r>
              <w:rPr>
                <w:rFonts w:hint="eastAsia" w:ascii="Times New Roman" w:hAnsi="Times New Roman" w:cs="Times New Roman"/>
                <w:color w:val="auto"/>
                <w:vertAlign w:val="baseline"/>
                <w:lang w:val="en-US" w:eastAsia="zh-CN"/>
              </w:rPr>
              <w:t>，则除粉料外产品总堆存面积为740m</w:t>
            </w:r>
            <w:r>
              <w:rPr>
                <w:rFonts w:hint="eastAsia" w:ascii="Times New Roman" w:hAnsi="Times New Roman" w:cs="Times New Roman"/>
                <w:color w:val="auto"/>
                <w:vertAlign w:val="superscript"/>
                <w:lang w:val="en-US" w:eastAsia="zh-CN"/>
              </w:rPr>
              <w:t>2</w:t>
            </w:r>
            <w:r>
              <w:rPr>
                <w:rFonts w:hint="eastAsia" w:ascii="Times New Roman" w:hAnsi="Times New Roman" w:cs="Times New Roman"/>
                <w:color w:val="auto"/>
                <w:vertAlign w:val="baseline"/>
                <w:lang w:val="en-US" w:eastAsia="zh-CN"/>
              </w:rPr>
              <w:t>，</w:t>
            </w:r>
            <w:r>
              <w:rPr>
                <w:rFonts w:hint="eastAsia"/>
                <w:color w:val="auto"/>
                <w:lang w:val="en-US" w:eastAsia="zh-CN"/>
              </w:rPr>
              <w:t>产品堆场（除原滤饼堆放区）占地面积为1140</w:t>
            </w:r>
            <w:r>
              <w:rPr>
                <w:rFonts w:hint="default" w:ascii="Times New Roman" w:hAnsi="Times New Roman" w:cs="Times New Roman"/>
                <w:color w:val="auto"/>
                <w:lang w:val="en-US" w:eastAsia="zh-CN"/>
              </w:rPr>
              <w:t>m</w:t>
            </w:r>
            <w:r>
              <w:rPr>
                <w:rFonts w:hint="default" w:ascii="Times New Roman" w:hAnsi="Times New Roman" w:cs="Times New Roman"/>
                <w:color w:val="auto"/>
                <w:vertAlign w:val="superscript"/>
                <w:lang w:val="en-US" w:eastAsia="zh-CN"/>
              </w:rPr>
              <w:t>2</w:t>
            </w:r>
            <w:r>
              <w:rPr>
                <w:rFonts w:hint="eastAsia" w:ascii="Times New Roman" w:hAnsi="Times New Roman" w:cs="Times New Roman"/>
                <w:color w:val="auto"/>
                <w:vertAlign w:val="baseline"/>
                <w:lang w:val="en-US" w:eastAsia="zh-CN"/>
              </w:rPr>
              <w:t>，则除粉料外产品依托现有产品堆场堆存是可行的。</w:t>
            </w:r>
            <w:r>
              <w:rPr>
                <w:rFonts w:hint="eastAsia"/>
                <w:color w:val="auto"/>
                <w:lang w:val="en-US" w:eastAsia="zh-CN"/>
              </w:rPr>
              <w:t>综上，项目依托现有储运工程是可行的。</w:t>
            </w:r>
          </w:p>
          <w:p w14:paraId="643E62D2">
            <w:pPr>
              <w:pStyle w:val="4"/>
              <w:bidi w:val="0"/>
              <w:rPr>
                <w:rFonts w:hint="eastAsia"/>
                <w:color w:val="auto"/>
                <w:lang w:val="en-US" w:eastAsia="zh-CN"/>
              </w:rPr>
            </w:pPr>
            <w:bookmarkStart w:id="142" w:name="_Toc29554"/>
            <w:bookmarkStart w:id="143" w:name="_Toc2272"/>
            <w:bookmarkStart w:id="144" w:name="_Toc19522"/>
            <w:bookmarkStart w:id="145" w:name="_Toc4923"/>
            <w:bookmarkStart w:id="146" w:name="_Toc20567"/>
            <w:r>
              <w:rPr>
                <w:rFonts w:hint="eastAsia"/>
                <w:color w:val="auto"/>
                <w:lang w:val="en-US" w:eastAsia="zh-CN"/>
              </w:rPr>
              <w:t>5、项目产品方案</w:t>
            </w:r>
            <w:bookmarkEnd w:id="142"/>
            <w:bookmarkEnd w:id="143"/>
            <w:bookmarkEnd w:id="144"/>
            <w:bookmarkEnd w:id="145"/>
            <w:bookmarkEnd w:id="146"/>
          </w:p>
          <w:p w14:paraId="017F8FD0">
            <w:pPr>
              <w:rPr>
                <w:rFonts w:hint="eastAsia"/>
                <w:color w:val="auto"/>
                <w:lang w:val="en-US" w:eastAsia="zh-CN"/>
              </w:rPr>
            </w:pPr>
            <w:r>
              <w:rPr>
                <w:rFonts w:hint="eastAsia"/>
                <w:color w:val="auto"/>
                <w:lang w:val="en-US" w:eastAsia="zh-CN"/>
              </w:rPr>
              <w:t>根据建设单位提供资料，本项目改建前后具体产品方案详见表2-2。</w:t>
            </w:r>
          </w:p>
          <w:p w14:paraId="1F94A87B">
            <w:pPr>
              <w:pStyle w:val="18"/>
              <w:bidi w:val="0"/>
              <w:rPr>
                <w:rFonts w:hint="eastAsia"/>
                <w:color w:val="auto"/>
                <w:lang w:val="en-US" w:eastAsia="zh-CN"/>
              </w:rPr>
            </w:pPr>
            <w:r>
              <w:rPr>
                <w:rFonts w:hint="eastAsia"/>
                <w:color w:val="auto"/>
                <w:lang w:val="en-US" w:eastAsia="zh-CN"/>
              </w:rPr>
              <w:t>表2-2 项目具体产品方案一览表</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44"/>
              <w:gridCol w:w="885"/>
              <w:gridCol w:w="1186"/>
              <w:gridCol w:w="824"/>
              <w:gridCol w:w="819"/>
              <w:gridCol w:w="4219"/>
            </w:tblGrid>
            <w:tr w14:paraId="1A868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5" w:type="pct"/>
                  <w:vMerge w:val="restart"/>
                  <w:noWrap w:val="0"/>
                  <w:vAlign w:val="center"/>
                </w:tcPr>
                <w:p w14:paraId="6DEBFA83">
                  <w:pPr>
                    <w:pStyle w:val="17"/>
                    <w:jc w:val="center"/>
                    <w:rPr>
                      <w:rFonts w:hint="default"/>
                      <w:color w:val="auto"/>
                      <w:vertAlign w:val="baseline"/>
                      <w:lang w:val="en-US" w:eastAsia="zh-CN"/>
                    </w:rPr>
                  </w:pPr>
                  <w:r>
                    <w:rPr>
                      <w:rFonts w:hint="eastAsia"/>
                      <w:color w:val="auto"/>
                      <w:vertAlign w:val="baseline"/>
                      <w:lang w:val="en-US" w:eastAsia="zh-CN"/>
                    </w:rPr>
                    <w:t>序号</w:t>
                  </w:r>
                </w:p>
              </w:tc>
              <w:tc>
                <w:tcPr>
                  <w:tcW w:w="528" w:type="pct"/>
                  <w:vMerge w:val="restart"/>
                  <w:noWrap w:val="0"/>
                  <w:vAlign w:val="center"/>
                </w:tcPr>
                <w:p w14:paraId="4269FAB2">
                  <w:pPr>
                    <w:pStyle w:val="17"/>
                    <w:jc w:val="center"/>
                    <w:rPr>
                      <w:rFonts w:hint="default"/>
                      <w:color w:val="auto"/>
                      <w:vertAlign w:val="baseline"/>
                      <w:lang w:val="en-US" w:eastAsia="zh-CN"/>
                    </w:rPr>
                  </w:pPr>
                  <w:r>
                    <w:rPr>
                      <w:rFonts w:hint="eastAsia"/>
                      <w:color w:val="auto"/>
                      <w:vertAlign w:val="baseline"/>
                      <w:lang w:val="en-US" w:eastAsia="zh-CN"/>
                    </w:rPr>
                    <w:t>产品名称</w:t>
                  </w:r>
                </w:p>
              </w:tc>
              <w:tc>
                <w:tcPr>
                  <w:tcW w:w="707" w:type="pct"/>
                  <w:vMerge w:val="restart"/>
                  <w:noWrap w:val="0"/>
                  <w:vAlign w:val="center"/>
                </w:tcPr>
                <w:p w14:paraId="1D9FE4E2">
                  <w:pPr>
                    <w:pStyle w:val="17"/>
                    <w:jc w:val="center"/>
                    <w:rPr>
                      <w:rFonts w:hint="default"/>
                      <w:color w:val="auto"/>
                      <w:vertAlign w:val="baseline"/>
                      <w:lang w:val="en-US" w:eastAsia="zh-CN"/>
                    </w:rPr>
                  </w:pPr>
                  <w:r>
                    <w:rPr>
                      <w:rFonts w:hint="eastAsia"/>
                      <w:color w:val="auto"/>
                      <w:vertAlign w:val="baseline"/>
                      <w:lang w:val="en-US" w:eastAsia="zh-CN"/>
                    </w:rPr>
                    <w:t>规格</w:t>
                  </w:r>
                </w:p>
              </w:tc>
              <w:tc>
                <w:tcPr>
                  <w:tcW w:w="980" w:type="pct"/>
                  <w:gridSpan w:val="2"/>
                  <w:noWrap w:val="0"/>
                  <w:vAlign w:val="center"/>
                </w:tcPr>
                <w:p w14:paraId="6BEF8416">
                  <w:pPr>
                    <w:pStyle w:val="17"/>
                    <w:jc w:val="center"/>
                    <w:rPr>
                      <w:rFonts w:hint="default"/>
                      <w:color w:val="auto"/>
                      <w:vertAlign w:val="baseline"/>
                      <w:lang w:val="en-US" w:eastAsia="zh-CN"/>
                    </w:rPr>
                  </w:pPr>
                  <w:r>
                    <w:rPr>
                      <w:rFonts w:hint="eastAsia"/>
                      <w:color w:val="auto"/>
                      <w:vertAlign w:val="baseline"/>
                      <w:lang w:val="en-US" w:eastAsia="zh-CN"/>
                    </w:rPr>
                    <w:t>年产量（万t/a）</w:t>
                  </w:r>
                </w:p>
              </w:tc>
              <w:tc>
                <w:tcPr>
                  <w:tcW w:w="2518" w:type="pct"/>
                  <w:vMerge w:val="restart"/>
                  <w:noWrap w:val="0"/>
                  <w:vAlign w:val="center"/>
                </w:tcPr>
                <w:p w14:paraId="13B4E377">
                  <w:pPr>
                    <w:pStyle w:val="17"/>
                    <w:jc w:val="center"/>
                    <w:rPr>
                      <w:rFonts w:hint="default"/>
                      <w:color w:val="auto"/>
                      <w:vertAlign w:val="baseline"/>
                      <w:lang w:val="en-US" w:eastAsia="zh-CN"/>
                    </w:rPr>
                  </w:pPr>
                  <w:r>
                    <w:rPr>
                      <w:rFonts w:hint="eastAsia"/>
                      <w:color w:val="auto"/>
                      <w:vertAlign w:val="baseline"/>
                      <w:lang w:val="en-US" w:eastAsia="zh-CN"/>
                    </w:rPr>
                    <w:t>备注</w:t>
                  </w:r>
                </w:p>
              </w:tc>
            </w:tr>
            <w:tr w14:paraId="1076A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5" w:type="pct"/>
                  <w:vMerge w:val="continue"/>
                  <w:noWrap w:val="0"/>
                  <w:vAlign w:val="center"/>
                </w:tcPr>
                <w:p w14:paraId="671B2671">
                  <w:pPr>
                    <w:pStyle w:val="17"/>
                    <w:jc w:val="center"/>
                    <w:rPr>
                      <w:rFonts w:hint="eastAsia"/>
                      <w:color w:val="auto"/>
                      <w:vertAlign w:val="baseline"/>
                      <w:lang w:val="en-US" w:eastAsia="zh-CN"/>
                    </w:rPr>
                  </w:pPr>
                </w:p>
              </w:tc>
              <w:tc>
                <w:tcPr>
                  <w:tcW w:w="528" w:type="pct"/>
                  <w:vMerge w:val="continue"/>
                  <w:noWrap w:val="0"/>
                  <w:vAlign w:val="center"/>
                </w:tcPr>
                <w:p w14:paraId="01F2C3D5">
                  <w:pPr>
                    <w:pStyle w:val="17"/>
                    <w:jc w:val="center"/>
                    <w:rPr>
                      <w:rFonts w:hint="eastAsia"/>
                      <w:color w:val="auto"/>
                      <w:vertAlign w:val="baseline"/>
                      <w:lang w:val="en-US" w:eastAsia="zh-CN"/>
                    </w:rPr>
                  </w:pPr>
                </w:p>
              </w:tc>
              <w:tc>
                <w:tcPr>
                  <w:tcW w:w="707" w:type="pct"/>
                  <w:vMerge w:val="continue"/>
                  <w:noWrap w:val="0"/>
                  <w:vAlign w:val="center"/>
                </w:tcPr>
                <w:p w14:paraId="5245F771">
                  <w:pPr>
                    <w:pStyle w:val="17"/>
                    <w:jc w:val="center"/>
                    <w:rPr>
                      <w:rFonts w:hint="eastAsia"/>
                      <w:color w:val="auto"/>
                      <w:vertAlign w:val="baseline"/>
                      <w:lang w:val="en-US" w:eastAsia="zh-CN"/>
                    </w:rPr>
                  </w:pPr>
                </w:p>
              </w:tc>
              <w:tc>
                <w:tcPr>
                  <w:tcW w:w="491" w:type="pct"/>
                  <w:noWrap w:val="0"/>
                  <w:vAlign w:val="center"/>
                </w:tcPr>
                <w:p w14:paraId="7AF6D813">
                  <w:pPr>
                    <w:pStyle w:val="17"/>
                    <w:jc w:val="center"/>
                    <w:rPr>
                      <w:rFonts w:hint="default"/>
                      <w:color w:val="auto"/>
                      <w:vertAlign w:val="baseline"/>
                      <w:lang w:val="en-US" w:eastAsia="zh-CN"/>
                    </w:rPr>
                  </w:pPr>
                  <w:r>
                    <w:rPr>
                      <w:rFonts w:hint="eastAsia"/>
                      <w:color w:val="auto"/>
                      <w:vertAlign w:val="baseline"/>
                      <w:lang w:val="en-US" w:eastAsia="zh-CN"/>
                    </w:rPr>
                    <w:t>改建前</w:t>
                  </w:r>
                </w:p>
              </w:tc>
              <w:tc>
                <w:tcPr>
                  <w:tcW w:w="488" w:type="pct"/>
                  <w:noWrap w:val="0"/>
                  <w:vAlign w:val="center"/>
                </w:tcPr>
                <w:p w14:paraId="71E8EC82">
                  <w:pPr>
                    <w:pStyle w:val="17"/>
                    <w:jc w:val="center"/>
                    <w:rPr>
                      <w:rFonts w:hint="default"/>
                      <w:color w:val="auto"/>
                      <w:vertAlign w:val="baseline"/>
                      <w:lang w:val="en-US" w:eastAsia="zh-CN"/>
                    </w:rPr>
                  </w:pPr>
                  <w:r>
                    <w:rPr>
                      <w:rFonts w:hint="eastAsia"/>
                      <w:color w:val="auto"/>
                      <w:vertAlign w:val="baseline"/>
                      <w:lang w:val="en-US" w:eastAsia="zh-CN"/>
                    </w:rPr>
                    <w:t>改建后</w:t>
                  </w:r>
                </w:p>
              </w:tc>
              <w:tc>
                <w:tcPr>
                  <w:tcW w:w="2518" w:type="pct"/>
                  <w:vMerge w:val="continue"/>
                  <w:noWrap w:val="0"/>
                  <w:vAlign w:val="center"/>
                </w:tcPr>
                <w:p w14:paraId="3EABFEA1">
                  <w:pPr>
                    <w:pStyle w:val="17"/>
                    <w:jc w:val="center"/>
                    <w:rPr>
                      <w:rFonts w:hint="eastAsia"/>
                      <w:color w:val="auto"/>
                      <w:vertAlign w:val="baseline"/>
                      <w:lang w:val="en-US" w:eastAsia="zh-CN"/>
                    </w:rPr>
                  </w:pPr>
                </w:p>
              </w:tc>
            </w:tr>
            <w:tr w14:paraId="3A2C8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5" w:type="pct"/>
                  <w:noWrap w:val="0"/>
                  <w:vAlign w:val="center"/>
                </w:tcPr>
                <w:p w14:paraId="0B6531B0">
                  <w:pPr>
                    <w:pStyle w:val="17"/>
                    <w:jc w:val="center"/>
                    <w:rPr>
                      <w:rFonts w:hint="default"/>
                      <w:color w:val="auto"/>
                      <w:vertAlign w:val="baseline"/>
                      <w:lang w:val="en-US" w:eastAsia="zh-CN"/>
                    </w:rPr>
                  </w:pPr>
                  <w:r>
                    <w:rPr>
                      <w:rFonts w:hint="eastAsia"/>
                      <w:color w:val="auto"/>
                      <w:vertAlign w:val="baseline"/>
                      <w:lang w:val="en-US" w:eastAsia="zh-CN"/>
                    </w:rPr>
                    <w:t>1</w:t>
                  </w:r>
                </w:p>
              </w:tc>
              <w:tc>
                <w:tcPr>
                  <w:tcW w:w="528" w:type="pct"/>
                  <w:noWrap w:val="0"/>
                  <w:vAlign w:val="center"/>
                </w:tcPr>
                <w:p w14:paraId="6344D7B4">
                  <w:pPr>
                    <w:pStyle w:val="17"/>
                    <w:jc w:val="center"/>
                    <w:rPr>
                      <w:rFonts w:hint="default"/>
                      <w:color w:val="auto"/>
                      <w:vertAlign w:val="baseline"/>
                      <w:lang w:val="en-US" w:eastAsia="zh-CN"/>
                    </w:rPr>
                  </w:pPr>
                  <w:r>
                    <w:rPr>
                      <w:rFonts w:hint="eastAsia"/>
                      <w:color w:val="auto"/>
                      <w:vertAlign w:val="baseline"/>
                      <w:lang w:val="en-US" w:eastAsia="zh-CN"/>
                    </w:rPr>
                    <w:t>粗骨料</w:t>
                  </w:r>
                </w:p>
              </w:tc>
              <w:tc>
                <w:tcPr>
                  <w:tcW w:w="707" w:type="pct"/>
                  <w:noWrap w:val="0"/>
                  <w:vAlign w:val="center"/>
                </w:tcPr>
                <w:p w14:paraId="61EC98DC">
                  <w:pPr>
                    <w:pStyle w:val="17"/>
                    <w:jc w:val="center"/>
                    <w:rPr>
                      <w:rFonts w:hint="default"/>
                      <w:color w:val="auto"/>
                      <w:vertAlign w:val="baseline"/>
                      <w:lang w:val="en-US" w:eastAsia="zh-CN"/>
                    </w:rPr>
                  </w:pPr>
                  <w:r>
                    <w:rPr>
                      <w:rFonts w:hint="eastAsia"/>
                      <w:color w:val="auto"/>
                      <w:vertAlign w:val="baseline"/>
                      <w:lang w:val="en-US" w:eastAsia="zh-CN"/>
                    </w:rPr>
                    <w:t>20mm-40mm</w:t>
                  </w:r>
                </w:p>
              </w:tc>
              <w:tc>
                <w:tcPr>
                  <w:tcW w:w="491" w:type="pct"/>
                  <w:noWrap w:val="0"/>
                  <w:vAlign w:val="center"/>
                </w:tcPr>
                <w:p w14:paraId="0E0A232B">
                  <w:pPr>
                    <w:pStyle w:val="17"/>
                    <w:jc w:val="center"/>
                    <w:rPr>
                      <w:rFonts w:hint="default"/>
                      <w:color w:val="auto"/>
                      <w:vertAlign w:val="baseline"/>
                      <w:lang w:val="en-US" w:eastAsia="zh-CN"/>
                    </w:rPr>
                  </w:pPr>
                  <w:r>
                    <w:rPr>
                      <w:rFonts w:hint="eastAsia"/>
                      <w:color w:val="auto"/>
                      <w:vertAlign w:val="baseline"/>
                      <w:lang w:val="en-US" w:eastAsia="zh-CN"/>
                    </w:rPr>
                    <w:t>3.2</w:t>
                  </w:r>
                </w:p>
              </w:tc>
              <w:tc>
                <w:tcPr>
                  <w:tcW w:w="488" w:type="pct"/>
                  <w:noWrap w:val="0"/>
                  <w:vAlign w:val="center"/>
                </w:tcPr>
                <w:p w14:paraId="2460891D">
                  <w:pPr>
                    <w:pStyle w:val="17"/>
                    <w:ind w:firstLine="0" w:firstLineChars="0"/>
                    <w:jc w:val="center"/>
                    <w:rPr>
                      <w:rFonts w:hint="eastAsia"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2</w:t>
                  </w:r>
                </w:p>
              </w:tc>
              <w:tc>
                <w:tcPr>
                  <w:tcW w:w="2518" w:type="pct"/>
                  <w:vMerge w:val="restart"/>
                  <w:noWrap w:val="0"/>
                  <w:vAlign w:val="center"/>
                </w:tcPr>
                <w:p w14:paraId="06831A1C">
                  <w:pPr>
                    <w:pStyle w:val="17"/>
                    <w:jc w:val="center"/>
                    <w:rPr>
                      <w:rFonts w:hint="default"/>
                      <w:color w:val="auto"/>
                      <w:vertAlign w:val="baseline"/>
                      <w:lang w:val="en-US" w:eastAsia="zh-CN"/>
                    </w:rPr>
                  </w:pPr>
                  <w:r>
                    <w:rPr>
                      <w:rFonts w:hint="eastAsia"/>
                      <w:color w:val="auto"/>
                      <w:vertAlign w:val="baseline"/>
                      <w:lang w:val="en-US" w:eastAsia="zh-CN"/>
                    </w:rPr>
                    <w:t>原料为建筑垃圾、装修垃圾与一般工业固体废物，取消中骨料产品</w:t>
                  </w:r>
                </w:p>
              </w:tc>
            </w:tr>
            <w:tr w14:paraId="6359F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5" w:type="pct"/>
                  <w:noWrap w:val="0"/>
                  <w:vAlign w:val="center"/>
                </w:tcPr>
                <w:p w14:paraId="28A409C6">
                  <w:pPr>
                    <w:pStyle w:val="17"/>
                    <w:ind w:firstLine="0" w:firstLineChars="0"/>
                    <w:jc w:val="center"/>
                    <w:rPr>
                      <w:rFonts w:hint="eastAsia"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2</w:t>
                  </w:r>
                </w:p>
              </w:tc>
              <w:tc>
                <w:tcPr>
                  <w:tcW w:w="528" w:type="pct"/>
                  <w:noWrap w:val="0"/>
                  <w:vAlign w:val="center"/>
                </w:tcPr>
                <w:p w14:paraId="53000D56">
                  <w:pPr>
                    <w:pStyle w:val="17"/>
                    <w:jc w:val="center"/>
                    <w:rPr>
                      <w:rFonts w:hint="default"/>
                      <w:color w:val="auto"/>
                      <w:vertAlign w:val="baseline"/>
                      <w:lang w:val="en-US" w:eastAsia="zh-CN"/>
                    </w:rPr>
                  </w:pPr>
                  <w:r>
                    <w:rPr>
                      <w:rFonts w:hint="eastAsia"/>
                      <w:color w:val="auto"/>
                      <w:vertAlign w:val="baseline"/>
                      <w:lang w:val="en-US" w:eastAsia="zh-CN"/>
                    </w:rPr>
                    <w:t>中骨料</w:t>
                  </w:r>
                </w:p>
              </w:tc>
              <w:tc>
                <w:tcPr>
                  <w:tcW w:w="707" w:type="pct"/>
                  <w:noWrap w:val="0"/>
                  <w:vAlign w:val="center"/>
                </w:tcPr>
                <w:p w14:paraId="724142CE">
                  <w:pPr>
                    <w:pStyle w:val="17"/>
                    <w:jc w:val="center"/>
                    <w:rPr>
                      <w:rFonts w:hint="default"/>
                      <w:color w:val="auto"/>
                      <w:vertAlign w:val="baseline"/>
                      <w:lang w:val="en-US" w:eastAsia="zh-CN"/>
                    </w:rPr>
                  </w:pPr>
                  <w:r>
                    <w:rPr>
                      <w:rFonts w:hint="eastAsia"/>
                      <w:color w:val="auto"/>
                      <w:vertAlign w:val="baseline"/>
                      <w:lang w:val="en-US" w:eastAsia="zh-CN"/>
                    </w:rPr>
                    <w:t>10mm-20mm</w:t>
                  </w:r>
                </w:p>
              </w:tc>
              <w:tc>
                <w:tcPr>
                  <w:tcW w:w="491" w:type="pct"/>
                  <w:noWrap w:val="0"/>
                  <w:vAlign w:val="center"/>
                </w:tcPr>
                <w:p w14:paraId="63E94130">
                  <w:pPr>
                    <w:pStyle w:val="17"/>
                    <w:jc w:val="center"/>
                    <w:rPr>
                      <w:rFonts w:hint="default"/>
                      <w:color w:val="auto"/>
                      <w:vertAlign w:val="baseline"/>
                      <w:lang w:val="en-US" w:eastAsia="zh-CN"/>
                    </w:rPr>
                  </w:pPr>
                  <w:r>
                    <w:rPr>
                      <w:rFonts w:hint="eastAsia"/>
                      <w:color w:val="auto"/>
                      <w:vertAlign w:val="baseline"/>
                      <w:lang w:val="en-US" w:eastAsia="zh-CN"/>
                    </w:rPr>
                    <w:t>5.0</w:t>
                  </w:r>
                </w:p>
              </w:tc>
              <w:tc>
                <w:tcPr>
                  <w:tcW w:w="488" w:type="pct"/>
                  <w:noWrap w:val="0"/>
                  <w:vAlign w:val="center"/>
                </w:tcPr>
                <w:p w14:paraId="716F2109">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0</w:t>
                  </w:r>
                </w:p>
              </w:tc>
              <w:tc>
                <w:tcPr>
                  <w:tcW w:w="2518" w:type="pct"/>
                  <w:vMerge w:val="continue"/>
                  <w:noWrap w:val="0"/>
                  <w:vAlign w:val="center"/>
                </w:tcPr>
                <w:p w14:paraId="52135C73">
                  <w:pPr>
                    <w:pStyle w:val="17"/>
                    <w:jc w:val="center"/>
                    <w:rPr>
                      <w:rFonts w:hint="eastAsia"/>
                      <w:color w:val="auto"/>
                      <w:vertAlign w:val="baseline"/>
                      <w:lang w:val="en-US" w:eastAsia="zh-CN"/>
                    </w:rPr>
                  </w:pPr>
                </w:p>
              </w:tc>
            </w:tr>
            <w:tr w14:paraId="302B1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5" w:type="pct"/>
                  <w:noWrap w:val="0"/>
                  <w:vAlign w:val="center"/>
                </w:tcPr>
                <w:p w14:paraId="70E5E643">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3</w:t>
                  </w:r>
                </w:p>
              </w:tc>
              <w:tc>
                <w:tcPr>
                  <w:tcW w:w="528" w:type="pct"/>
                  <w:noWrap w:val="0"/>
                  <w:vAlign w:val="center"/>
                </w:tcPr>
                <w:p w14:paraId="179AC180">
                  <w:pPr>
                    <w:pStyle w:val="17"/>
                    <w:jc w:val="center"/>
                    <w:rPr>
                      <w:rFonts w:hint="default"/>
                      <w:color w:val="auto"/>
                      <w:vertAlign w:val="baseline"/>
                      <w:lang w:val="en-US" w:eastAsia="zh-CN"/>
                    </w:rPr>
                  </w:pPr>
                  <w:r>
                    <w:rPr>
                      <w:rFonts w:hint="eastAsia"/>
                      <w:color w:val="auto"/>
                      <w:vertAlign w:val="baseline"/>
                      <w:lang w:val="en-US" w:eastAsia="zh-CN"/>
                    </w:rPr>
                    <w:t>细骨料</w:t>
                  </w:r>
                </w:p>
              </w:tc>
              <w:tc>
                <w:tcPr>
                  <w:tcW w:w="707" w:type="pct"/>
                  <w:noWrap w:val="0"/>
                  <w:vAlign w:val="center"/>
                </w:tcPr>
                <w:p w14:paraId="63966BEE">
                  <w:pPr>
                    <w:pStyle w:val="17"/>
                    <w:jc w:val="center"/>
                    <w:rPr>
                      <w:rFonts w:hint="default"/>
                      <w:color w:val="auto"/>
                      <w:vertAlign w:val="baseline"/>
                      <w:lang w:val="en-US" w:eastAsia="zh-CN"/>
                    </w:rPr>
                  </w:pPr>
                  <w:r>
                    <w:rPr>
                      <w:rFonts w:hint="eastAsia"/>
                      <w:color w:val="auto"/>
                      <w:vertAlign w:val="baseline"/>
                      <w:lang w:val="en-US" w:eastAsia="zh-CN"/>
                    </w:rPr>
                    <w:t>5mm-10mm</w:t>
                  </w:r>
                </w:p>
              </w:tc>
              <w:tc>
                <w:tcPr>
                  <w:tcW w:w="491" w:type="pct"/>
                  <w:noWrap w:val="0"/>
                  <w:vAlign w:val="center"/>
                </w:tcPr>
                <w:p w14:paraId="0AB156E9">
                  <w:pPr>
                    <w:pStyle w:val="17"/>
                    <w:jc w:val="center"/>
                    <w:rPr>
                      <w:rFonts w:hint="default"/>
                      <w:color w:val="auto"/>
                      <w:vertAlign w:val="baseline"/>
                      <w:lang w:val="en-US" w:eastAsia="zh-CN"/>
                    </w:rPr>
                  </w:pPr>
                  <w:r>
                    <w:rPr>
                      <w:rFonts w:hint="eastAsia"/>
                      <w:color w:val="auto"/>
                      <w:vertAlign w:val="baseline"/>
                      <w:lang w:val="en-US" w:eastAsia="zh-CN"/>
                    </w:rPr>
                    <w:t>9.5</w:t>
                  </w:r>
                </w:p>
              </w:tc>
              <w:tc>
                <w:tcPr>
                  <w:tcW w:w="488" w:type="pct"/>
                  <w:noWrap w:val="0"/>
                  <w:vAlign w:val="center"/>
                </w:tcPr>
                <w:p w14:paraId="58EB28EF">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2</w:t>
                  </w:r>
                </w:p>
              </w:tc>
              <w:tc>
                <w:tcPr>
                  <w:tcW w:w="2518" w:type="pct"/>
                  <w:vMerge w:val="continue"/>
                  <w:noWrap w:val="0"/>
                  <w:vAlign w:val="center"/>
                </w:tcPr>
                <w:p w14:paraId="401CD62F">
                  <w:pPr>
                    <w:pStyle w:val="17"/>
                    <w:jc w:val="center"/>
                    <w:rPr>
                      <w:rFonts w:hint="default"/>
                      <w:color w:val="auto"/>
                      <w:vertAlign w:val="baseline"/>
                      <w:lang w:val="en-US" w:eastAsia="zh-CN"/>
                    </w:rPr>
                  </w:pPr>
                </w:p>
              </w:tc>
            </w:tr>
            <w:tr w14:paraId="0379C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5" w:type="pct"/>
                  <w:noWrap w:val="0"/>
                  <w:vAlign w:val="center"/>
                </w:tcPr>
                <w:p w14:paraId="47B260D7">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4</w:t>
                  </w:r>
                </w:p>
              </w:tc>
              <w:tc>
                <w:tcPr>
                  <w:tcW w:w="528" w:type="pct"/>
                  <w:noWrap w:val="0"/>
                  <w:vAlign w:val="center"/>
                </w:tcPr>
                <w:p w14:paraId="28FB3CE7">
                  <w:pPr>
                    <w:pStyle w:val="17"/>
                    <w:jc w:val="center"/>
                    <w:rPr>
                      <w:rFonts w:hint="default"/>
                      <w:color w:val="auto"/>
                      <w:vertAlign w:val="baseline"/>
                      <w:lang w:val="en-US" w:eastAsia="zh-CN"/>
                    </w:rPr>
                  </w:pPr>
                  <w:r>
                    <w:rPr>
                      <w:rFonts w:hint="eastAsia"/>
                      <w:color w:val="auto"/>
                      <w:vertAlign w:val="baseline"/>
                      <w:lang w:val="en-US" w:eastAsia="zh-CN"/>
                    </w:rPr>
                    <w:t>粉料</w:t>
                  </w:r>
                </w:p>
              </w:tc>
              <w:tc>
                <w:tcPr>
                  <w:tcW w:w="707" w:type="pct"/>
                  <w:noWrap w:val="0"/>
                  <w:vAlign w:val="center"/>
                </w:tcPr>
                <w:p w14:paraId="571A8F33">
                  <w:pPr>
                    <w:pStyle w:val="17"/>
                    <w:jc w:val="center"/>
                    <w:rPr>
                      <w:rFonts w:hint="default"/>
                      <w:color w:val="auto"/>
                      <w:vertAlign w:val="baseline"/>
                      <w:lang w:val="en-US" w:eastAsia="zh-CN"/>
                    </w:rPr>
                  </w:pPr>
                  <w:r>
                    <w:rPr>
                      <w:rFonts w:hint="eastAsia"/>
                      <w:color w:val="auto"/>
                      <w:vertAlign w:val="baseline"/>
                      <w:lang w:val="en-US" w:eastAsia="zh-CN"/>
                    </w:rPr>
                    <w:t>≤5mm</w:t>
                  </w:r>
                </w:p>
              </w:tc>
              <w:tc>
                <w:tcPr>
                  <w:tcW w:w="491" w:type="pct"/>
                  <w:noWrap w:val="0"/>
                  <w:vAlign w:val="center"/>
                </w:tcPr>
                <w:p w14:paraId="3D0B7DB9">
                  <w:pPr>
                    <w:pStyle w:val="17"/>
                    <w:jc w:val="center"/>
                    <w:rPr>
                      <w:rFonts w:hint="default"/>
                      <w:color w:val="auto"/>
                      <w:vertAlign w:val="baseline"/>
                      <w:lang w:val="en-US" w:eastAsia="zh-CN"/>
                    </w:rPr>
                  </w:pPr>
                  <w:r>
                    <w:rPr>
                      <w:rFonts w:hint="eastAsia"/>
                      <w:color w:val="auto"/>
                      <w:vertAlign w:val="baseline"/>
                      <w:lang w:val="en-US" w:eastAsia="zh-CN"/>
                    </w:rPr>
                    <w:t>4.8</w:t>
                  </w:r>
                </w:p>
              </w:tc>
              <w:tc>
                <w:tcPr>
                  <w:tcW w:w="488" w:type="pct"/>
                  <w:noWrap w:val="0"/>
                  <w:vAlign w:val="center"/>
                </w:tcPr>
                <w:p w14:paraId="2BF64837">
                  <w:pPr>
                    <w:pStyle w:val="17"/>
                    <w:ind w:firstLine="0" w:firstLineChars="0"/>
                    <w:jc w:val="center"/>
                    <w:rPr>
                      <w:rFonts w:hint="eastAsia"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1</w:t>
                  </w:r>
                </w:p>
              </w:tc>
              <w:tc>
                <w:tcPr>
                  <w:tcW w:w="2518" w:type="pct"/>
                  <w:vMerge w:val="continue"/>
                  <w:noWrap w:val="0"/>
                  <w:vAlign w:val="center"/>
                </w:tcPr>
                <w:p w14:paraId="2763C3FC">
                  <w:pPr>
                    <w:pStyle w:val="17"/>
                    <w:jc w:val="center"/>
                    <w:rPr>
                      <w:rFonts w:hint="default"/>
                      <w:color w:val="auto"/>
                      <w:vertAlign w:val="baseline"/>
                      <w:lang w:val="en-US" w:eastAsia="zh-CN"/>
                    </w:rPr>
                  </w:pPr>
                </w:p>
              </w:tc>
            </w:tr>
            <w:tr w14:paraId="25F86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5" w:type="pct"/>
                  <w:noWrap w:val="0"/>
                  <w:vAlign w:val="center"/>
                </w:tcPr>
                <w:p w14:paraId="5C1E7682">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5</w:t>
                  </w:r>
                </w:p>
              </w:tc>
              <w:tc>
                <w:tcPr>
                  <w:tcW w:w="528" w:type="pct"/>
                  <w:noWrap w:val="0"/>
                  <w:vAlign w:val="center"/>
                </w:tcPr>
                <w:p w14:paraId="284A9A38">
                  <w:pPr>
                    <w:pStyle w:val="17"/>
                    <w:jc w:val="center"/>
                    <w:rPr>
                      <w:rFonts w:hint="default"/>
                      <w:color w:val="auto"/>
                      <w:vertAlign w:val="baseline"/>
                      <w:lang w:val="en-US" w:eastAsia="zh-CN"/>
                    </w:rPr>
                  </w:pPr>
                  <w:r>
                    <w:rPr>
                      <w:rFonts w:hint="eastAsia"/>
                      <w:color w:val="auto"/>
                      <w:vertAlign w:val="baseline"/>
                      <w:lang w:val="en-US" w:eastAsia="zh-CN"/>
                    </w:rPr>
                    <w:t>砖</w:t>
                  </w:r>
                </w:p>
              </w:tc>
              <w:tc>
                <w:tcPr>
                  <w:tcW w:w="707" w:type="pct"/>
                  <w:noWrap w:val="0"/>
                  <w:vAlign w:val="center"/>
                </w:tcPr>
                <w:p w14:paraId="755C1F9D">
                  <w:pPr>
                    <w:pStyle w:val="17"/>
                    <w:jc w:val="center"/>
                    <w:rPr>
                      <w:rFonts w:hint="default"/>
                      <w:color w:val="auto"/>
                      <w:vertAlign w:val="baseline"/>
                      <w:lang w:val="en-US" w:eastAsia="zh-CN"/>
                    </w:rPr>
                  </w:pPr>
                  <w:r>
                    <w:rPr>
                      <w:rFonts w:hint="eastAsia"/>
                      <w:color w:val="auto"/>
                      <w:vertAlign w:val="baseline"/>
                      <w:lang w:val="en-US" w:eastAsia="zh-CN"/>
                    </w:rPr>
                    <w:t>/</w:t>
                  </w:r>
                </w:p>
              </w:tc>
              <w:tc>
                <w:tcPr>
                  <w:tcW w:w="491" w:type="pct"/>
                  <w:noWrap w:val="0"/>
                  <w:vAlign w:val="center"/>
                </w:tcPr>
                <w:p w14:paraId="08975504">
                  <w:pPr>
                    <w:pStyle w:val="17"/>
                    <w:jc w:val="center"/>
                    <w:rPr>
                      <w:rFonts w:hint="default"/>
                      <w:color w:val="auto"/>
                      <w:vertAlign w:val="baseline"/>
                      <w:lang w:val="en-US" w:eastAsia="zh-CN"/>
                    </w:rPr>
                  </w:pPr>
                  <w:r>
                    <w:rPr>
                      <w:rFonts w:hint="eastAsia"/>
                      <w:color w:val="auto"/>
                      <w:vertAlign w:val="baseline"/>
                      <w:lang w:val="en-US" w:eastAsia="zh-CN"/>
                    </w:rPr>
                    <w:t>0</w:t>
                  </w:r>
                </w:p>
              </w:tc>
              <w:tc>
                <w:tcPr>
                  <w:tcW w:w="488" w:type="pct"/>
                  <w:noWrap w:val="0"/>
                  <w:vAlign w:val="center"/>
                </w:tcPr>
                <w:p w14:paraId="213E1342">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3.675</w:t>
                  </w:r>
                </w:p>
              </w:tc>
              <w:tc>
                <w:tcPr>
                  <w:tcW w:w="2518" w:type="pct"/>
                  <w:vMerge w:val="restart"/>
                  <w:noWrap w:val="0"/>
                  <w:vAlign w:val="center"/>
                </w:tcPr>
                <w:p w14:paraId="200DB66B">
                  <w:pPr>
                    <w:pStyle w:val="17"/>
                    <w:jc w:val="center"/>
                    <w:rPr>
                      <w:rFonts w:hint="default"/>
                      <w:color w:val="auto"/>
                      <w:vertAlign w:val="baseline"/>
                      <w:lang w:val="en-US" w:eastAsia="zh-CN"/>
                    </w:rPr>
                  </w:pPr>
                  <w:r>
                    <w:rPr>
                      <w:rFonts w:hint="eastAsia"/>
                      <w:color w:val="auto"/>
                      <w:vertAlign w:val="baseline"/>
                      <w:lang w:val="en-US" w:eastAsia="zh-CN"/>
                    </w:rPr>
                    <w:t>新增砖、水稳砂产品，原料为本项目建筑垃圾、装修垃圾与一般工业固体废物加工生产线加工生产的各类骨料</w:t>
                  </w:r>
                </w:p>
              </w:tc>
            </w:tr>
            <w:tr w14:paraId="3F5A4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5" w:type="pct"/>
                  <w:noWrap w:val="0"/>
                  <w:vAlign w:val="center"/>
                </w:tcPr>
                <w:p w14:paraId="33158D6A">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6</w:t>
                  </w:r>
                </w:p>
              </w:tc>
              <w:tc>
                <w:tcPr>
                  <w:tcW w:w="528" w:type="pct"/>
                  <w:noWrap w:val="0"/>
                  <w:vAlign w:val="center"/>
                </w:tcPr>
                <w:p w14:paraId="61DCF3CA">
                  <w:pPr>
                    <w:pStyle w:val="17"/>
                    <w:jc w:val="center"/>
                    <w:rPr>
                      <w:rFonts w:hint="default"/>
                      <w:color w:val="auto"/>
                      <w:vertAlign w:val="baseline"/>
                      <w:lang w:val="en-US" w:eastAsia="zh-CN"/>
                    </w:rPr>
                  </w:pPr>
                  <w:r>
                    <w:rPr>
                      <w:rFonts w:hint="eastAsia"/>
                      <w:color w:val="auto"/>
                      <w:vertAlign w:val="baseline"/>
                      <w:lang w:val="en-US" w:eastAsia="zh-CN"/>
                    </w:rPr>
                    <w:t>水稳砂</w:t>
                  </w:r>
                </w:p>
              </w:tc>
              <w:tc>
                <w:tcPr>
                  <w:tcW w:w="707" w:type="pct"/>
                  <w:noWrap w:val="0"/>
                  <w:vAlign w:val="center"/>
                </w:tcPr>
                <w:p w14:paraId="73C061A5">
                  <w:pPr>
                    <w:pStyle w:val="17"/>
                    <w:jc w:val="center"/>
                    <w:rPr>
                      <w:rFonts w:hint="default"/>
                      <w:color w:val="auto"/>
                      <w:vertAlign w:val="baseline"/>
                      <w:lang w:val="en-US" w:eastAsia="zh-CN"/>
                    </w:rPr>
                  </w:pPr>
                  <w:r>
                    <w:rPr>
                      <w:rFonts w:hint="eastAsia"/>
                      <w:color w:val="auto"/>
                      <w:vertAlign w:val="baseline"/>
                      <w:lang w:val="en-US" w:eastAsia="zh-CN"/>
                    </w:rPr>
                    <w:t>/</w:t>
                  </w:r>
                </w:p>
              </w:tc>
              <w:tc>
                <w:tcPr>
                  <w:tcW w:w="491" w:type="pct"/>
                  <w:noWrap w:val="0"/>
                  <w:vAlign w:val="center"/>
                </w:tcPr>
                <w:p w14:paraId="4E78F916">
                  <w:pPr>
                    <w:pStyle w:val="17"/>
                    <w:jc w:val="center"/>
                    <w:rPr>
                      <w:rFonts w:hint="default"/>
                      <w:color w:val="auto"/>
                      <w:vertAlign w:val="baseline"/>
                      <w:lang w:val="en-US" w:eastAsia="zh-CN"/>
                    </w:rPr>
                  </w:pPr>
                  <w:r>
                    <w:rPr>
                      <w:rFonts w:hint="eastAsia"/>
                      <w:color w:val="auto"/>
                      <w:vertAlign w:val="baseline"/>
                      <w:lang w:val="en-US" w:eastAsia="zh-CN"/>
                    </w:rPr>
                    <w:t>0</w:t>
                  </w:r>
                </w:p>
              </w:tc>
              <w:tc>
                <w:tcPr>
                  <w:tcW w:w="488" w:type="pct"/>
                  <w:noWrap w:val="0"/>
                  <w:vAlign w:val="center"/>
                </w:tcPr>
                <w:p w14:paraId="02E60A5B">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14.7</w:t>
                  </w:r>
                </w:p>
              </w:tc>
              <w:tc>
                <w:tcPr>
                  <w:tcW w:w="2518" w:type="pct"/>
                  <w:vMerge w:val="continue"/>
                  <w:noWrap w:val="0"/>
                  <w:vAlign w:val="center"/>
                </w:tcPr>
                <w:p w14:paraId="62C40638">
                  <w:pPr>
                    <w:pStyle w:val="17"/>
                    <w:jc w:val="center"/>
                    <w:rPr>
                      <w:rFonts w:hint="default"/>
                      <w:color w:val="auto"/>
                      <w:vertAlign w:val="baseline"/>
                      <w:lang w:val="en-US" w:eastAsia="zh-CN"/>
                    </w:rPr>
                  </w:pPr>
                </w:p>
              </w:tc>
            </w:tr>
            <w:tr w14:paraId="7E91D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01" w:type="pct"/>
                  <w:gridSpan w:val="3"/>
                  <w:noWrap w:val="0"/>
                  <w:vAlign w:val="center"/>
                </w:tcPr>
                <w:p w14:paraId="56494C9F">
                  <w:pPr>
                    <w:pStyle w:val="17"/>
                    <w:jc w:val="center"/>
                    <w:rPr>
                      <w:rFonts w:hint="default"/>
                      <w:color w:val="auto"/>
                      <w:vertAlign w:val="baseline"/>
                      <w:lang w:val="en-US" w:eastAsia="zh-CN"/>
                    </w:rPr>
                  </w:pPr>
                  <w:bookmarkStart w:id="147" w:name="_Toc20449"/>
                  <w:bookmarkStart w:id="148" w:name="_Toc20545"/>
                  <w:r>
                    <w:rPr>
                      <w:rFonts w:hint="eastAsia"/>
                      <w:color w:val="auto"/>
                      <w:vertAlign w:val="baseline"/>
                      <w:lang w:val="en-US" w:eastAsia="zh-CN"/>
                    </w:rPr>
                    <w:t>合计</w:t>
                  </w:r>
                </w:p>
              </w:tc>
              <w:tc>
                <w:tcPr>
                  <w:tcW w:w="491" w:type="pct"/>
                  <w:noWrap w:val="0"/>
                  <w:vAlign w:val="center"/>
                </w:tcPr>
                <w:p w14:paraId="5B3B6A75">
                  <w:pPr>
                    <w:pStyle w:val="17"/>
                    <w:jc w:val="center"/>
                    <w:rPr>
                      <w:rFonts w:hint="default"/>
                      <w:color w:val="auto"/>
                      <w:vertAlign w:val="baseline"/>
                      <w:lang w:val="en-US" w:eastAsia="zh-CN"/>
                    </w:rPr>
                  </w:pPr>
                  <w:r>
                    <w:rPr>
                      <w:rFonts w:hint="eastAsia"/>
                      <w:color w:val="auto"/>
                      <w:vertAlign w:val="baseline"/>
                      <w:lang w:val="en-US" w:eastAsia="zh-CN"/>
                    </w:rPr>
                    <w:t>22.5</w:t>
                  </w:r>
                </w:p>
              </w:tc>
              <w:tc>
                <w:tcPr>
                  <w:tcW w:w="488" w:type="pct"/>
                  <w:noWrap w:val="0"/>
                  <w:vAlign w:val="center"/>
                </w:tcPr>
                <w:p w14:paraId="157F70EA">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23.375</w:t>
                  </w:r>
                </w:p>
              </w:tc>
              <w:tc>
                <w:tcPr>
                  <w:tcW w:w="2518" w:type="pct"/>
                  <w:noWrap w:val="0"/>
                  <w:vAlign w:val="center"/>
                </w:tcPr>
                <w:p w14:paraId="365F1A5E">
                  <w:pPr>
                    <w:pStyle w:val="17"/>
                    <w:jc w:val="center"/>
                    <w:rPr>
                      <w:rFonts w:hint="default"/>
                      <w:color w:val="auto"/>
                      <w:vertAlign w:val="baseline"/>
                      <w:lang w:val="en-US" w:eastAsia="zh-CN"/>
                    </w:rPr>
                  </w:pPr>
                  <w:r>
                    <w:rPr>
                      <w:rFonts w:hint="eastAsia"/>
                      <w:color w:val="auto"/>
                      <w:vertAlign w:val="baseline"/>
                      <w:lang w:val="en-US" w:eastAsia="zh-CN"/>
                    </w:rPr>
                    <w:t>/</w:t>
                  </w:r>
                </w:p>
              </w:tc>
            </w:tr>
          </w:tbl>
          <w:p w14:paraId="2813726D">
            <w:pPr>
              <w:pStyle w:val="4"/>
              <w:bidi w:val="0"/>
              <w:rPr>
                <w:rFonts w:hint="eastAsia"/>
                <w:color w:val="auto"/>
                <w:lang w:val="en-US" w:eastAsia="zh-CN"/>
              </w:rPr>
            </w:pPr>
            <w:bookmarkStart w:id="149" w:name="_Toc12165"/>
            <w:bookmarkStart w:id="150" w:name="_Toc11726"/>
            <w:bookmarkStart w:id="151" w:name="_Toc8535"/>
            <w:r>
              <w:rPr>
                <w:rFonts w:hint="eastAsia"/>
                <w:color w:val="auto"/>
                <w:lang w:val="en-US" w:eastAsia="zh-CN"/>
              </w:rPr>
              <w:t>6、项目主要生产设备</w:t>
            </w:r>
            <w:bookmarkEnd w:id="147"/>
            <w:bookmarkEnd w:id="148"/>
            <w:bookmarkEnd w:id="149"/>
            <w:bookmarkEnd w:id="150"/>
            <w:bookmarkEnd w:id="151"/>
          </w:p>
          <w:p w14:paraId="5FC1EE9D">
            <w:pPr>
              <w:rPr>
                <w:rFonts w:hint="eastAsia"/>
                <w:color w:val="auto"/>
                <w:lang w:val="en-US" w:eastAsia="zh-CN"/>
              </w:rPr>
            </w:pPr>
            <w:r>
              <w:rPr>
                <w:rFonts w:hint="eastAsia"/>
                <w:color w:val="auto"/>
                <w:lang w:val="en-US" w:eastAsia="zh-CN"/>
              </w:rPr>
              <w:t>本项目主要生产设备详见表2-3。</w:t>
            </w:r>
          </w:p>
          <w:p w14:paraId="728FEC90">
            <w:pPr>
              <w:pStyle w:val="18"/>
              <w:bidi w:val="0"/>
              <w:rPr>
                <w:rFonts w:hint="eastAsia"/>
                <w:color w:val="auto"/>
                <w:lang w:val="en-US" w:eastAsia="zh-CN"/>
              </w:rPr>
            </w:pPr>
            <w:r>
              <w:rPr>
                <w:rFonts w:hint="eastAsia"/>
                <w:color w:val="auto"/>
                <w:lang w:val="en-US" w:eastAsia="zh-CN"/>
              </w:rPr>
              <w:t>表2-3 项目主要生产设备一览表</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833"/>
              <w:gridCol w:w="1657"/>
              <w:gridCol w:w="781"/>
              <w:gridCol w:w="1203"/>
              <w:gridCol w:w="1444"/>
              <w:gridCol w:w="736"/>
            </w:tblGrid>
            <w:tr w14:paraId="37285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Merge w:val="restart"/>
                  <w:noWrap w:val="0"/>
                  <w:vAlign w:val="center"/>
                </w:tcPr>
                <w:p w14:paraId="368E180B">
                  <w:pPr>
                    <w:pStyle w:val="17"/>
                    <w:jc w:val="center"/>
                    <w:rPr>
                      <w:rFonts w:hint="default"/>
                      <w:color w:val="auto"/>
                      <w:vertAlign w:val="baseline"/>
                      <w:lang w:val="en-US" w:eastAsia="zh-CN"/>
                    </w:rPr>
                  </w:pPr>
                  <w:r>
                    <w:rPr>
                      <w:rFonts w:hint="eastAsia"/>
                      <w:color w:val="auto"/>
                      <w:vertAlign w:val="baseline"/>
                      <w:lang w:val="en-US" w:eastAsia="zh-CN"/>
                    </w:rPr>
                    <w:t>序号</w:t>
                  </w:r>
                </w:p>
              </w:tc>
              <w:tc>
                <w:tcPr>
                  <w:tcW w:w="1094" w:type="pct"/>
                  <w:vMerge w:val="restart"/>
                  <w:noWrap w:val="0"/>
                  <w:vAlign w:val="center"/>
                </w:tcPr>
                <w:p w14:paraId="0C024B32">
                  <w:pPr>
                    <w:pStyle w:val="17"/>
                    <w:jc w:val="center"/>
                    <w:rPr>
                      <w:rFonts w:hint="default"/>
                      <w:color w:val="auto"/>
                      <w:vertAlign w:val="baseline"/>
                      <w:lang w:val="en-US" w:eastAsia="zh-CN"/>
                    </w:rPr>
                  </w:pPr>
                  <w:r>
                    <w:rPr>
                      <w:rFonts w:hint="eastAsia"/>
                      <w:color w:val="auto"/>
                      <w:vertAlign w:val="baseline"/>
                      <w:lang w:val="en-US" w:eastAsia="zh-CN"/>
                    </w:rPr>
                    <w:t>设备名称</w:t>
                  </w:r>
                </w:p>
              </w:tc>
              <w:tc>
                <w:tcPr>
                  <w:tcW w:w="989" w:type="pct"/>
                  <w:vMerge w:val="restart"/>
                  <w:noWrap w:val="0"/>
                  <w:vAlign w:val="center"/>
                </w:tcPr>
                <w:p w14:paraId="59975083">
                  <w:pPr>
                    <w:pStyle w:val="17"/>
                    <w:jc w:val="center"/>
                    <w:rPr>
                      <w:rFonts w:hint="default"/>
                      <w:color w:val="auto"/>
                      <w:vertAlign w:val="baseline"/>
                      <w:lang w:val="en-US" w:eastAsia="zh-CN"/>
                    </w:rPr>
                  </w:pPr>
                  <w:r>
                    <w:rPr>
                      <w:rFonts w:hint="eastAsia"/>
                      <w:color w:val="auto"/>
                      <w:vertAlign w:val="baseline"/>
                      <w:lang w:val="en-US" w:eastAsia="zh-CN"/>
                    </w:rPr>
                    <w:t>型号</w:t>
                  </w:r>
                </w:p>
              </w:tc>
              <w:tc>
                <w:tcPr>
                  <w:tcW w:w="2046" w:type="pct"/>
                  <w:gridSpan w:val="3"/>
                  <w:noWrap w:val="0"/>
                  <w:vAlign w:val="center"/>
                </w:tcPr>
                <w:p w14:paraId="74927C8E">
                  <w:pPr>
                    <w:pStyle w:val="17"/>
                    <w:jc w:val="center"/>
                    <w:rPr>
                      <w:rFonts w:hint="default"/>
                      <w:color w:val="auto"/>
                      <w:vertAlign w:val="baseline"/>
                      <w:lang w:val="en-US" w:eastAsia="zh-CN"/>
                    </w:rPr>
                  </w:pPr>
                  <w:r>
                    <w:rPr>
                      <w:rFonts w:hint="eastAsia"/>
                      <w:color w:val="auto"/>
                      <w:vertAlign w:val="baseline"/>
                      <w:lang w:val="en-US" w:eastAsia="zh-CN"/>
                    </w:rPr>
                    <w:t>数量</w:t>
                  </w:r>
                </w:p>
              </w:tc>
              <w:tc>
                <w:tcPr>
                  <w:tcW w:w="439" w:type="pct"/>
                  <w:vMerge w:val="restart"/>
                  <w:noWrap w:val="0"/>
                  <w:vAlign w:val="center"/>
                </w:tcPr>
                <w:p w14:paraId="6203B957">
                  <w:pPr>
                    <w:pStyle w:val="17"/>
                    <w:jc w:val="center"/>
                    <w:rPr>
                      <w:rFonts w:hint="default"/>
                      <w:color w:val="auto"/>
                      <w:vertAlign w:val="baseline"/>
                      <w:lang w:val="en-US" w:eastAsia="zh-CN"/>
                    </w:rPr>
                  </w:pPr>
                  <w:r>
                    <w:rPr>
                      <w:rFonts w:hint="eastAsia"/>
                      <w:color w:val="auto"/>
                      <w:vertAlign w:val="baseline"/>
                      <w:lang w:val="en-US" w:eastAsia="zh-CN"/>
                    </w:rPr>
                    <w:t>备注</w:t>
                  </w:r>
                </w:p>
              </w:tc>
            </w:tr>
            <w:tr w14:paraId="2E17C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Merge w:val="continue"/>
                  <w:noWrap w:val="0"/>
                  <w:vAlign w:val="center"/>
                </w:tcPr>
                <w:p w14:paraId="6A485EAC">
                  <w:pPr>
                    <w:pStyle w:val="17"/>
                    <w:jc w:val="center"/>
                    <w:rPr>
                      <w:rFonts w:hint="eastAsia"/>
                      <w:color w:val="auto"/>
                      <w:vertAlign w:val="baseline"/>
                      <w:lang w:val="en-US" w:eastAsia="zh-CN"/>
                    </w:rPr>
                  </w:pPr>
                </w:p>
              </w:tc>
              <w:tc>
                <w:tcPr>
                  <w:tcW w:w="1094" w:type="pct"/>
                  <w:vMerge w:val="continue"/>
                  <w:noWrap w:val="0"/>
                  <w:vAlign w:val="center"/>
                </w:tcPr>
                <w:p w14:paraId="576FF9DA">
                  <w:pPr>
                    <w:pStyle w:val="17"/>
                    <w:jc w:val="center"/>
                    <w:rPr>
                      <w:rFonts w:hint="eastAsia"/>
                      <w:color w:val="auto"/>
                      <w:vertAlign w:val="baseline"/>
                      <w:lang w:val="en-US" w:eastAsia="zh-CN"/>
                    </w:rPr>
                  </w:pPr>
                </w:p>
              </w:tc>
              <w:tc>
                <w:tcPr>
                  <w:tcW w:w="989" w:type="pct"/>
                  <w:vMerge w:val="continue"/>
                  <w:noWrap w:val="0"/>
                  <w:vAlign w:val="center"/>
                </w:tcPr>
                <w:p w14:paraId="070640AB">
                  <w:pPr>
                    <w:pStyle w:val="17"/>
                    <w:jc w:val="center"/>
                    <w:rPr>
                      <w:rFonts w:hint="eastAsia"/>
                      <w:color w:val="auto"/>
                      <w:vertAlign w:val="baseline"/>
                      <w:lang w:val="en-US" w:eastAsia="zh-CN"/>
                    </w:rPr>
                  </w:pPr>
                </w:p>
              </w:tc>
              <w:tc>
                <w:tcPr>
                  <w:tcW w:w="466" w:type="pct"/>
                  <w:noWrap w:val="0"/>
                  <w:vAlign w:val="center"/>
                </w:tcPr>
                <w:p w14:paraId="744C29F9">
                  <w:pPr>
                    <w:pStyle w:val="17"/>
                    <w:jc w:val="center"/>
                    <w:rPr>
                      <w:rFonts w:hint="default"/>
                      <w:color w:val="auto"/>
                      <w:vertAlign w:val="baseline"/>
                      <w:lang w:val="en-US" w:eastAsia="zh-CN"/>
                    </w:rPr>
                  </w:pPr>
                  <w:r>
                    <w:rPr>
                      <w:rFonts w:hint="eastAsia"/>
                      <w:color w:val="auto"/>
                      <w:vertAlign w:val="baseline"/>
                      <w:lang w:val="en-US" w:eastAsia="zh-CN"/>
                    </w:rPr>
                    <w:t>现有</w:t>
                  </w:r>
                </w:p>
              </w:tc>
              <w:tc>
                <w:tcPr>
                  <w:tcW w:w="718" w:type="pct"/>
                  <w:noWrap w:val="0"/>
                  <w:vAlign w:val="center"/>
                </w:tcPr>
                <w:p w14:paraId="1D1BB138">
                  <w:pPr>
                    <w:pStyle w:val="17"/>
                    <w:jc w:val="center"/>
                    <w:rPr>
                      <w:rFonts w:hint="default"/>
                      <w:color w:val="auto"/>
                      <w:vertAlign w:val="baseline"/>
                      <w:lang w:val="en-US" w:eastAsia="zh-CN"/>
                    </w:rPr>
                  </w:pPr>
                  <w:r>
                    <w:rPr>
                      <w:rFonts w:hint="eastAsia"/>
                      <w:color w:val="auto"/>
                      <w:vertAlign w:val="baseline"/>
                      <w:lang w:val="en-US" w:eastAsia="zh-CN"/>
                    </w:rPr>
                    <w:t>改建变动</w:t>
                  </w:r>
                </w:p>
              </w:tc>
              <w:tc>
                <w:tcPr>
                  <w:tcW w:w="861" w:type="pct"/>
                  <w:noWrap w:val="0"/>
                  <w:vAlign w:val="center"/>
                </w:tcPr>
                <w:p w14:paraId="786BF224">
                  <w:pPr>
                    <w:pStyle w:val="17"/>
                    <w:jc w:val="center"/>
                    <w:rPr>
                      <w:rFonts w:hint="default"/>
                      <w:color w:val="auto"/>
                      <w:vertAlign w:val="baseline"/>
                      <w:lang w:val="en-US" w:eastAsia="zh-CN"/>
                    </w:rPr>
                  </w:pPr>
                  <w:r>
                    <w:rPr>
                      <w:rFonts w:hint="eastAsia"/>
                      <w:color w:val="auto"/>
                      <w:vertAlign w:val="baseline"/>
                      <w:lang w:val="en-US" w:eastAsia="zh-CN"/>
                    </w:rPr>
                    <w:t>改建后合计</w:t>
                  </w:r>
                </w:p>
              </w:tc>
              <w:tc>
                <w:tcPr>
                  <w:tcW w:w="439" w:type="pct"/>
                  <w:vMerge w:val="continue"/>
                  <w:noWrap w:val="0"/>
                  <w:vAlign w:val="center"/>
                </w:tcPr>
                <w:p w14:paraId="03D77871">
                  <w:pPr>
                    <w:pStyle w:val="17"/>
                    <w:jc w:val="center"/>
                    <w:rPr>
                      <w:rFonts w:hint="eastAsia"/>
                      <w:color w:val="auto"/>
                      <w:vertAlign w:val="baseline"/>
                      <w:lang w:val="en-US" w:eastAsia="zh-CN"/>
                    </w:rPr>
                  </w:pPr>
                </w:p>
              </w:tc>
            </w:tr>
            <w:tr w14:paraId="67BDE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noWrap w:val="0"/>
                  <w:vAlign w:val="center"/>
                </w:tcPr>
                <w:p w14:paraId="3F29C09B">
                  <w:pPr>
                    <w:pStyle w:val="17"/>
                    <w:jc w:val="both"/>
                    <w:rPr>
                      <w:rFonts w:hint="default"/>
                      <w:color w:val="auto"/>
                      <w:vertAlign w:val="baseline"/>
                      <w:lang w:val="en-US" w:eastAsia="zh-CN"/>
                    </w:rPr>
                  </w:pPr>
                  <w:r>
                    <w:rPr>
                      <w:rFonts w:hint="eastAsia"/>
                      <w:b/>
                      <w:bCs/>
                      <w:color w:val="auto"/>
                      <w:vertAlign w:val="baseline"/>
                      <w:lang w:val="en-US" w:eastAsia="zh-CN"/>
                    </w:rPr>
                    <w:t>破碎工序</w:t>
                  </w:r>
                </w:p>
              </w:tc>
            </w:tr>
            <w:tr w14:paraId="05A8C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noWrap w:val="0"/>
                  <w:vAlign w:val="center"/>
                </w:tcPr>
                <w:p w14:paraId="43FBFD94">
                  <w:pPr>
                    <w:pStyle w:val="17"/>
                    <w:jc w:val="center"/>
                    <w:rPr>
                      <w:rFonts w:hint="default"/>
                      <w:color w:val="auto"/>
                      <w:vertAlign w:val="baseline"/>
                      <w:lang w:val="en-US" w:eastAsia="zh-CN"/>
                    </w:rPr>
                  </w:pPr>
                  <w:r>
                    <w:rPr>
                      <w:rFonts w:hint="eastAsia"/>
                      <w:color w:val="auto"/>
                      <w:vertAlign w:val="baseline"/>
                      <w:lang w:val="en-US" w:eastAsia="zh-CN"/>
                    </w:rPr>
                    <w:t>1</w:t>
                  </w:r>
                </w:p>
              </w:tc>
              <w:tc>
                <w:tcPr>
                  <w:tcW w:w="1094" w:type="pct"/>
                  <w:noWrap w:val="0"/>
                  <w:vAlign w:val="center"/>
                </w:tcPr>
                <w:p w14:paraId="154C85BB">
                  <w:pPr>
                    <w:pStyle w:val="17"/>
                    <w:jc w:val="center"/>
                    <w:rPr>
                      <w:rFonts w:hint="default"/>
                      <w:color w:val="auto"/>
                      <w:vertAlign w:val="baseline"/>
                      <w:lang w:val="en-US" w:eastAsia="zh-CN"/>
                    </w:rPr>
                  </w:pPr>
                  <w:r>
                    <w:rPr>
                      <w:rFonts w:hint="eastAsia"/>
                      <w:color w:val="auto"/>
                      <w:vertAlign w:val="baseline"/>
                      <w:lang w:val="en-US" w:eastAsia="zh-CN"/>
                    </w:rPr>
                    <w:t>给料机</w:t>
                  </w:r>
                </w:p>
              </w:tc>
              <w:tc>
                <w:tcPr>
                  <w:tcW w:w="989" w:type="pct"/>
                  <w:noWrap w:val="0"/>
                  <w:vAlign w:val="center"/>
                </w:tcPr>
                <w:p w14:paraId="2D0AFF1A">
                  <w:pPr>
                    <w:pStyle w:val="17"/>
                    <w:jc w:val="center"/>
                    <w:rPr>
                      <w:rFonts w:hint="default"/>
                      <w:color w:val="auto"/>
                      <w:vertAlign w:val="baseline"/>
                      <w:lang w:val="en-US" w:eastAsia="zh-CN"/>
                    </w:rPr>
                  </w:pPr>
                  <w:r>
                    <w:rPr>
                      <w:rFonts w:hint="eastAsia"/>
                      <w:color w:val="auto"/>
                      <w:vertAlign w:val="baseline"/>
                      <w:lang w:val="en-US" w:eastAsia="zh-CN"/>
                    </w:rPr>
                    <w:t>ZSW-490</w:t>
                  </w:r>
                  <w:r>
                    <w:rPr>
                      <w:rFonts w:hint="default" w:ascii="Times New Roman" w:hAnsi="Times New Roman" w:cs="Times New Roman"/>
                      <w:color w:val="auto"/>
                      <w:vertAlign w:val="baseline"/>
                      <w:lang w:val="en-US" w:eastAsia="zh-CN"/>
                    </w:rPr>
                    <w:t>×</w:t>
                  </w:r>
                  <w:r>
                    <w:rPr>
                      <w:rFonts w:hint="eastAsia" w:cs="Times New Roman"/>
                      <w:color w:val="auto"/>
                      <w:vertAlign w:val="baseline"/>
                      <w:lang w:val="en-US" w:eastAsia="zh-CN"/>
                    </w:rPr>
                    <w:t>96</w:t>
                  </w:r>
                </w:p>
              </w:tc>
              <w:tc>
                <w:tcPr>
                  <w:tcW w:w="466" w:type="pct"/>
                  <w:noWrap w:val="0"/>
                  <w:vAlign w:val="center"/>
                </w:tcPr>
                <w:p w14:paraId="187EF452">
                  <w:pPr>
                    <w:pStyle w:val="17"/>
                    <w:jc w:val="center"/>
                    <w:rPr>
                      <w:rFonts w:hint="default"/>
                      <w:color w:val="auto"/>
                      <w:vertAlign w:val="baseline"/>
                      <w:lang w:val="en-US" w:eastAsia="zh-CN"/>
                    </w:rPr>
                  </w:pPr>
                  <w:r>
                    <w:rPr>
                      <w:rFonts w:hint="eastAsia"/>
                      <w:color w:val="auto"/>
                      <w:vertAlign w:val="baseline"/>
                      <w:lang w:val="en-US" w:eastAsia="zh-CN"/>
                    </w:rPr>
                    <w:t>1台</w:t>
                  </w:r>
                </w:p>
              </w:tc>
              <w:tc>
                <w:tcPr>
                  <w:tcW w:w="718" w:type="pct"/>
                  <w:noWrap w:val="0"/>
                  <w:vAlign w:val="center"/>
                </w:tcPr>
                <w:p w14:paraId="46F0C267">
                  <w:pPr>
                    <w:pStyle w:val="17"/>
                    <w:jc w:val="center"/>
                    <w:rPr>
                      <w:rFonts w:hint="default"/>
                      <w:color w:val="auto"/>
                      <w:vertAlign w:val="baseline"/>
                      <w:lang w:val="en-US" w:eastAsia="zh-CN"/>
                    </w:rPr>
                  </w:pPr>
                  <w:r>
                    <w:rPr>
                      <w:rFonts w:hint="eastAsia"/>
                      <w:color w:val="auto"/>
                      <w:vertAlign w:val="baseline"/>
                      <w:lang w:val="en-US" w:eastAsia="zh-CN"/>
                    </w:rPr>
                    <w:t>0台</w:t>
                  </w:r>
                </w:p>
              </w:tc>
              <w:tc>
                <w:tcPr>
                  <w:tcW w:w="861" w:type="pct"/>
                  <w:noWrap w:val="0"/>
                  <w:vAlign w:val="center"/>
                </w:tcPr>
                <w:p w14:paraId="2ED59E02">
                  <w:pPr>
                    <w:pStyle w:val="17"/>
                    <w:ind w:firstLine="0" w:firstLineChars="0"/>
                    <w:jc w:val="center"/>
                    <w:rPr>
                      <w:rFonts w:hint="eastAsia"/>
                      <w:color w:val="auto"/>
                      <w:vertAlign w:val="baseline"/>
                      <w:lang w:val="en-US" w:eastAsia="zh-CN"/>
                    </w:rPr>
                  </w:pPr>
                  <w:r>
                    <w:rPr>
                      <w:rFonts w:hint="eastAsia"/>
                      <w:color w:val="auto"/>
                      <w:vertAlign w:val="baseline"/>
                      <w:lang w:val="en-US" w:eastAsia="zh-CN"/>
                    </w:rPr>
                    <w:t>1台</w:t>
                  </w:r>
                </w:p>
              </w:tc>
              <w:tc>
                <w:tcPr>
                  <w:tcW w:w="439" w:type="pct"/>
                  <w:noWrap w:val="0"/>
                  <w:vAlign w:val="center"/>
                </w:tcPr>
                <w:p w14:paraId="7B633A7E">
                  <w:pPr>
                    <w:pStyle w:val="17"/>
                    <w:jc w:val="center"/>
                    <w:rPr>
                      <w:rFonts w:hint="default"/>
                      <w:color w:val="auto"/>
                      <w:vertAlign w:val="baseline"/>
                      <w:lang w:val="en-US" w:eastAsia="zh-CN"/>
                    </w:rPr>
                  </w:pPr>
                  <w:r>
                    <w:rPr>
                      <w:rFonts w:hint="eastAsia"/>
                      <w:color w:val="auto"/>
                      <w:vertAlign w:val="baseline"/>
                      <w:lang w:val="en-US" w:eastAsia="zh-CN"/>
                    </w:rPr>
                    <w:t>现有</w:t>
                  </w:r>
                </w:p>
              </w:tc>
            </w:tr>
            <w:tr w14:paraId="4CCA6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noWrap w:val="0"/>
                  <w:vAlign w:val="center"/>
                </w:tcPr>
                <w:p w14:paraId="511F1009">
                  <w:pPr>
                    <w:pStyle w:val="17"/>
                    <w:jc w:val="center"/>
                    <w:rPr>
                      <w:rFonts w:hint="default"/>
                      <w:color w:val="auto"/>
                      <w:vertAlign w:val="baseline"/>
                      <w:lang w:val="en-US" w:eastAsia="zh-CN"/>
                    </w:rPr>
                  </w:pPr>
                  <w:r>
                    <w:rPr>
                      <w:rFonts w:hint="eastAsia"/>
                      <w:color w:val="auto"/>
                      <w:vertAlign w:val="baseline"/>
                      <w:lang w:val="en-US" w:eastAsia="zh-CN"/>
                    </w:rPr>
                    <w:t>2</w:t>
                  </w:r>
                </w:p>
              </w:tc>
              <w:tc>
                <w:tcPr>
                  <w:tcW w:w="1094" w:type="pct"/>
                  <w:noWrap w:val="0"/>
                  <w:vAlign w:val="center"/>
                </w:tcPr>
                <w:p w14:paraId="111F208C">
                  <w:pPr>
                    <w:pStyle w:val="17"/>
                    <w:jc w:val="center"/>
                    <w:rPr>
                      <w:rFonts w:hint="default"/>
                      <w:color w:val="auto"/>
                      <w:vertAlign w:val="baseline"/>
                      <w:lang w:val="en-US" w:eastAsia="zh-CN"/>
                    </w:rPr>
                  </w:pPr>
                  <w:r>
                    <w:rPr>
                      <w:rFonts w:hint="eastAsia"/>
                      <w:color w:val="auto"/>
                      <w:vertAlign w:val="baseline"/>
                      <w:lang w:val="en-US" w:eastAsia="zh-CN"/>
                    </w:rPr>
                    <w:t>颚式破碎机</w:t>
                  </w:r>
                </w:p>
              </w:tc>
              <w:tc>
                <w:tcPr>
                  <w:tcW w:w="989" w:type="pct"/>
                  <w:noWrap w:val="0"/>
                  <w:vAlign w:val="center"/>
                </w:tcPr>
                <w:p w14:paraId="24F21625">
                  <w:pPr>
                    <w:pStyle w:val="17"/>
                    <w:jc w:val="center"/>
                    <w:rPr>
                      <w:rFonts w:hint="default"/>
                      <w:color w:val="auto"/>
                      <w:vertAlign w:val="baseline"/>
                      <w:lang w:val="en-US" w:eastAsia="zh-CN"/>
                    </w:rPr>
                  </w:pPr>
                  <w:r>
                    <w:rPr>
                      <w:rFonts w:hint="eastAsia"/>
                      <w:color w:val="auto"/>
                      <w:vertAlign w:val="baseline"/>
                      <w:lang w:val="en-US" w:eastAsia="zh-CN"/>
                    </w:rPr>
                    <w:t>PE-800</w:t>
                  </w:r>
                  <w:r>
                    <w:rPr>
                      <w:rFonts w:hint="default" w:ascii="Times New Roman" w:hAnsi="Times New Roman" w:cs="Times New Roman"/>
                      <w:color w:val="auto"/>
                      <w:vertAlign w:val="baseline"/>
                      <w:lang w:val="en-US" w:eastAsia="zh-CN"/>
                    </w:rPr>
                    <w:t>×</w:t>
                  </w:r>
                  <w:r>
                    <w:rPr>
                      <w:rFonts w:hint="eastAsia" w:ascii="Times New Roman" w:hAnsi="Times New Roman" w:cs="Times New Roman"/>
                      <w:color w:val="auto"/>
                      <w:vertAlign w:val="baseline"/>
                      <w:lang w:val="en-US" w:eastAsia="zh-CN"/>
                    </w:rPr>
                    <w:t>1060</w:t>
                  </w:r>
                </w:p>
              </w:tc>
              <w:tc>
                <w:tcPr>
                  <w:tcW w:w="466" w:type="pct"/>
                  <w:noWrap w:val="0"/>
                  <w:vAlign w:val="center"/>
                </w:tcPr>
                <w:p w14:paraId="1AC8451A">
                  <w:pPr>
                    <w:pStyle w:val="17"/>
                    <w:jc w:val="center"/>
                    <w:rPr>
                      <w:rFonts w:hint="default"/>
                      <w:color w:val="auto"/>
                      <w:vertAlign w:val="baseline"/>
                      <w:lang w:val="en-US" w:eastAsia="zh-CN"/>
                    </w:rPr>
                  </w:pPr>
                  <w:r>
                    <w:rPr>
                      <w:rFonts w:hint="eastAsia"/>
                      <w:color w:val="auto"/>
                      <w:vertAlign w:val="baseline"/>
                      <w:lang w:val="en-US" w:eastAsia="zh-CN"/>
                    </w:rPr>
                    <w:t>1台</w:t>
                  </w:r>
                </w:p>
              </w:tc>
              <w:tc>
                <w:tcPr>
                  <w:tcW w:w="718" w:type="pct"/>
                  <w:noWrap w:val="0"/>
                  <w:vAlign w:val="center"/>
                </w:tcPr>
                <w:p w14:paraId="21A8CE43">
                  <w:pPr>
                    <w:pStyle w:val="17"/>
                    <w:jc w:val="center"/>
                    <w:rPr>
                      <w:rFonts w:hint="default"/>
                      <w:color w:val="auto"/>
                      <w:vertAlign w:val="baseline"/>
                      <w:lang w:val="en-US" w:eastAsia="zh-CN"/>
                    </w:rPr>
                  </w:pPr>
                  <w:r>
                    <w:rPr>
                      <w:rFonts w:hint="eastAsia"/>
                      <w:color w:val="auto"/>
                      <w:vertAlign w:val="baseline"/>
                      <w:lang w:val="en-US" w:eastAsia="zh-CN"/>
                    </w:rPr>
                    <w:t>0台</w:t>
                  </w:r>
                </w:p>
              </w:tc>
              <w:tc>
                <w:tcPr>
                  <w:tcW w:w="861" w:type="pct"/>
                  <w:noWrap w:val="0"/>
                  <w:vAlign w:val="center"/>
                </w:tcPr>
                <w:p w14:paraId="09CD3E58">
                  <w:pPr>
                    <w:pStyle w:val="17"/>
                    <w:ind w:firstLine="0" w:firstLineChars="0"/>
                    <w:jc w:val="center"/>
                    <w:rPr>
                      <w:rFonts w:hint="eastAsia"/>
                      <w:color w:val="auto"/>
                      <w:vertAlign w:val="baseline"/>
                      <w:lang w:val="en-US" w:eastAsia="zh-CN"/>
                    </w:rPr>
                  </w:pPr>
                  <w:r>
                    <w:rPr>
                      <w:rFonts w:hint="eastAsia"/>
                      <w:color w:val="auto"/>
                      <w:vertAlign w:val="baseline"/>
                      <w:lang w:val="en-US" w:eastAsia="zh-CN"/>
                    </w:rPr>
                    <w:t>1台</w:t>
                  </w:r>
                </w:p>
              </w:tc>
              <w:tc>
                <w:tcPr>
                  <w:tcW w:w="439" w:type="pct"/>
                  <w:noWrap w:val="0"/>
                  <w:vAlign w:val="center"/>
                </w:tcPr>
                <w:p w14:paraId="470C1739">
                  <w:pPr>
                    <w:pStyle w:val="17"/>
                    <w:jc w:val="center"/>
                    <w:rPr>
                      <w:rFonts w:hint="default"/>
                      <w:color w:val="auto"/>
                      <w:vertAlign w:val="baseline"/>
                      <w:lang w:val="en-US" w:eastAsia="zh-CN"/>
                    </w:rPr>
                  </w:pPr>
                  <w:r>
                    <w:rPr>
                      <w:rFonts w:hint="eastAsia"/>
                      <w:color w:val="auto"/>
                      <w:vertAlign w:val="baseline"/>
                      <w:lang w:val="en-US" w:eastAsia="zh-CN"/>
                    </w:rPr>
                    <w:t>现有</w:t>
                  </w:r>
                </w:p>
              </w:tc>
            </w:tr>
            <w:tr w14:paraId="029B6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noWrap w:val="0"/>
                  <w:vAlign w:val="center"/>
                </w:tcPr>
                <w:p w14:paraId="7614920C">
                  <w:pPr>
                    <w:pStyle w:val="17"/>
                    <w:jc w:val="center"/>
                    <w:rPr>
                      <w:rFonts w:hint="default"/>
                      <w:color w:val="auto"/>
                      <w:vertAlign w:val="baseline"/>
                      <w:lang w:val="en-US" w:eastAsia="zh-CN"/>
                    </w:rPr>
                  </w:pPr>
                  <w:r>
                    <w:rPr>
                      <w:rFonts w:hint="eastAsia"/>
                      <w:color w:val="auto"/>
                      <w:vertAlign w:val="baseline"/>
                      <w:lang w:val="en-US" w:eastAsia="zh-CN"/>
                    </w:rPr>
                    <w:t>3</w:t>
                  </w:r>
                </w:p>
              </w:tc>
              <w:tc>
                <w:tcPr>
                  <w:tcW w:w="1094" w:type="pct"/>
                  <w:noWrap w:val="0"/>
                  <w:vAlign w:val="center"/>
                </w:tcPr>
                <w:p w14:paraId="1DBB9DC1">
                  <w:pPr>
                    <w:pStyle w:val="17"/>
                    <w:jc w:val="center"/>
                    <w:rPr>
                      <w:rFonts w:hint="default"/>
                      <w:color w:val="auto"/>
                      <w:vertAlign w:val="baseline"/>
                      <w:lang w:val="en-US" w:eastAsia="zh-CN"/>
                    </w:rPr>
                  </w:pPr>
                  <w:r>
                    <w:rPr>
                      <w:rFonts w:hint="eastAsia"/>
                      <w:color w:val="auto"/>
                      <w:vertAlign w:val="baseline"/>
                      <w:lang w:val="en-US" w:eastAsia="zh-CN"/>
                    </w:rPr>
                    <w:t>反击破碎机</w:t>
                  </w:r>
                </w:p>
              </w:tc>
              <w:tc>
                <w:tcPr>
                  <w:tcW w:w="989" w:type="pct"/>
                  <w:noWrap w:val="0"/>
                  <w:vAlign w:val="center"/>
                </w:tcPr>
                <w:p w14:paraId="63EB8199">
                  <w:pPr>
                    <w:pStyle w:val="17"/>
                    <w:jc w:val="center"/>
                    <w:rPr>
                      <w:rFonts w:hint="default"/>
                      <w:color w:val="auto"/>
                      <w:vertAlign w:val="baseline"/>
                      <w:lang w:val="en-US" w:eastAsia="zh-CN"/>
                    </w:rPr>
                  </w:pPr>
                  <w:r>
                    <w:rPr>
                      <w:rFonts w:hint="eastAsia"/>
                      <w:color w:val="auto"/>
                      <w:vertAlign w:val="baseline"/>
                      <w:lang w:val="en-US" w:eastAsia="zh-CN"/>
                    </w:rPr>
                    <w:t>2PF-1212</w:t>
                  </w:r>
                </w:p>
              </w:tc>
              <w:tc>
                <w:tcPr>
                  <w:tcW w:w="466" w:type="pct"/>
                  <w:noWrap w:val="0"/>
                  <w:vAlign w:val="center"/>
                </w:tcPr>
                <w:p w14:paraId="11063063">
                  <w:pPr>
                    <w:pStyle w:val="17"/>
                    <w:jc w:val="center"/>
                    <w:rPr>
                      <w:rFonts w:hint="default"/>
                      <w:color w:val="auto"/>
                      <w:vertAlign w:val="baseline"/>
                      <w:lang w:val="en-US" w:eastAsia="zh-CN"/>
                    </w:rPr>
                  </w:pPr>
                  <w:r>
                    <w:rPr>
                      <w:rFonts w:hint="eastAsia"/>
                      <w:color w:val="auto"/>
                      <w:vertAlign w:val="baseline"/>
                      <w:lang w:val="en-US" w:eastAsia="zh-CN"/>
                    </w:rPr>
                    <w:t>1台</w:t>
                  </w:r>
                </w:p>
              </w:tc>
              <w:tc>
                <w:tcPr>
                  <w:tcW w:w="718" w:type="pct"/>
                  <w:noWrap w:val="0"/>
                  <w:vAlign w:val="center"/>
                </w:tcPr>
                <w:p w14:paraId="04C27154">
                  <w:pPr>
                    <w:pStyle w:val="17"/>
                    <w:ind w:firstLine="0" w:firstLineChars="0"/>
                    <w:jc w:val="center"/>
                    <w:rPr>
                      <w:rFonts w:hint="eastAsia"/>
                      <w:color w:val="auto"/>
                      <w:vertAlign w:val="baseline"/>
                      <w:lang w:val="en-US" w:eastAsia="zh-CN"/>
                    </w:rPr>
                  </w:pPr>
                  <w:r>
                    <w:rPr>
                      <w:rFonts w:hint="eastAsia"/>
                      <w:color w:val="auto"/>
                      <w:vertAlign w:val="baseline"/>
                      <w:lang w:val="en-US" w:eastAsia="zh-CN"/>
                    </w:rPr>
                    <w:t>0台</w:t>
                  </w:r>
                </w:p>
              </w:tc>
              <w:tc>
                <w:tcPr>
                  <w:tcW w:w="861" w:type="pct"/>
                  <w:noWrap w:val="0"/>
                  <w:vAlign w:val="center"/>
                </w:tcPr>
                <w:p w14:paraId="0D38F2C6">
                  <w:pPr>
                    <w:pStyle w:val="17"/>
                    <w:ind w:firstLine="0" w:firstLineChars="0"/>
                    <w:jc w:val="center"/>
                    <w:rPr>
                      <w:rFonts w:hint="eastAsia"/>
                      <w:color w:val="auto"/>
                      <w:vertAlign w:val="baseline"/>
                      <w:lang w:val="en-US" w:eastAsia="zh-CN"/>
                    </w:rPr>
                  </w:pPr>
                  <w:r>
                    <w:rPr>
                      <w:rFonts w:hint="eastAsia"/>
                      <w:color w:val="auto"/>
                      <w:vertAlign w:val="baseline"/>
                      <w:lang w:val="en-US" w:eastAsia="zh-CN"/>
                    </w:rPr>
                    <w:t>1台</w:t>
                  </w:r>
                </w:p>
              </w:tc>
              <w:tc>
                <w:tcPr>
                  <w:tcW w:w="439" w:type="pct"/>
                  <w:noWrap w:val="0"/>
                  <w:vAlign w:val="center"/>
                </w:tcPr>
                <w:p w14:paraId="5808EE10">
                  <w:pPr>
                    <w:pStyle w:val="17"/>
                    <w:jc w:val="center"/>
                    <w:rPr>
                      <w:rFonts w:hint="default"/>
                      <w:color w:val="auto"/>
                      <w:vertAlign w:val="baseline"/>
                      <w:lang w:val="en-US" w:eastAsia="zh-CN"/>
                    </w:rPr>
                  </w:pPr>
                  <w:r>
                    <w:rPr>
                      <w:rFonts w:hint="eastAsia"/>
                      <w:color w:val="auto"/>
                      <w:vertAlign w:val="baseline"/>
                      <w:lang w:val="en-US" w:eastAsia="zh-CN"/>
                    </w:rPr>
                    <w:t>现有</w:t>
                  </w:r>
                </w:p>
              </w:tc>
            </w:tr>
            <w:tr w14:paraId="5F0B5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noWrap w:val="0"/>
                  <w:vAlign w:val="center"/>
                </w:tcPr>
                <w:p w14:paraId="049EF32C">
                  <w:pPr>
                    <w:pStyle w:val="17"/>
                    <w:jc w:val="center"/>
                    <w:rPr>
                      <w:rFonts w:hint="default"/>
                      <w:color w:val="auto"/>
                      <w:vertAlign w:val="baseline"/>
                      <w:lang w:val="en-US" w:eastAsia="zh-CN"/>
                    </w:rPr>
                  </w:pPr>
                  <w:r>
                    <w:rPr>
                      <w:rFonts w:hint="eastAsia"/>
                      <w:color w:val="auto"/>
                      <w:vertAlign w:val="baseline"/>
                      <w:lang w:val="en-US" w:eastAsia="zh-CN"/>
                    </w:rPr>
                    <w:t>4</w:t>
                  </w:r>
                </w:p>
              </w:tc>
              <w:tc>
                <w:tcPr>
                  <w:tcW w:w="1094" w:type="pct"/>
                  <w:noWrap w:val="0"/>
                  <w:vAlign w:val="center"/>
                </w:tcPr>
                <w:p w14:paraId="17C6226C">
                  <w:pPr>
                    <w:pStyle w:val="17"/>
                    <w:jc w:val="center"/>
                    <w:rPr>
                      <w:rFonts w:hint="default"/>
                      <w:color w:val="auto"/>
                      <w:vertAlign w:val="baseline"/>
                      <w:lang w:val="en-US" w:eastAsia="zh-CN"/>
                    </w:rPr>
                  </w:pPr>
                  <w:r>
                    <w:rPr>
                      <w:rFonts w:hint="eastAsia"/>
                      <w:color w:val="auto"/>
                      <w:vertAlign w:val="baseline"/>
                      <w:lang w:val="en-US" w:eastAsia="zh-CN"/>
                    </w:rPr>
                    <w:t>冲击破碎机</w:t>
                  </w:r>
                </w:p>
              </w:tc>
              <w:tc>
                <w:tcPr>
                  <w:tcW w:w="989" w:type="pct"/>
                  <w:noWrap w:val="0"/>
                  <w:vAlign w:val="center"/>
                </w:tcPr>
                <w:p w14:paraId="3CEE855D">
                  <w:pPr>
                    <w:pStyle w:val="17"/>
                    <w:jc w:val="center"/>
                    <w:rPr>
                      <w:rFonts w:hint="default"/>
                      <w:color w:val="auto"/>
                      <w:vertAlign w:val="baseline"/>
                      <w:lang w:val="en-US" w:eastAsia="zh-CN"/>
                    </w:rPr>
                  </w:pPr>
                  <w:r>
                    <w:rPr>
                      <w:rFonts w:hint="eastAsia"/>
                      <w:color w:val="auto"/>
                      <w:vertAlign w:val="baseline"/>
                      <w:lang w:val="en-US" w:eastAsia="zh-CN"/>
                    </w:rPr>
                    <w:t>PE1210</w:t>
                  </w:r>
                </w:p>
              </w:tc>
              <w:tc>
                <w:tcPr>
                  <w:tcW w:w="466" w:type="pct"/>
                  <w:noWrap w:val="0"/>
                  <w:vAlign w:val="center"/>
                </w:tcPr>
                <w:p w14:paraId="127D0B1E">
                  <w:pPr>
                    <w:pStyle w:val="17"/>
                    <w:jc w:val="center"/>
                    <w:rPr>
                      <w:rFonts w:hint="default"/>
                      <w:color w:val="auto"/>
                      <w:vertAlign w:val="baseline"/>
                      <w:lang w:val="en-US" w:eastAsia="zh-CN"/>
                    </w:rPr>
                  </w:pPr>
                  <w:r>
                    <w:rPr>
                      <w:rFonts w:hint="eastAsia"/>
                      <w:color w:val="auto"/>
                      <w:vertAlign w:val="baseline"/>
                      <w:lang w:val="en-US" w:eastAsia="zh-CN"/>
                    </w:rPr>
                    <w:t>1台</w:t>
                  </w:r>
                </w:p>
              </w:tc>
              <w:tc>
                <w:tcPr>
                  <w:tcW w:w="718" w:type="pct"/>
                  <w:noWrap w:val="0"/>
                  <w:vAlign w:val="center"/>
                </w:tcPr>
                <w:p w14:paraId="027EC7EC">
                  <w:pPr>
                    <w:pStyle w:val="17"/>
                    <w:ind w:firstLine="0" w:firstLineChars="0"/>
                    <w:jc w:val="center"/>
                    <w:rPr>
                      <w:rFonts w:hint="eastAsia"/>
                      <w:color w:val="auto"/>
                      <w:vertAlign w:val="baseline"/>
                      <w:lang w:val="en-US" w:eastAsia="zh-CN"/>
                    </w:rPr>
                  </w:pPr>
                  <w:r>
                    <w:rPr>
                      <w:rFonts w:hint="eastAsia"/>
                      <w:color w:val="auto"/>
                      <w:vertAlign w:val="baseline"/>
                      <w:lang w:val="en-US" w:eastAsia="zh-CN"/>
                    </w:rPr>
                    <w:t>0台</w:t>
                  </w:r>
                </w:p>
              </w:tc>
              <w:tc>
                <w:tcPr>
                  <w:tcW w:w="861" w:type="pct"/>
                  <w:noWrap w:val="0"/>
                  <w:vAlign w:val="center"/>
                </w:tcPr>
                <w:p w14:paraId="07AAFE88">
                  <w:pPr>
                    <w:pStyle w:val="17"/>
                    <w:ind w:firstLine="0" w:firstLineChars="0"/>
                    <w:jc w:val="center"/>
                    <w:rPr>
                      <w:rFonts w:hint="eastAsia"/>
                      <w:color w:val="auto"/>
                      <w:vertAlign w:val="baseline"/>
                      <w:lang w:val="en-US" w:eastAsia="zh-CN"/>
                    </w:rPr>
                  </w:pPr>
                  <w:r>
                    <w:rPr>
                      <w:rFonts w:hint="eastAsia"/>
                      <w:color w:val="auto"/>
                      <w:vertAlign w:val="baseline"/>
                      <w:lang w:val="en-US" w:eastAsia="zh-CN"/>
                    </w:rPr>
                    <w:t>1台</w:t>
                  </w:r>
                </w:p>
              </w:tc>
              <w:tc>
                <w:tcPr>
                  <w:tcW w:w="439" w:type="pct"/>
                  <w:noWrap w:val="0"/>
                  <w:vAlign w:val="center"/>
                </w:tcPr>
                <w:p w14:paraId="6B39D8BA">
                  <w:pPr>
                    <w:pStyle w:val="17"/>
                    <w:jc w:val="center"/>
                    <w:rPr>
                      <w:rFonts w:hint="default"/>
                      <w:color w:val="auto"/>
                      <w:vertAlign w:val="baseline"/>
                      <w:lang w:val="en-US" w:eastAsia="zh-CN"/>
                    </w:rPr>
                  </w:pPr>
                  <w:r>
                    <w:rPr>
                      <w:rFonts w:hint="eastAsia"/>
                      <w:color w:val="auto"/>
                      <w:vertAlign w:val="baseline"/>
                      <w:lang w:val="en-US" w:eastAsia="zh-CN"/>
                    </w:rPr>
                    <w:t>现有</w:t>
                  </w:r>
                </w:p>
              </w:tc>
            </w:tr>
            <w:tr w14:paraId="1B642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noWrap w:val="0"/>
                  <w:vAlign w:val="center"/>
                </w:tcPr>
                <w:p w14:paraId="5B7CB3E8">
                  <w:pPr>
                    <w:pStyle w:val="17"/>
                    <w:jc w:val="center"/>
                    <w:rPr>
                      <w:rFonts w:hint="default"/>
                      <w:color w:val="auto"/>
                      <w:vertAlign w:val="baseline"/>
                      <w:lang w:val="en-US" w:eastAsia="zh-CN"/>
                    </w:rPr>
                  </w:pPr>
                  <w:r>
                    <w:rPr>
                      <w:rFonts w:hint="eastAsia"/>
                      <w:color w:val="auto"/>
                      <w:vertAlign w:val="baseline"/>
                      <w:lang w:val="en-US" w:eastAsia="zh-CN"/>
                    </w:rPr>
                    <w:t>5</w:t>
                  </w:r>
                </w:p>
              </w:tc>
              <w:tc>
                <w:tcPr>
                  <w:tcW w:w="1094" w:type="pct"/>
                  <w:noWrap w:val="0"/>
                  <w:vAlign w:val="center"/>
                </w:tcPr>
                <w:p w14:paraId="372AA57C">
                  <w:pPr>
                    <w:pStyle w:val="17"/>
                    <w:jc w:val="center"/>
                    <w:rPr>
                      <w:rFonts w:hint="default"/>
                      <w:color w:val="auto"/>
                      <w:vertAlign w:val="baseline"/>
                      <w:lang w:val="en-US" w:eastAsia="zh-CN"/>
                    </w:rPr>
                  </w:pPr>
                  <w:r>
                    <w:rPr>
                      <w:rFonts w:hint="eastAsia"/>
                      <w:color w:val="auto"/>
                      <w:vertAlign w:val="baseline"/>
                      <w:lang w:val="en-US" w:eastAsia="zh-CN"/>
                    </w:rPr>
                    <w:t>振动筛</w:t>
                  </w:r>
                </w:p>
              </w:tc>
              <w:tc>
                <w:tcPr>
                  <w:tcW w:w="989" w:type="pct"/>
                  <w:noWrap w:val="0"/>
                  <w:vAlign w:val="center"/>
                </w:tcPr>
                <w:p w14:paraId="46DEF2B7">
                  <w:pPr>
                    <w:pStyle w:val="17"/>
                    <w:jc w:val="center"/>
                    <w:rPr>
                      <w:rFonts w:hint="default"/>
                      <w:color w:val="auto"/>
                      <w:vertAlign w:val="baseline"/>
                      <w:lang w:val="en-US" w:eastAsia="zh-CN"/>
                    </w:rPr>
                  </w:pPr>
                  <w:r>
                    <w:rPr>
                      <w:rFonts w:hint="eastAsia"/>
                      <w:color w:val="auto"/>
                      <w:vertAlign w:val="baseline"/>
                      <w:lang w:val="en-US" w:eastAsia="zh-CN"/>
                    </w:rPr>
                    <w:t>3YK-1854</w:t>
                  </w:r>
                </w:p>
              </w:tc>
              <w:tc>
                <w:tcPr>
                  <w:tcW w:w="466" w:type="pct"/>
                  <w:noWrap w:val="0"/>
                  <w:vAlign w:val="center"/>
                </w:tcPr>
                <w:p w14:paraId="7D73BC8C">
                  <w:pPr>
                    <w:pStyle w:val="17"/>
                    <w:jc w:val="center"/>
                    <w:rPr>
                      <w:rFonts w:hint="default"/>
                      <w:color w:val="auto"/>
                      <w:vertAlign w:val="baseline"/>
                      <w:lang w:val="en-US" w:eastAsia="zh-CN"/>
                    </w:rPr>
                  </w:pPr>
                  <w:r>
                    <w:rPr>
                      <w:rFonts w:hint="eastAsia"/>
                      <w:color w:val="auto"/>
                      <w:vertAlign w:val="baseline"/>
                      <w:lang w:val="en-US" w:eastAsia="zh-CN"/>
                    </w:rPr>
                    <w:t>1台</w:t>
                  </w:r>
                </w:p>
              </w:tc>
              <w:tc>
                <w:tcPr>
                  <w:tcW w:w="718" w:type="pct"/>
                  <w:noWrap w:val="0"/>
                  <w:vAlign w:val="center"/>
                </w:tcPr>
                <w:p w14:paraId="4C39D713">
                  <w:pPr>
                    <w:pStyle w:val="17"/>
                    <w:ind w:firstLine="0" w:firstLineChars="0"/>
                    <w:jc w:val="center"/>
                    <w:rPr>
                      <w:rFonts w:hint="eastAsia"/>
                      <w:color w:val="auto"/>
                      <w:vertAlign w:val="baseline"/>
                      <w:lang w:val="en-US" w:eastAsia="zh-CN"/>
                    </w:rPr>
                  </w:pPr>
                  <w:r>
                    <w:rPr>
                      <w:rFonts w:hint="eastAsia"/>
                      <w:color w:val="auto"/>
                      <w:vertAlign w:val="baseline"/>
                      <w:lang w:val="en-US" w:eastAsia="zh-CN"/>
                    </w:rPr>
                    <w:t>0台</w:t>
                  </w:r>
                </w:p>
              </w:tc>
              <w:tc>
                <w:tcPr>
                  <w:tcW w:w="861" w:type="pct"/>
                  <w:noWrap w:val="0"/>
                  <w:vAlign w:val="center"/>
                </w:tcPr>
                <w:p w14:paraId="5BA26CD1">
                  <w:pPr>
                    <w:pStyle w:val="17"/>
                    <w:ind w:firstLine="0" w:firstLineChars="0"/>
                    <w:jc w:val="center"/>
                    <w:rPr>
                      <w:rFonts w:hint="eastAsia"/>
                      <w:color w:val="auto"/>
                      <w:vertAlign w:val="baseline"/>
                      <w:lang w:val="en-US" w:eastAsia="zh-CN"/>
                    </w:rPr>
                  </w:pPr>
                  <w:r>
                    <w:rPr>
                      <w:rFonts w:hint="eastAsia"/>
                      <w:color w:val="auto"/>
                      <w:vertAlign w:val="baseline"/>
                      <w:lang w:val="en-US" w:eastAsia="zh-CN"/>
                    </w:rPr>
                    <w:t>1台</w:t>
                  </w:r>
                </w:p>
              </w:tc>
              <w:tc>
                <w:tcPr>
                  <w:tcW w:w="439" w:type="pct"/>
                  <w:noWrap w:val="0"/>
                  <w:vAlign w:val="center"/>
                </w:tcPr>
                <w:p w14:paraId="7A07A3A7">
                  <w:pPr>
                    <w:pStyle w:val="17"/>
                    <w:jc w:val="center"/>
                    <w:rPr>
                      <w:rFonts w:hint="default"/>
                      <w:color w:val="auto"/>
                      <w:vertAlign w:val="baseline"/>
                      <w:lang w:val="en-US" w:eastAsia="zh-CN"/>
                    </w:rPr>
                  </w:pPr>
                  <w:r>
                    <w:rPr>
                      <w:rFonts w:hint="eastAsia"/>
                      <w:color w:val="auto"/>
                      <w:vertAlign w:val="baseline"/>
                      <w:lang w:val="en-US" w:eastAsia="zh-CN"/>
                    </w:rPr>
                    <w:t>现有</w:t>
                  </w:r>
                </w:p>
              </w:tc>
            </w:tr>
            <w:tr w14:paraId="3862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noWrap w:val="0"/>
                  <w:vAlign w:val="center"/>
                </w:tcPr>
                <w:p w14:paraId="6FD5A18D">
                  <w:pPr>
                    <w:pStyle w:val="17"/>
                    <w:ind w:firstLine="0" w:firstLineChars="0"/>
                    <w:jc w:val="center"/>
                    <w:rPr>
                      <w:rFonts w:hint="eastAsia"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6</w:t>
                  </w:r>
                </w:p>
              </w:tc>
              <w:tc>
                <w:tcPr>
                  <w:tcW w:w="1094" w:type="pct"/>
                  <w:noWrap w:val="0"/>
                  <w:vAlign w:val="center"/>
                </w:tcPr>
                <w:p w14:paraId="282E423F">
                  <w:pPr>
                    <w:pStyle w:val="17"/>
                    <w:jc w:val="center"/>
                    <w:rPr>
                      <w:rFonts w:hint="default"/>
                      <w:color w:val="auto"/>
                      <w:vertAlign w:val="baseline"/>
                      <w:lang w:val="en-US" w:eastAsia="zh-CN"/>
                    </w:rPr>
                  </w:pPr>
                  <w:r>
                    <w:rPr>
                      <w:rFonts w:hint="eastAsia"/>
                      <w:color w:val="auto"/>
                      <w:vertAlign w:val="baseline"/>
                      <w:lang w:val="en-US" w:eastAsia="zh-CN"/>
                    </w:rPr>
                    <w:t>分选设备</w:t>
                  </w:r>
                </w:p>
              </w:tc>
              <w:tc>
                <w:tcPr>
                  <w:tcW w:w="989" w:type="pct"/>
                  <w:noWrap w:val="0"/>
                  <w:vAlign w:val="center"/>
                </w:tcPr>
                <w:p w14:paraId="32212E50">
                  <w:pPr>
                    <w:pStyle w:val="17"/>
                    <w:jc w:val="center"/>
                    <w:rPr>
                      <w:rFonts w:hint="default"/>
                      <w:color w:val="auto"/>
                      <w:vertAlign w:val="baseline"/>
                      <w:lang w:val="en-US" w:eastAsia="zh-CN"/>
                    </w:rPr>
                  </w:pPr>
                  <w:r>
                    <w:rPr>
                      <w:rFonts w:hint="eastAsia"/>
                      <w:color w:val="auto"/>
                      <w:vertAlign w:val="baseline"/>
                      <w:lang w:val="en-US" w:eastAsia="zh-CN"/>
                    </w:rPr>
                    <w:t>/</w:t>
                  </w:r>
                </w:p>
              </w:tc>
              <w:tc>
                <w:tcPr>
                  <w:tcW w:w="466" w:type="pct"/>
                  <w:noWrap w:val="0"/>
                  <w:vAlign w:val="center"/>
                </w:tcPr>
                <w:p w14:paraId="2345E029">
                  <w:pPr>
                    <w:pStyle w:val="17"/>
                    <w:jc w:val="center"/>
                    <w:rPr>
                      <w:rFonts w:hint="default"/>
                      <w:color w:val="auto"/>
                      <w:vertAlign w:val="baseline"/>
                      <w:lang w:val="en-US" w:eastAsia="zh-CN"/>
                    </w:rPr>
                  </w:pPr>
                  <w:r>
                    <w:rPr>
                      <w:rFonts w:hint="eastAsia"/>
                      <w:color w:val="auto"/>
                      <w:vertAlign w:val="baseline"/>
                      <w:lang w:val="en-US" w:eastAsia="zh-CN"/>
                    </w:rPr>
                    <w:t>1台</w:t>
                  </w:r>
                </w:p>
              </w:tc>
              <w:tc>
                <w:tcPr>
                  <w:tcW w:w="718" w:type="pct"/>
                  <w:noWrap w:val="0"/>
                  <w:vAlign w:val="center"/>
                </w:tcPr>
                <w:p w14:paraId="69226543">
                  <w:pPr>
                    <w:pStyle w:val="17"/>
                    <w:jc w:val="center"/>
                    <w:rPr>
                      <w:rFonts w:hint="default"/>
                      <w:color w:val="auto"/>
                      <w:vertAlign w:val="baseline"/>
                      <w:lang w:val="en-US" w:eastAsia="zh-CN"/>
                    </w:rPr>
                  </w:pPr>
                  <w:r>
                    <w:rPr>
                      <w:rFonts w:hint="eastAsia"/>
                      <w:color w:val="auto"/>
                      <w:vertAlign w:val="baseline"/>
                      <w:lang w:val="en-US" w:eastAsia="zh-CN"/>
                    </w:rPr>
                    <w:t>+1台</w:t>
                  </w:r>
                </w:p>
              </w:tc>
              <w:tc>
                <w:tcPr>
                  <w:tcW w:w="861" w:type="pct"/>
                  <w:noWrap w:val="0"/>
                  <w:vAlign w:val="center"/>
                </w:tcPr>
                <w:p w14:paraId="68E19E61">
                  <w:pPr>
                    <w:pStyle w:val="17"/>
                    <w:jc w:val="center"/>
                    <w:rPr>
                      <w:rFonts w:hint="default"/>
                      <w:color w:val="auto"/>
                      <w:vertAlign w:val="baseline"/>
                      <w:lang w:val="en-US" w:eastAsia="zh-CN"/>
                    </w:rPr>
                  </w:pPr>
                  <w:r>
                    <w:rPr>
                      <w:rFonts w:hint="eastAsia"/>
                      <w:color w:val="auto"/>
                      <w:vertAlign w:val="baseline"/>
                      <w:lang w:val="en-US" w:eastAsia="zh-CN"/>
                    </w:rPr>
                    <w:t>2台</w:t>
                  </w:r>
                </w:p>
              </w:tc>
              <w:tc>
                <w:tcPr>
                  <w:tcW w:w="439" w:type="pct"/>
                  <w:noWrap w:val="0"/>
                  <w:vAlign w:val="center"/>
                </w:tcPr>
                <w:p w14:paraId="414559B9">
                  <w:pPr>
                    <w:pStyle w:val="17"/>
                    <w:jc w:val="center"/>
                    <w:rPr>
                      <w:rFonts w:hint="default"/>
                      <w:color w:val="auto"/>
                      <w:vertAlign w:val="baseline"/>
                      <w:lang w:val="en-US" w:eastAsia="zh-CN"/>
                    </w:rPr>
                  </w:pPr>
                  <w:r>
                    <w:rPr>
                      <w:rFonts w:hint="eastAsia"/>
                      <w:color w:val="auto"/>
                      <w:vertAlign w:val="baseline"/>
                      <w:lang w:val="en-US" w:eastAsia="zh-CN"/>
                    </w:rPr>
                    <w:t>新建1台</w:t>
                  </w:r>
                </w:p>
              </w:tc>
            </w:tr>
            <w:tr w14:paraId="31854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noWrap w:val="0"/>
                  <w:vAlign w:val="center"/>
                </w:tcPr>
                <w:p w14:paraId="36C7A089">
                  <w:pPr>
                    <w:pStyle w:val="17"/>
                    <w:ind w:firstLine="0" w:firstLineChars="0"/>
                    <w:jc w:val="center"/>
                    <w:rPr>
                      <w:rFonts w:hint="eastAsia"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7</w:t>
                  </w:r>
                </w:p>
              </w:tc>
              <w:tc>
                <w:tcPr>
                  <w:tcW w:w="1094" w:type="pct"/>
                  <w:noWrap w:val="0"/>
                  <w:vAlign w:val="center"/>
                </w:tcPr>
                <w:p w14:paraId="180618ED">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水洗滚筒筛</w:t>
                  </w:r>
                </w:p>
              </w:tc>
              <w:tc>
                <w:tcPr>
                  <w:tcW w:w="989" w:type="pct"/>
                  <w:noWrap w:val="0"/>
                  <w:vAlign w:val="center"/>
                </w:tcPr>
                <w:p w14:paraId="3EE52633">
                  <w:pPr>
                    <w:pStyle w:val="17"/>
                    <w:ind w:firstLine="0" w:firstLineChars="0"/>
                    <w:jc w:val="center"/>
                    <w:rPr>
                      <w:rFonts w:hint="eastAsia"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YK2270</w:t>
                  </w:r>
                </w:p>
              </w:tc>
              <w:tc>
                <w:tcPr>
                  <w:tcW w:w="466" w:type="pct"/>
                  <w:noWrap w:val="0"/>
                  <w:vAlign w:val="center"/>
                </w:tcPr>
                <w:p w14:paraId="2EEC2402">
                  <w:pPr>
                    <w:pStyle w:val="17"/>
                    <w:ind w:firstLine="0" w:firstLineChars="0"/>
                    <w:jc w:val="center"/>
                    <w:rPr>
                      <w:rFonts w:hint="eastAsia"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1台</w:t>
                  </w:r>
                </w:p>
              </w:tc>
              <w:tc>
                <w:tcPr>
                  <w:tcW w:w="718" w:type="pct"/>
                  <w:noWrap w:val="0"/>
                  <w:vAlign w:val="center"/>
                </w:tcPr>
                <w:p w14:paraId="4E9B41AC">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-1台</w:t>
                  </w:r>
                </w:p>
              </w:tc>
              <w:tc>
                <w:tcPr>
                  <w:tcW w:w="861" w:type="pct"/>
                  <w:noWrap w:val="0"/>
                  <w:vAlign w:val="center"/>
                </w:tcPr>
                <w:p w14:paraId="27945FDD">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0台</w:t>
                  </w:r>
                </w:p>
              </w:tc>
              <w:tc>
                <w:tcPr>
                  <w:tcW w:w="439" w:type="pct"/>
                  <w:noWrap w:val="0"/>
                  <w:vAlign w:val="center"/>
                </w:tcPr>
                <w:p w14:paraId="0313F914">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取消</w:t>
                  </w:r>
                </w:p>
              </w:tc>
            </w:tr>
            <w:tr w14:paraId="116F4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noWrap w:val="0"/>
                  <w:vAlign w:val="center"/>
                </w:tcPr>
                <w:p w14:paraId="2618E593">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8</w:t>
                  </w:r>
                </w:p>
              </w:tc>
              <w:tc>
                <w:tcPr>
                  <w:tcW w:w="1094" w:type="pct"/>
                  <w:noWrap w:val="0"/>
                  <w:vAlign w:val="center"/>
                </w:tcPr>
                <w:p w14:paraId="248B4646">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尾砂回收装置</w:t>
                  </w:r>
                </w:p>
              </w:tc>
              <w:tc>
                <w:tcPr>
                  <w:tcW w:w="989" w:type="pct"/>
                  <w:noWrap w:val="0"/>
                  <w:vAlign w:val="center"/>
                </w:tcPr>
                <w:p w14:paraId="68BE88A3">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w:t>
                  </w:r>
                </w:p>
              </w:tc>
              <w:tc>
                <w:tcPr>
                  <w:tcW w:w="466" w:type="pct"/>
                  <w:noWrap w:val="0"/>
                  <w:vAlign w:val="center"/>
                </w:tcPr>
                <w:p w14:paraId="2615DBEC">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1套</w:t>
                  </w:r>
                </w:p>
              </w:tc>
              <w:tc>
                <w:tcPr>
                  <w:tcW w:w="718" w:type="pct"/>
                  <w:noWrap w:val="0"/>
                  <w:vAlign w:val="center"/>
                </w:tcPr>
                <w:p w14:paraId="096CF85F">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s="Times New Roman"/>
                      <w:color w:val="auto"/>
                      <w:kern w:val="0"/>
                      <w:sz w:val="21"/>
                      <w:szCs w:val="21"/>
                      <w:vertAlign w:val="baseline"/>
                      <w:lang w:val="en-US" w:eastAsia="zh-CN" w:bidi="ar-SA"/>
                    </w:rPr>
                    <w:t>-1台</w:t>
                  </w:r>
                </w:p>
              </w:tc>
              <w:tc>
                <w:tcPr>
                  <w:tcW w:w="861" w:type="pct"/>
                  <w:noWrap w:val="0"/>
                  <w:vAlign w:val="center"/>
                </w:tcPr>
                <w:p w14:paraId="223C9B79">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s="Times New Roman"/>
                      <w:color w:val="auto"/>
                      <w:kern w:val="0"/>
                      <w:sz w:val="21"/>
                      <w:szCs w:val="21"/>
                      <w:vertAlign w:val="baseline"/>
                      <w:lang w:val="en-US" w:eastAsia="zh-CN" w:bidi="ar-SA"/>
                    </w:rPr>
                    <w:t>0台</w:t>
                  </w:r>
                </w:p>
              </w:tc>
              <w:tc>
                <w:tcPr>
                  <w:tcW w:w="439" w:type="pct"/>
                  <w:noWrap w:val="0"/>
                  <w:vAlign w:val="center"/>
                </w:tcPr>
                <w:p w14:paraId="126AEFD9">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取消</w:t>
                  </w:r>
                </w:p>
              </w:tc>
            </w:tr>
            <w:tr w14:paraId="35954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noWrap w:val="0"/>
                  <w:vAlign w:val="center"/>
                </w:tcPr>
                <w:p w14:paraId="7742A66F">
                  <w:pPr>
                    <w:pStyle w:val="17"/>
                    <w:ind w:firstLine="0" w:firstLineChars="0"/>
                    <w:jc w:val="center"/>
                    <w:rPr>
                      <w:rFonts w:hint="eastAsia"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9</w:t>
                  </w:r>
                </w:p>
              </w:tc>
              <w:tc>
                <w:tcPr>
                  <w:tcW w:w="1094" w:type="pct"/>
                  <w:noWrap w:val="0"/>
                  <w:vAlign w:val="center"/>
                </w:tcPr>
                <w:p w14:paraId="1403C39B">
                  <w:pPr>
                    <w:pStyle w:val="17"/>
                    <w:ind w:firstLine="0" w:firstLineChars="0"/>
                    <w:jc w:val="center"/>
                    <w:rPr>
                      <w:rFonts w:hint="eastAsia"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垃圾清洗设备</w:t>
                  </w:r>
                </w:p>
              </w:tc>
              <w:tc>
                <w:tcPr>
                  <w:tcW w:w="989" w:type="pct"/>
                  <w:noWrap w:val="0"/>
                  <w:vAlign w:val="center"/>
                </w:tcPr>
                <w:p w14:paraId="00616512">
                  <w:pPr>
                    <w:pStyle w:val="17"/>
                    <w:ind w:firstLine="0" w:firstLineChars="0"/>
                    <w:jc w:val="center"/>
                    <w:rPr>
                      <w:rFonts w:hint="eastAsia"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自制</w:t>
                  </w:r>
                </w:p>
              </w:tc>
              <w:tc>
                <w:tcPr>
                  <w:tcW w:w="466" w:type="pct"/>
                  <w:noWrap w:val="0"/>
                  <w:vAlign w:val="center"/>
                </w:tcPr>
                <w:p w14:paraId="3293DD02">
                  <w:pPr>
                    <w:pStyle w:val="17"/>
                    <w:ind w:firstLine="0" w:firstLineChars="0"/>
                    <w:jc w:val="center"/>
                    <w:rPr>
                      <w:rFonts w:hint="eastAsia"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1台</w:t>
                  </w:r>
                </w:p>
              </w:tc>
              <w:tc>
                <w:tcPr>
                  <w:tcW w:w="718" w:type="pct"/>
                  <w:noWrap w:val="0"/>
                  <w:vAlign w:val="center"/>
                </w:tcPr>
                <w:p w14:paraId="0F3C37CC">
                  <w:pPr>
                    <w:pStyle w:val="17"/>
                    <w:ind w:firstLine="0" w:firstLineChars="0"/>
                    <w:jc w:val="center"/>
                    <w:rPr>
                      <w:rFonts w:hint="eastAsia"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-1台</w:t>
                  </w:r>
                </w:p>
              </w:tc>
              <w:tc>
                <w:tcPr>
                  <w:tcW w:w="861" w:type="pct"/>
                  <w:noWrap w:val="0"/>
                  <w:vAlign w:val="center"/>
                </w:tcPr>
                <w:p w14:paraId="17C441BF">
                  <w:pPr>
                    <w:pStyle w:val="17"/>
                    <w:ind w:firstLine="0" w:firstLineChars="0"/>
                    <w:jc w:val="center"/>
                    <w:rPr>
                      <w:rFonts w:hint="eastAsia"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0台</w:t>
                  </w:r>
                </w:p>
              </w:tc>
              <w:tc>
                <w:tcPr>
                  <w:tcW w:w="439" w:type="pct"/>
                  <w:noWrap w:val="0"/>
                  <w:vAlign w:val="center"/>
                </w:tcPr>
                <w:p w14:paraId="2F693E61">
                  <w:pPr>
                    <w:pStyle w:val="17"/>
                    <w:ind w:firstLine="0" w:firstLineChars="0"/>
                    <w:jc w:val="center"/>
                    <w:rPr>
                      <w:rFonts w:hint="eastAsia"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取消</w:t>
                  </w:r>
                </w:p>
              </w:tc>
            </w:tr>
            <w:tr w14:paraId="44DFB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noWrap w:val="0"/>
                  <w:vAlign w:val="center"/>
                </w:tcPr>
                <w:p w14:paraId="5752CECD">
                  <w:pPr>
                    <w:pStyle w:val="17"/>
                    <w:ind w:firstLine="0" w:firstLineChars="0"/>
                    <w:jc w:val="center"/>
                    <w:rPr>
                      <w:rFonts w:hint="eastAsia"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10</w:t>
                  </w:r>
                </w:p>
              </w:tc>
              <w:tc>
                <w:tcPr>
                  <w:tcW w:w="1094" w:type="pct"/>
                  <w:noWrap w:val="0"/>
                  <w:vAlign w:val="center"/>
                </w:tcPr>
                <w:p w14:paraId="7C1A9B32">
                  <w:pPr>
                    <w:pStyle w:val="17"/>
                    <w:ind w:firstLine="0" w:firstLineChars="0"/>
                    <w:jc w:val="center"/>
                    <w:rPr>
                      <w:rFonts w:hint="eastAsia"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泥水分离塔</w:t>
                  </w:r>
                </w:p>
              </w:tc>
              <w:tc>
                <w:tcPr>
                  <w:tcW w:w="989" w:type="pct"/>
                  <w:noWrap w:val="0"/>
                  <w:vAlign w:val="center"/>
                </w:tcPr>
                <w:p w14:paraId="19CAE39D">
                  <w:pPr>
                    <w:pStyle w:val="17"/>
                    <w:ind w:firstLine="0" w:firstLineChars="0"/>
                    <w:jc w:val="center"/>
                    <w:rPr>
                      <w:rFonts w:hint="eastAsia"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w:t>
                  </w:r>
                </w:p>
              </w:tc>
              <w:tc>
                <w:tcPr>
                  <w:tcW w:w="466" w:type="pct"/>
                  <w:noWrap w:val="0"/>
                  <w:vAlign w:val="center"/>
                </w:tcPr>
                <w:p w14:paraId="4E57C2D4">
                  <w:pPr>
                    <w:pStyle w:val="17"/>
                    <w:ind w:firstLine="0" w:firstLineChars="0"/>
                    <w:jc w:val="center"/>
                    <w:rPr>
                      <w:rFonts w:hint="eastAsia"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1台</w:t>
                  </w:r>
                </w:p>
              </w:tc>
              <w:tc>
                <w:tcPr>
                  <w:tcW w:w="718" w:type="pct"/>
                  <w:noWrap w:val="0"/>
                  <w:vAlign w:val="center"/>
                </w:tcPr>
                <w:p w14:paraId="3AFBEAC1">
                  <w:pPr>
                    <w:pStyle w:val="17"/>
                    <w:ind w:firstLine="0" w:firstLineChars="0"/>
                    <w:jc w:val="center"/>
                    <w:rPr>
                      <w:rFonts w:hint="eastAsia"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-1台</w:t>
                  </w:r>
                </w:p>
              </w:tc>
              <w:tc>
                <w:tcPr>
                  <w:tcW w:w="861" w:type="pct"/>
                  <w:noWrap w:val="0"/>
                  <w:vAlign w:val="center"/>
                </w:tcPr>
                <w:p w14:paraId="2903EDA8">
                  <w:pPr>
                    <w:pStyle w:val="17"/>
                    <w:ind w:firstLine="0" w:firstLineChars="0"/>
                    <w:jc w:val="center"/>
                    <w:rPr>
                      <w:rFonts w:hint="eastAsia"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0台</w:t>
                  </w:r>
                </w:p>
              </w:tc>
              <w:tc>
                <w:tcPr>
                  <w:tcW w:w="439" w:type="pct"/>
                  <w:noWrap w:val="0"/>
                  <w:vAlign w:val="center"/>
                </w:tcPr>
                <w:p w14:paraId="45AAF799">
                  <w:pPr>
                    <w:pStyle w:val="17"/>
                    <w:ind w:firstLine="0" w:firstLineChars="0"/>
                    <w:jc w:val="center"/>
                    <w:rPr>
                      <w:rFonts w:hint="eastAsia"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取消</w:t>
                  </w:r>
                </w:p>
              </w:tc>
            </w:tr>
            <w:tr w14:paraId="796C5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noWrap w:val="0"/>
                  <w:vAlign w:val="center"/>
                </w:tcPr>
                <w:p w14:paraId="03A91E27">
                  <w:pPr>
                    <w:pStyle w:val="17"/>
                    <w:ind w:firstLine="0" w:firstLineChars="0"/>
                    <w:jc w:val="center"/>
                    <w:rPr>
                      <w:rFonts w:hint="eastAsia"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11</w:t>
                  </w:r>
                </w:p>
              </w:tc>
              <w:tc>
                <w:tcPr>
                  <w:tcW w:w="1094" w:type="pct"/>
                  <w:noWrap w:val="0"/>
                  <w:vAlign w:val="center"/>
                </w:tcPr>
                <w:p w14:paraId="00F37826">
                  <w:pPr>
                    <w:pStyle w:val="17"/>
                    <w:ind w:firstLine="0" w:firstLineChars="0"/>
                    <w:jc w:val="center"/>
                    <w:rPr>
                      <w:rFonts w:hint="eastAsia"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板框压滤机</w:t>
                  </w:r>
                </w:p>
              </w:tc>
              <w:tc>
                <w:tcPr>
                  <w:tcW w:w="989" w:type="pct"/>
                  <w:noWrap w:val="0"/>
                  <w:vAlign w:val="center"/>
                </w:tcPr>
                <w:p w14:paraId="1D6F4C57">
                  <w:pPr>
                    <w:pStyle w:val="17"/>
                    <w:ind w:firstLine="0" w:firstLineChars="0"/>
                    <w:jc w:val="center"/>
                    <w:rPr>
                      <w:rFonts w:hint="eastAsia"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w:t>
                  </w:r>
                </w:p>
              </w:tc>
              <w:tc>
                <w:tcPr>
                  <w:tcW w:w="466" w:type="pct"/>
                  <w:noWrap w:val="0"/>
                  <w:vAlign w:val="center"/>
                </w:tcPr>
                <w:p w14:paraId="3F2602AF">
                  <w:pPr>
                    <w:pStyle w:val="17"/>
                    <w:ind w:firstLine="0" w:firstLineChars="0"/>
                    <w:jc w:val="center"/>
                    <w:rPr>
                      <w:rFonts w:hint="eastAsia"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1台</w:t>
                  </w:r>
                </w:p>
              </w:tc>
              <w:tc>
                <w:tcPr>
                  <w:tcW w:w="718" w:type="pct"/>
                  <w:noWrap w:val="0"/>
                  <w:vAlign w:val="center"/>
                </w:tcPr>
                <w:p w14:paraId="7D95486C">
                  <w:pPr>
                    <w:pStyle w:val="17"/>
                    <w:ind w:firstLine="0" w:firstLineChars="0"/>
                    <w:jc w:val="center"/>
                    <w:rPr>
                      <w:rFonts w:hint="eastAsia"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-1台</w:t>
                  </w:r>
                </w:p>
              </w:tc>
              <w:tc>
                <w:tcPr>
                  <w:tcW w:w="861" w:type="pct"/>
                  <w:noWrap w:val="0"/>
                  <w:vAlign w:val="center"/>
                </w:tcPr>
                <w:p w14:paraId="38A4D613">
                  <w:pPr>
                    <w:pStyle w:val="17"/>
                    <w:ind w:firstLine="0" w:firstLineChars="0"/>
                    <w:jc w:val="center"/>
                    <w:rPr>
                      <w:rFonts w:hint="eastAsia"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0台</w:t>
                  </w:r>
                </w:p>
              </w:tc>
              <w:tc>
                <w:tcPr>
                  <w:tcW w:w="439" w:type="pct"/>
                  <w:noWrap w:val="0"/>
                  <w:vAlign w:val="center"/>
                </w:tcPr>
                <w:p w14:paraId="5DA97F80">
                  <w:pPr>
                    <w:pStyle w:val="17"/>
                    <w:ind w:firstLine="0" w:firstLineChars="0"/>
                    <w:jc w:val="center"/>
                    <w:rPr>
                      <w:rFonts w:hint="eastAsia"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取消</w:t>
                  </w:r>
                </w:p>
              </w:tc>
            </w:tr>
            <w:tr w14:paraId="74613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noWrap w:val="0"/>
                  <w:vAlign w:val="center"/>
                </w:tcPr>
                <w:p w14:paraId="3A442EB3">
                  <w:pPr>
                    <w:pStyle w:val="17"/>
                    <w:ind w:firstLine="0" w:firstLineChars="0"/>
                    <w:jc w:val="both"/>
                    <w:rPr>
                      <w:rFonts w:hint="default"/>
                      <w:color w:val="auto"/>
                      <w:vertAlign w:val="baseline"/>
                      <w:lang w:val="en-US" w:eastAsia="zh-CN"/>
                    </w:rPr>
                  </w:pPr>
                  <w:r>
                    <w:rPr>
                      <w:rFonts w:hint="eastAsia"/>
                      <w:b/>
                      <w:bCs/>
                      <w:color w:val="auto"/>
                      <w:vertAlign w:val="baseline"/>
                      <w:lang w:val="en-US" w:eastAsia="zh-CN"/>
                    </w:rPr>
                    <w:t>水稳砂生产</w:t>
                  </w:r>
                </w:p>
              </w:tc>
            </w:tr>
            <w:tr w14:paraId="7D30E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noWrap w:val="0"/>
                  <w:vAlign w:val="center"/>
                </w:tcPr>
                <w:p w14:paraId="4B9615F2">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12</w:t>
                  </w:r>
                </w:p>
              </w:tc>
              <w:tc>
                <w:tcPr>
                  <w:tcW w:w="1094" w:type="pct"/>
                  <w:noWrap w:val="0"/>
                  <w:vAlign w:val="center"/>
                </w:tcPr>
                <w:p w14:paraId="2586EBF1">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s="Times New Roman"/>
                      <w:color w:val="auto"/>
                      <w:kern w:val="0"/>
                      <w:sz w:val="21"/>
                      <w:szCs w:val="21"/>
                      <w:vertAlign w:val="baseline"/>
                      <w:lang w:val="en-US" w:eastAsia="zh-CN" w:bidi="ar-SA"/>
                    </w:rPr>
                    <w:t>搅拌机</w:t>
                  </w:r>
                </w:p>
              </w:tc>
              <w:tc>
                <w:tcPr>
                  <w:tcW w:w="989" w:type="pct"/>
                  <w:noWrap w:val="0"/>
                  <w:vAlign w:val="center"/>
                </w:tcPr>
                <w:p w14:paraId="067DA8FA">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s="Times New Roman"/>
                      <w:color w:val="auto"/>
                      <w:kern w:val="0"/>
                      <w:sz w:val="21"/>
                      <w:szCs w:val="21"/>
                      <w:vertAlign w:val="baseline"/>
                      <w:lang w:val="en-US" w:eastAsia="zh-CN" w:bidi="ar-SA"/>
                    </w:rPr>
                    <w:t>WBZ600</w:t>
                  </w:r>
                </w:p>
              </w:tc>
              <w:tc>
                <w:tcPr>
                  <w:tcW w:w="466" w:type="pct"/>
                  <w:noWrap w:val="0"/>
                  <w:vAlign w:val="center"/>
                </w:tcPr>
                <w:p w14:paraId="2796746B">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s="Times New Roman"/>
                      <w:color w:val="auto"/>
                      <w:kern w:val="0"/>
                      <w:sz w:val="21"/>
                      <w:szCs w:val="21"/>
                      <w:vertAlign w:val="baseline"/>
                      <w:lang w:val="en-US" w:eastAsia="zh-CN" w:bidi="ar-SA"/>
                    </w:rPr>
                    <w:t>0台</w:t>
                  </w:r>
                </w:p>
              </w:tc>
              <w:tc>
                <w:tcPr>
                  <w:tcW w:w="718" w:type="pct"/>
                  <w:noWrap w:val="0"/>
                  <w:vAlign w:val="center"/>
                </w:tcPr>
                <w:p w14:paraId="7873F4C5">
                  <w:pPr>
                    <w:pStyle w:val="17"/>
                    <w:ind w:firstLine="0" w:firstLineChars="0"/>
                    <w:jc w:val="center"/>
                    <w:rPr>
                      <w:rFonts w:hint="eastAsia" w:ascii="Times New Roman" w:hAnsi="Times New Roman" w:eastAsia="宋体" w:cs="Times New Roman"/>
                      <w:color w:val="auto"/>
                      <w:kern w:val="0"/>
                      <w:sz w:val="21"/>
                      <w:szCs w:val="21"/>
                      <w:vertAlign w:val="baseline"/>
                      <w:lang w:val="en-US" w:eastAsia="zh-CN" w:bidi="ar-SA"/>
                    </w:rPr>
                  </w:pPr>
                  <w:r>
                    <w:rPr>
                      <w:rFonts w:hint="eastAsia" w:cs="Times New Roman"/>
                      <w:color w:val="auto"/>
                      <w:kern w:val="0"/>
                      <w:sz w:val="21"/>
                      <w:szCs w:val="21"/>
                      <w:vertAlign w:val="baseline"/>
                      <w:lang w:val="en-US" w:eastAsia="zh-CN" w:bidi="ar-SA"/>
                    </w:rPr>
                    <w:t>+2台</w:t>
                  </w:r>
                </w:p>
              </w:tc>
              <w:tc>
                <w:tcPr>
                  <w:tcW w:w="861" w:type="pct"/>
                  <w:noWrap w:val="0"/>
                  <w:vAlign w:val="center"/>
                </w:tcPr>
                <w:p w14:paraId="20C3D815">
                  <w:pPr>
                    <w:pStyle w:val="17"/>
                    <w:ind w:firstLine="0" w:firstLineChars="0"/>
                    <w:jc w:val="center"/>
                    <w:rPr>
                      <w:rFonts w:hint="eastAsia" w:ascii="Times New Roman" w:hAnsi="Times New Roman" w:eastAsia="宋体" w:cs="Times New Roman"/>
                      <w:color w:val="auto"/>
                      <w:kern w:val="0"/>
                      <w:sz w:val="21"/>
                      <w:szCs w:val="21"/>
                      <w:vertAlign w:val="baseline"/>
                      <w:lang w:val="en-US" w:eastAsia="zh-CN" w:bidi="ar-SA"/>
                    </w:rPr>
                  </w:pPr>
                  <w:r>
                    <w:rPr>
                      <w:rFonts w:hint="eastAsia" w:cs="Times New Roman"/>
                      <w:color w:val="auto"/>
                      <w:kern w:val="0"/>
                      <w:sz w:val="21"/>
                      <w:szCs w:val="21"/>
                      <w:vertAlign w:val="baseline"/>
                      <w:lang w:val="en-US" w:eastAsia="zh-CN" w:bidi="ar-SA"/>
                    </w:rPr>
                    <w:t>2台</w:t>
                  </w:r>
                </w:p>
              </w:tc>
              <w:tc>
                <w:tcPr>
                  <w:tcW w:w="439" w:type="pct"/>
                  <w:noWrap w:val="0"/>
                  <w:vAlign w:val="center"/>
                </w:tcPr>
                <w:p w14:paraId="2A94EE82">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新建</w:t>
                  </w:r>
                </w:p>
              </w:tc>
            </w:tr>
            <w:tr w14:paraId="70777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noWrap w:val="0"/>
                  <w:vAlign w:val="center"/>
                </w:tcPr>
                <w:p w14:paraId="40351F0C">
                  <w:pPr>
                    <w:pStyle w:val="17"/>
                    <w:ind w:firstLine="0" w:firstLineChars="0"/>
                    <w:jc w:val="center"/>
                    <w:rPr>
                      <w:rFonts w:hint="eastAsia"/>
                      <w:color w:val="auto"/>
                      <w:vertAlign w:val="baseline"/>
                      <w:lang w:val="en-US" w:eastAsia="zh-CN"/>
                    </w:rPr>
                  </w:pPr>
                  <w:r>
                    <w:rPr>
                      <w:rFonts w:hint="eastAsia"/>
                      <w:color w:val="auto"/>
                      <w:vertAlign w:val="baseline"/>
                      <w:lang w:val="en-US" w:eastAsia="zh-CN"/>
                    </w:rPr>
                    <w:t>13</w:t>
                  </w:r>
                </w:p>
              </w:tc>
              <w:tc>
                <w:tcPr>
                  <w:tcW w:w="1094" w:type="pct"/>
                  <w:noWrap w:val="0"/>
                  <w:vAlign w:val="center"/>
                </w:tcPr>
                <w:p w14:paraId="72054593">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四仓配料机</w:t>
                  </w:r>
                </w:p>
              </w:tc>
              <w:tc>
                <w:tcPr>
                  <w:tcW w:w="989" w:type="pct"/>
                  <w:noWrap w:val="0"/>
                  <w:vAlign w:val="center"/>
                </w:tcPr>
                <w:p w14:paraId="447BC53D">
                  <w:pPr>
                    <w:pStyle w:val="17"/>
                    <w:ind w:firstLine="0" w:firstLineChars="0"/>
                    <w:jc w:val="center"/>
                    <w:rPr>
                      <w:rFonts w:hint="eastAsia"/>
                      <w:color w:val="auto"/>
                      <w:vertAlign w:val="baseline"/>
                      <w:lang w:val="en-US" w:eastAsia="zh-CN"/>
                    </w:rPr>
                  </w:pPr>
                  <w:r>
                    <w:rPr>
                      <w:rFonts w:hint="eastAsia"/>
                      <w:color w:val="auto"/>
                      <w:vertAlign w:val="baseline"/>
                      <w:lang w:val="en-US" w:eastAsia="zh-CN"/>
                    </w:rPr>
                    <w:t>配料机皮带1000mm裙边带</w:t>
                  </w:r>
                </w:p>
                <w:p w14:paraId="2188CD42">
                  <w:pPr>
                    <w:pStyle w:val="17"/>
                    <w:ind w:firstLine="0" w:firstLineChars="0"/>
                    <w:jc w:val="center"/>
                    <w:rPr>
                      <w:rFonts w:hint="eastAsia"/>
                      <w:color w:val="auto"/>
                      <w:vertAlign w:val="baseline"/>
                      <w:lang w:val="en-US" w:eastAsia="zh-CN"/>
                    </w:rPr>
                  </w:pPr>
                  <w:r>
                    <w:rPr>
                      <w:rFonts w:hint="eastAsia"/>
                      <w:color w:val="auto"/>
                      <w:vertAlign w:val="baseline"/>
                      <w:lang w:val="en-US" w:eastAsia="zh-CN"/>
                    </w:rPr>
                    <w:t>电机4kW</w:t>
                  </w:r>
                </w:p>
                <w:p w14:paraId="072E3FD4">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振动器0.55kW</w:t>
                  </w:r>
                </w:p>
              </w:tc>
              <w:tc>
                <w:tcPr>
                  <w:tcW w:w="466" w:type="pct"/>
                  <w:noWrap w:val="0"/>
                  <w:vAlign w:val="center"/>
                </w:tcPr>
                <w:p w14:paraId="2968A3D9">
                  <w:pPr>
                    <w:pStyle w:val="17"/>
                    <w:ind w:firstLine="0" w:firstLineChars="0"/>
                    <w:jc w:val="center"/>
                    <w:rPr>
                      <w:rFonts w:hint="eastAsia"/>
                      <w:color w:val="auto"/>
                      <w:vertAlign w:val="baseline"/>
                      <w:lang w:val="en-US" w:eastAsia="zh-CN"/>
                    </w:rPr>
                  </w:pPr>
                  <w:r>
                    <w:rPr>
                      <w:rFonts w:hint="eastAsia"/>
                      <w:color w:val="auto"/>
                      <w:vertAlign w:val="baseline"/>
                      <w:lang w:val="en-US" w:eastAsia="zh-CN"/>
                    </w:rPr>
                    <w:t>0套</w:t>
                  </w:r>
                </w:p>
              </w:tc>
              <w:tc>
                <w:tcPr>
                  <w:tcW w:w="718" w:type="pct"/>
                  <w:noWrap w:val="0"/>
                  <w:vAlign w:val="center"/>
                </w:tcPr>
                <w:p w14:paraId="21CA6F8B">
                  <w:pPr>
                    <w:pStyle w:val="17"/>
                    <w:ind w:firstLine="0" w:firstLineChars="0"/>
                    <w:jc w:val="center"/>
                    <w:rPr>
                      <w:rFonts w:hint="eastAsia"/>
                      <w:color w:val="auto"/>
                      <w:vertAlign w:val="baseline"/>
                      <w:lang w:val="en-US" w:eastAsia="zh-CN"/>
                    </w:rPr>
                  </w:pPr>
                  <w:r>
                    <w:rPr>
                      <w:rFonts w:hint="eastAsia"/>
                      <w:color w:val="auto"/>
                      <w:vertAlign w:val="baseline"/>
                      <w:lang w:val="en-US" w:eastAsia="zh-CN"/>
                    </w:rPr>
                    <w:t>+2套</w:t>
                  </w:r>
                </w:p>
              </w:tc>
              <w:tc>
                <w:tcPr>
                  <w:tcW w:w="861" w:type="pct"/>
                  <w:noWrap w:val="0"/>
                  <w:vAlign w:val="center"/>
                </w:tcPr>
                <w:p w14:paraId="6273300F">
                  <w:pPr>
                    <w:pStyle w:val="17"/>
                    <w:ind w:firstLine="0" w:firstLineChars="0"/>
                    <w:jc w:val="center"/>
                    <w:rPr>
                      <w:rFonts w:hint="eastAsia"/>
                      <w:color w:val="auto"/>
                      <w:vertAlign w:val="baseline"/>
                      <w:lang w:val="en-US" w:eastAsia="zh-CN"/>
                    </w:rPr>
                  </w:pPr>
                  <w:r>
                    <w:rPr>
                      <w:rFonts w:hint="eastAsia"/>
                      <w:color w:val="auto"/>
                      <w:vertAlign w:val="baseline"/>
                      <w:lang w:val="en-US" w:eastAsia="zh-CN"/>
                    </w:rPr>
                    <w:t>2套</w:t>
                  </w:r>
                </w:p>
              </w:tc>
              <w:tc>
                <w:tcPr>
                  <w:tcW w:w="439" w:type="pct"/>
                  <w:noWrap w:val="0"/>
                  <w:vAlign w:val="center"/>
                </w:tcPr>
                <w:p w14:paraId="63E60B8F">
                  <w:pPr>
                    <w:pStyle w:val="17"/>
                    <w:ind w:firstLine="0" w:firstLineChars="0"/>
                    <w:jc w:val="center"/>
                    <w:rPr>
                      <w:rFonts w:hint="eastAsia"/>
                      <w:color w:val="auto"/>
                      <w:vertAlign w:val="baseline"/>
                      <w:lang w:val="en-US" w:eastAsia="zh-CN"/>
                    </w:rPr>
                  </w:pPr>
                  <w:r>
                    <w:rPr>
                      <w:rFonts w:hint="eastAsia"/>
                      <w:color w:val="auto"/>
                      <w:vertAlign w:val="baseline"/>
                      <w:lang w:val="en-US" w:eastAsia="zh-CN"/>
                    </w:rPr>
                    <w:t>新建</w:t>
                  </w:r>
                </w:p>
              </w:tc>
            </w:tr>
            <w:tr w14:paraId="627EC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noWrap w:val="0"/>
                  <w:vAlign w:val="center"/>
                </w:tcPr>
                <w:p w14:paraId="6DAB6F72">
                  <w:pPr>
                    <w:pStyle w:val="17"/>
                    <w:ind w:firstLine="0" w:firstLineChars="0"/>
                    <w:jc w:val="center"/>
                    <w:rPr>
                      <w:rFonts w:hint="eastAsia"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14</w:t>
                  </w:r>
                </w:p>
              </w:tc>
              <w:tc>
                <w:tcPr>
                  <w:tcW w:w="1094" w:type="pct"/>
                  <w:noWrap w:val="0"/>
                  <w:vAlign w:val="center"/>
                </w:tcPr>
                <w:p w14:paraId="6882F3F3">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进出料皮带运输机</w:t>
                  </w:r>
                </w:p>
              </w:tc>
              <w:tc>
                <w:tcPr>
                  <w:tcW w:w="989" w:type="pct"/>
                  <w:noWrap w:val="0"/>
                  <w:vAlign w:val="center"/>
                </w:tcPr>
                <w:p w14:paraId="244AB64F">
                  <w:pPr>
                    <w:pStyle w:val="17"/>
                    <w:ind w:firstLine="0" w:firstLineChars="0"/>
                    <w:jc w:val="center"/>
                    <w:rPr>
                      <w:rFonts w:hint="eastAsia"/>
                      <w:color w:val="auto"/>
                      <w:vertAlign w:val="baseline"/>
                      <w:lang w:val="en-US" w:eastAsia="zh-CN"/>
                    </w:rPr>
                  </w:pPr>
                  <w:r>
                    <w:rPr>
                      <w:rFonts w:hint="eastAsia"/>
                      <w:color w:val="auto"/>
                      <w:vertAlign w:val="baseline"/>
                      <w:lang w:val="en-US" w:eastAsia="zh-CN"/>
                    </w:rPr>
                    <w:t>输送带1000mm平皮带</w:t>
                  </w:r>
                </w:p>
                <w:p w14:paraId="59170D2A">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电动滚筒15kW、18.5kW，带速2.0m/s</w:t>
                  </w:r>
                </w:p>
              </w:tc>
              <w:tc>
                <w:tcPr>
                  <w:tcW w:w="466" w:type="pct"/>
                  <w:noWrap w:val="0"/>
                  <w:vAlign w:val="center"/>
                </w:tcPr>
                <w:p w14:paraId="44695648">
                  <w:pPr>
                    <w:pStyle w:val="17"/>
                    <w:ind w:firstLine="0" w:firstLineChars="0"/>
                    <w:jc w:val="center"/>
                    <w:rPr>
                      <w:rFonts w:hint="eastAsia"/>
                      <w:color w:val="auto"/>
                      <w:vertAlign w:val="baseline"/>
                      <w:lang w:val="en-US" w:eastAsia="zh-CN"/>
                    </w:rPr>
                  </w:pPr>
                  <w:r>
                    <w:rPr>
                      <w:rFonts w:hint="eastAsia"/>
                      <w:color w:val="auto"/>
                      <w:vertAlign w:val="baseline"/>
                      <w:lang w:val="en-US" w:eastAsia="zh-CN"/>
                    </w:rPr>
                    <w:t>0台</w:t>
                  </w:r>
                </w:p>
              </w:tc>
              <w:tc>
                <w:tcPr>
                  <w:tcW w:w="718" w:type="pct"/>
                  <w:noWrap w:val="0"/>
                  <w:vAlign w:val="center"/>
                </w:tcPr>
                <w:p w14:paraId="550BFB59">
                  <w:pPr>
                    <w:pStyle w:val="17"/>
                    <w:ind w:firstLine="0" w:firstLineChars="0"/>
                    <w:jc w:val="center"/>
                    <w:rPr>
                      <w:rFonts w:hint="eastAsia"/>
                      <w:color w:val="auto"/>
                      <w:vertAlign w:val="baseline"/>
                      <w:lang w:val="en-US" w:eastAsia="zh-CN"/>
                    </w:rPr>
                  </w:pPr>
                  <w:r>
                    <w:rPr>
                      <w:rFonts w:hint="eastAsia"/>
                      <w:color w:val="auto"/>
                      <w:vertAlign w:val="baseline"/>
                      <w:lang w:val="en-US" w:eastAsia="zh-CN"/>
                    </w:rPr>
                    <w:t>+2台</w:t>
                  </w:r>
                </w:p>
              </w:tc>
              <w:tc>
                <w:tcPr>
                  <w:tcW w:w="861" w:type="pct"/>
                  <w:noWrap w:val="0"/>
                  <w:vAlign w:val="center"/>
                </w:tcPr>
                <w:p w14:paraId="7144DFB5">
                  <w:pPr>
                    <w:pStyle w:val="17"/>
                    <w:ind w:firstLine="0" w:firstLineChars="0"/>
                    <w:jc w:val="center"/>
                    <w:rPr>
                      <w:rFonts w:hint="eastAsia"/>
                      <w:color w:val="auto"/>
                      <w:vertAlign w:val="baseline"/>
                      <w:lang w:val="en-US" w:eastAsia="zh-CN"/>
                    </w:rPr>
                  </w:pPr>
                  <w:r>
                    <w:rPr>
                      <w:rFonts w:hint="eastAsia"/>
                      <w:color w:val="auto"/>
                      <w:vertAlign w:val="baseline"/>
                      <w:lang w:val="en-US" w:eastAsia="zh-CN"/>
                    </w:rPr>
                    <w:t>2台</w:t>
                  </w:r>
                </w:p>
              </w:tc>
              <w:tc>
                <w:tcPr>
                  <w:tcW w:w="439" w:type="pct"/>
                  <w:noWrap w:val="0"/>
                  <w:vAlign w:val="center"/>
                </w:tcPr>
                <w:p w14:paraId="6B259D80">
                  <w:pPr>
                    <w:pStyle w:val="17"/>
                    <w:ind w:firstLine="0" w:firstLineChars="0"/>
                    <w:jc w:val="center"/>
                    <w:rPr>
                      <w:rFonts w:hint="eastAsia"/>
                      <w:color w:val="auto"/>
                      <w:vertAlign w:val="baseline"/>
                      <w:lang w:val="en-US" w:eastAsia="zh-CN"/>
                    </w:rPr>
                  </w:pPr>
                  <w:r>
                    <w:rPr>
                      <w:rFonts w:hint="eastAsia"/>
                      <w:color w:val="auto"/>
                      <w:vertAlign w:val="baseline"/>
                      <w:lang w:val="en-US" w:eastAsia="zh-CN"/>
                    </w:rPr>
                    <w:t>新建</w:t>
                  </w:r>
                </w:p>
              </w:tc>
            </w:tr>
            <w:tr w14:paraId="3F203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noWrap w:val="0"/>
                  <w:vAlign w:val="center"/>
                </w:tcPr>
                <w:p w14:paraId="6D255676">
                  <w:pPr>
                    <w:pStyle w:val="17"/>
                    <w:ind w:firstLine="0" w:firstLineChars="0"/>
                    <w:jc w:val="center"/>
                    <w:rPr>
                      <w:rFonts w:hint="eastAsia"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15</w:t>
                  </w:r>
                </w:p>
              </w:tc>
              <w:tc>
                <w:tcPr>
                  <w:tcW w:w="1094" w:type="pct"/>
                  <w:noWrap w:val="0"/>
                  <w:vAlign w:val="center"/>
                </w:tcPr>
                <w:p w14:paraId="00B2469B">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成品仓</w:t>
                  </w:r>
                </w:p>
              </w:tc>
              <w:tc>
                <w:tcPr>
                  <w:tcW w:w="989" w:type="pct"/>
                  <w:noWrap w:val="0"/>
                  <w:vAlign w:val="center"/>
                </w:tcPr>
                <w:p w14:paraId="64BEC3D2">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w:t>
                  </w:r>
                </w:p>
              </w:tc>
              <w:tc>
                <w:tcPr>
                  <w:tcW w:w="466" w:type="pct"/>
                  <w:noWrap w:val="0"/>
                  <w:vAlign w:val="center"/>
                </w:tcPr>
                <w:p w14:paraId="1D82CB1E">
                  <w:pPr>
                    <w:pStyle w:val="17"/>
                    <w:ind w:firstLine="0" w:firstLineChars="0"/>
                    <w:jc w:val="center"/>
                    <w:rPr>
                      <w:rFonts w:hint="eastAsia"/>
                      <w:color w:val="auto"/>
                      <w:vertAlign w:val="baseline"/>
                      <w:lang w:val="en-US" w:eastAsia="zh-CN"/>
                    </w:rPr>
                  </w:pPr>
                  <w:r>
                    <w:rPr>
                      <w:rFonts w:hint="eastAsia"/>
                      <w:color w:val="auto"/>
                      <w:vertAlign w:val="baseline"/>
                      <w:lang w:val="en-US" w:eastAsia="zh-CN"/>
                    </w:rPr>
                    <w:t>0套</w:t>
                  </w:r>
                </w:p>
              </w:tc>
              <w:tc>
                <w:tcPr>
                  <w:tcW w:w="718" w:type="pct"/>
                  <w:noWrap w:val="0"/>
                  <w:vAlign w:val="center"/>
                </w:tcPr>
                <w:p w14:paraId="396702E0">
                  <w:pPr>
                    <w:pStyle w:val="17"/>
                    <w:ind w:firstLine="0" w:firstLineChars="0"/>
                    <w:jc w:val="center"/>
                    <w:rPr>
                      <w:rFonts w:hint="eastAsia"/>
                      <w:color w:val="auto"/>
                      <w:vertAlign w:val="baseline"/>
                      <w:lang w:val="en-US" w:eastAsia="zh-CN"/>
                    </w:rPr>
                  </w:pPr>
                  <w:r>
                    <w:rPr>
                      <w:rFonts w:hint="eastAsia"/>
                      <w:color w:val="auto"/>
                      <w:vertAlign w:val="baseline"/>
                      <w:lang w:val="en-US" w:eastAsia="zh-CN"/>
                    </w:rPr>
                    <w:t>+2套</w:t>
                  </w:r>
                </w:p>
              </w:tc>
              <w:tc>
                <w:tcPr>
                  <w:tcW w:w="861" w:type="pct"/>
                  <w:noWrap w:val="0"/>
                  <w:vAlign w:val="center"/>
                </w:tcPr>
                <w:p w14:paraId="524FF362">
                  <w:pPr>
                    <w:pStyle w:val="17"/>
                    <w:ind w:firstLine="0" w:firstLineChars="0"/>
                    <w:jc w:val="center"/>
                    <w:rPr>
                      <w:rFonts w:hint="eastAsia"/>
                      <w:color w:val="auto"/>
                      <w:vertAlign w:val="baseline"/>
                      <w:lang w:val="en-US" w:eastAsia="zh-CN"/>
                    </w:rPr>
                  </w:pPr>
                  <w:r>
                    <w:rPr>
                      <w:rFonts w:hint="eastAsia"/>
                      <w:color w:val="auto"/>
                      <w:vertAlign w:val="baseline"/>
                      <w:lang w:val="en-US" w:eastAsia="zh-CN"/>
                    </w:rPr>
                    <w:t>2套</w:t>
                  </w:r>
                </w:p>
              </w:tc>
              <w:tc>
                <w:tcPr>
                  <w:tcW w:w="439" w:type="pct"/>
                  <w:noWrap w:val="0"/>
                  <w:vAlign w:val="center"/>
                </w:tcPr>
                <w:p w14:paraId="5E5873D9">
                  <w:pPr>
                    <w:pStyle w:val="17"/>
                    <w:ind w:firstLine="0" w:firstLineChars="0"/>
                    <w:jc w:val="center"/>
                    <w:rPr>
                      <w:rFonts w:hint="eastAsia"/>
                      <w:color w:val="auto"/>
                      <w:vertAlign w:val="baseline"/>
                      <w:lang w:val="en-US" w:eastAsia="zh-CN"/>
                    </w:rPr>
                  </w:pPr>
                  <w:r>
                    <w:rPr>
                      <w:rFonts w:hint="eastAsia"/>
                      <w:color w:val="auto"/>
                      <w:vertAlign w:val="baseline"/>
                      <w:lang w:val="en-US" w:eastAsia="zh-CN"/>
                    </w:rPr>
                    <w:t>新建</w:t>
                  </w:r>
                </w:p>
              </w:tc>
            </w:tr>
            <w:tr w14:paraId="38E36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noWrap w:val="0"/>
                  <w:vAlign w:val="center"/>
                </w:tcPr>
                <w:p w14:paraId="42A699D0">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16</w:t>
                  </w:r>
                </w:p>
              </w:tc>
              <w:tc>
                <w:tcPr>
                  <w:tcW w:w="1094" w:type="pct"/>
                  <w:noWrap w:val="0"/>
                  <w:vAlign w:val="center"/>
                </w:tcPr>
                <w:p w14:paraId="2891010E">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供水系统</w:t>
                  </w:r>
                </w:p>
              </w:tc>
              <w:tc>
                <w:tcPr>
                  <w:tcW w:w="989" w:type="pct"/>
                  <w:noWrap w:val="0"/>
                  <w:vAlign w:val="center"/>
                </w:tcPr>
                <w:p w14:paraId="4032A0C1">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水泵3kW</w:t>
                  </w:r>
                </w:p>
              </w:tc>
              <w:tc>
                <w:tcPr>
                  <w:tcW w:w="466" w:type="pct"/>
                  <w:noWrap w:val="0"/>
                  <w:vAlign w:val="center"/>
                </w:tcPr>
                <w:p w14:paraId="2F3E4E3A">
                  <w:pPr>
                    <w:pStyle w:val="17"/>
                    <w:ind w:firstLine="0" w:firstLineChars="0"/>
                    <w:jc w:val="center"/>
                    <w:rPr>
                      <w:rFonts w:hint="eastAsia"/>
                      <w:color w:val="auto"/>
                      <w:vertAlign w:val="baseline"/>
                      <w:lang w:val="en-US" w:eastAsia="zh-CN"/>
                    </w:rPr>
                  </w:pPr>
                  <w:r>
                    <w:rPr>
                      <w:rFonts w:hint="eastAsia"/>
                      <w:color w:val="auto"/>
                      <w:vertAlign w:val="baseline"/>
                      <w:lang w:val="en-US" w:eastAsia="zh-CN"/>
                    </w:rPr>
                    <w:t>0台</w:t>
                  </w:r>
                </w:p>
              </w:tc>
              <w:tc>
                <w:tcPr>
                  <w:tcW w:w="718" w:type="pct"/>
                  <w:noWrap w:val="0"/>
                  <w:vAlign w:val="center"/>
                </w:tcPr>
                <w:p w14:paraId="198A9671">
                  <w:pPr>
                    <w:pStyle w:val="17"/>
                    <w:ind w:firstLine="0" w:firstLineChars="0"/>
                    <w:jc w:val="center"/>
                    <w:rPr>
                      <w:rFonts w:hint="eastAsia"/>
                      <w:color w:val="auto"/>
                      <w:vertAlign w:val="baseline"/>
                      <w:lang w:val="en-US" w:eastAsia="zh-CN"/>
                    </w:rPr>
                  </w:pPr>
                  <w:r>
                    <w:rPr>
                      <w:rFonts w:hint="eastAsia"/>
                      <w:color w:val="auto"/>
                      <w:vertAlign w:val="baseline"/>
                      <w:lang w:val="en-US" w:eastAsia="zh-CN"/>
                    </w:rPr>
                    <w:t>+2台</w:t>
                  </w:r>
                </w:p>
              </w:tc>
              <w:tc>
                <w:tcPr>
                  <w:tcW w:w="861" w:type="pct"/>
                  <w:noWrap w:val="0"/>
                  <w:vAlign w:val="center"/>
                </w:tcPr>
                <w:p w14:paraId="4798EAAF">
                  <w:pPr>
                    <w:pStyle w:val="17"/>
                    <w:ind w:firstLine="0" w:firstLineChars="0"/>
                    <w:jc w:val="center"/>
                    <w:rPr>
                      <w:rFonts w:hint="eastAsia"/>
                      <w:color w:val="auto"/>
                      <w:vertAlign w:val="baseline"/>
                      <w:lang w:val="en-US" w:eastAsia="zh-CN"/>
                    </w:rPr>
                  </w:pPr>
                  <w:r>
                    <w:rPr>
                      <w:rFonts w:hint="eastAsia"/>
                      <w:color w:val="auto"/>
                      <w:vertAlign w:val="baseline"/>
                      <w:lang w:val="en-US" w:eastAsia="zh-CN"/>
                    </w:rPr>
                    <w:t>2台</w:t>
                  </w:r>
                </w:p>
              </w:tc>
              <w:tc>
                <w:tcPr>
                  <w:tcW w:w="439" w:type="pct"/>
                  <w:noWrap w:val="0"/>
                  <w:vAlign w:val="center"/>
                </w:tcPr>
                <w:p w14:paraId="1CA2AFEF">
                  <w:pPr>
                    <w:pStyle w:val="17"/>
                    <w:ind w:firstLine="0" w:firstLineChars="0"/>
                    <w:jc w:val="center"/>
                    <w:rPr>
                      <w:rFonts w:hint="eastAsia"/>
                      <w:color w:val="auto"/>
                      <w:vertAlign w:val="baseline"/>
                      <w:lang w:val="en-US" w:eastAsia="zh-CN"/>
                    </w:rPr>
                  </w:pPr>
                  <w:r>
                    <w:rPr>
                      <w:rFonts w:hint="eastAsia"/>
                      <w:color w:val="auto"/>
                      <w:vertAlign w:val="baseline"/>
                      <w:lang w:val="en-US" w:eastAsia="zh-CN"/>
                    </w:rPr>
                    <w:t>新建</w:t>
                  </w:r>
                </w:p>
              </w:tc>
            </w:tr>
            <w:tr w14:paraId="4E205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noWrap w:val="0"/>
                  <w:vAlign w:val="center"/>
                </w:tcPr>
                <w:p w14:paraId="621F5711">
                  <w:pPr>
                    <w:pStyle w:val="17"/>
                    <w:ind w:firstLine="0" w:firstLineChars="0"/>
                    <w:jc w:val="center"/>
                    <w:rPr>
                      <w:rFonts w:hint="eastAsia"/>
                      <w:color w:val="auto"/>
                      <w:vertAlign w:val="baseline"/>
                      <w:lang w:val="en-US" w:eastAsia="zh-CN"/>
                    </w:rPr>
                  </w:pPr>
                  <w:r>
                    <w:rPr>
                      <w:rFonts w:hint="eastAsia"/>
                      <w:color w:val="auto"/>
                      <w:vertAlign w:val="baseline"/>
                      <w:lang w:val="en-US" w:eastAsia="zh-CN"/>
                    </w:rPr>
                    <w:t>17</w:t>
                  </w:r>
                </w:p>
              </w:tc>
              <w:tc>
                <w:tcPr>
                  <w:tcW w:w="1094" w:type="pct"/>
                  <w:noWrap w:val="0"/>
                  <w:vAlign w:val="center"/>
                </w:tcPr>
                <w:p w14:paraId="2E2FE228">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水泥仓</w:t>
                  </w:r>
                </w:p>
              </w:tc>
              <w:tc>
                <w:tcPr>
                  <w:tcW w:w="989" w:type="pct"/>
                  <w:noWrap w:val="0"/>
                  <w:vAlign w:val="center"/>
                </w:tcPr>
                <w:p w14:paraId="3224C0E1">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100t</w:t>
                  </w:r>
                </w:p>
              </w:tc>
              <w:tc>
                <w:tcPr>
                  <w:tcW w:w="466" w:type="pct"/>
                  <w:noWrap w:val="0"/>
                  <w:vAlign w:val="center"/>
                </w:tcPr>
                <w:p w14:paraId="6441F470">
                  <w:pPr>
                    <w:pStyle w:val="17"/>
                    <w:ind w:firstLine="0" w:firstLineChars="0"/>
                    <w:jc w:val="center"/>
                    <w:rPr>
                      <w:rFonts w:hint="eastAsia"/>
                      <w:color w:val="auto"/>
                      <w:vertAlign w:val="baseline"/>
                      <w:lang w:val="en-US" w:eastAsia="zh-CN"/>
                    </w:rPr>
                  </w:pPr>
                  <w:r>
                    <w:rPr>
                      <w:rFonts w:hint="eastAsia"/>
                      <w:color w:val="auto"/>
                      <w:vertAlign w:val="baseline"/>
                      <w:lang w:val="en-US" w:eastAsia="zh-CN"/>
                    </w:rPr>
                    <w:t>0套</w:t>
                  </w:r>
                </w:p>
              </w:tc>
              <w:tc>
                <w:tcPr>
                  <w:tcW w:w="718" w:type="pct"/>
                  <w:noWrap w:val="0"/>
                  <w:vAlign w:val="center"/>
                </w:tcPr>
                <w:p w14:paraId="622C22D7">
                  <w:pPr>
                    <w:pStyle w:val="17"/>
                    <w:ind w:firstLine="0" w:firstLineChars="0"/>
                    <w:jc w:val="center"/>
                    <w:rPr>
                      <w:rFonts w:hint="eastAsia"/>
                      <w:color w:val="auto"/>
                      <w:vertAlign w:val="baseline"/>
                      <w:lang w:val="en-US" w:eastAsia="zh-CN"/>
                    </w:rPr>
                  </w:pPr>
                  <w:r>
                    <w:rPr>
                      <w:rFonts w:hint="eastAsia"/>
                      <w:color w:val="auto"/>
                      <w:vertAlign w:val="baseline"/>
                      <w:lang w:val="en-US" w:eastAsia="zh-CN"/>
                    </w:rPr>
                    <w:t>+2套</w:t>
                  </w:r>
                </w:p>
              </w:tc>
              <w:tc>
                <w:tcPr>
                  <w:tcW w:w="861" w:type="pct"/>
                  <w:noWrap w:val="0"/>
                  <w:vAlign w:val="center"/>
                </w:tcPr>
                <w:p w14:paraId="174D6645">
                  <w:pPr>
                    <w:pStyle w:val="17"/>
                    <w:ind w:firstLine="0" w:firstLineChars="0"/>
                    <w:jc w:val="center"/>
                    <w:rPr>
                      <w:rFonts w:hint="eastAsia"/>
                      <w:color w:val="auto"/>
                      <w:vertAlign w:val="baseline"/>
                      <w:lang w:val="en-US" w:eastAsia="zh-CN"/>
                    </w:rPr>
                  </w:pPr>
                  <w:r>
                    <w:rPr>
                      <w:rFonts w:hint="eastAsia"/>
                      <w:color w:val="auto"/>
                      <w:vertAlign w:val="baseline"/>
                      <w:lang w:val="en-US" w:eastAsia="zh-CN"/>
                    </w:rPr>
                    <w:t>2套</w:t>
                  </w:r>
                </w:p>
              </w:tc>
              <w:tc>
                <w:tcPr>
                  <w:tcW w:w="439" w:type="pct"/>
                  <w:noWrap w:val="0"/>
                  <w:vAlign w:val="center"/>
                </w:tcPr>
                <w:p w14:paraId="48C59F7B">
                  <w:pPr>
                    <w:pStyle w:val="17"/>
                    <w:ind w:firstLine="0" w:firstLineChars="0"/>
                    <w:jc w:val="center"/>
                    <w:rPr>
                      <w:rFonts w:hint="eastAsia"/>
                      <w:color w:val="auto"/>
                      <w:vertAlign w:val="baseline"/>
                      <w:lang w:val="en-US" w:eastAsia="zh-CN"/>
                    </w:rPr>
                  </w:pPr>
                  <w:r>
                    <w:rPr>
                      <w:rFonts w:hint="eastAsia"/>
                      <w:color w:val="auto"/>
                      <w:vertAlign w:val="baseline"/>
                      <w:lang w:val="en-US" w:eastAsia="zh-CN"/>
                    </w:rPr>
                    <w:t>新建</w:t>
                  </w:r>
                </w:p>
              </w:tc>
            </w:tr>
            <w:tr w14:paraId="1DDEB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noWrap w:val="0"/>
                  <w:vAlign w:val="center"/>
                </w:tcPr>
                <w:p w14:paraId="775BDCEE">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18</w:t>
                  </w:r>
                </w:p>
              </w:tc>
              <w:tc>
                <w:tcPr>
                  <w:tcW w:w="1094" w:type="pct"/>
                  <w:noWrap w:val="0"/>
                  <w:vAlign w:val="center"/>
                </w:tcPr>
                <w:p w14:paraId="4A71B2EB">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水泥计量系统</w:t>
                  </w:r>
                </w:p>
              </w:tc>
              <w:tc>
                <w:tcPr>
                  <w:tcW w:w="989" w:type="pct"/>
                  <w:noWrap w:val="0"/>
                  <w:vAlign w:val="center"/>
                </w:tcPr>
                <w:p w14:paraId="4CB9FE42">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w:t>
                  </w:r>
                </w:p>
              </w:tc>
              <w:tc>
                <w:tcPr>
                  <w:tcW w:w="466" w:type="pct"/>
                  <w:noWrap w:val="0"/>
                  <w:vAlign w:val="center"/>
                </w:tcPr>
                <w:p w14:paraId="643D082D">
                  <w:pPr>
                    <w:pStyle w:val="17"/>
                    <w:ind w:firstLine="0" w:firstLineChars="0"/>
                    <w:jc w:val="center"/>
                    <w:rPr>
                      <w:rFonts w:hint="eastAsia"/>
                      <w:color w:val="auto"/>
                      <w:vertAlign w:val="baseline"/>
                      <w:lang w:val="en-US" w:eastAsia="zh-CN"/>
                    </w:rPr>
                  </w:pPr>
                  <w:r>
                    <w:rPr>
                      <w:rFonts w:hint="eastAsia"/>
                      <w:color w:val="auto"/>
                      <w:vertAlign w:val="baseline"/>
                      <w:lang w:val="en-US" w:eastAsia="zh-CN"/>
                    </w:rPr>
                    <w:t>0套</w:t>
                  </w:r>
                </w:p>
              </w:tc>
              <w:tc>
                <w:tcPr>
                  <w:tcW w:w="718" w:type="pct"/>
                  <w:noWrap w:val="0"/>
                  <w:vAlign w:val="center"/>
                </w:tcPr>
                <w:p w14:paraId="3152BC95">
                  <w:pPr>
                    <w:pStyle w:val="17"/>
                    <w:ind w:firstLine="0" w:firstLineChars="0"/>
                    <w:jc w:val="center"/>
                    <w:rPr>
                      <w:rFonts w:hint="eastAsia"/>
                      <w:color w:val="auto"/>
                      <w:vertAlign w:val="baseline"/>
                      <w:lang w:val="en-US" w:eastAsia="zh-CN"/>
                    </w:rPr>
                  </w:pPr>
                  <w:r>
                    <w:rPr>
                      <w:rFonts w:hint="eastAsia"/>
                      <w:color w:val="auto"/>
                      <w:vertAlign w:val="baseline"/>
                      <w:lang w:val="en-US" w:eastAsia="zh-CN"/>
                    </w:rPr>
                    <w:t>+2套</w:t>
                  </w:r>
                </w:p>
              </w:tc>
              <w:tc>
                <w:tcPr>
                  <w:tcW w:w="861" w:type="pct"/>
                  <w:noWrap w:val="0"/>
                  <w:vAlign w:val="center"/>
                </w:tcPr>
                <w:p w14:paraId="1D1920FF">
                  <w:pPr>
                    <w:pStyle w:val="17"/>
                    <w:ind w:firstLine="0" w:firstLineChars="0"/>
                    <w:jc w:val="center"/>
                    <w:rPr>
                      <w:rFonts w:hint="eastAsia"/>
                      <w:color w:val="auto"/>
                      <w:vertAlign w:val="baseline"/>
                      <w:lang w:val="en-US" w:eastAsia="zh-CN"/>
                    </w:rPr>
                  </w:pPr>
                  <w:r>
                    <w:rPr>
                      <w:rFonts w:hint="eastAsia"/>
                      <w:color w:val="auto"/>
                      <w:vertAlign w:val="baseline"/>
                      <w:lang w:val="en-US" w:eastAsia="zh-CN"/>
                    </w:rPr>
                    <w:t>2套</w:t>
                  </w:r>
                </w:p>
              </w:tc>
              <w:tc>
                <w:tcPr>
                  <w:tcW w:w="439" w:type="pct"/>
                  <w:noWrap w:val="0"/>
                  <w:vAlign w:val="center"/>
                </w:tcPr>
                <w:p w14:paraId="5A64BD7C">
                  <w:pPr>
                    <w:pStyle w:val="17"/>
                    <w:ind w:firstLine="0" w:firstLineChars="0"/>
                    <w:jc w:val="center"/>
                    <w:rPr>
                      <w:rFonts w:hint="eastAsia"/>
                      <w:color w:val="auto"/>
                      <w:vertAlign w:val="baseline"/>
                      <w:lang w:val="en-US" w:eastAsia="zh-CN"/>
                    </w:rPr>
                  </w:pPr>
                  <w:r>
                    <w:rPr>
                      <w:rFonts w:hint="eastAsia"/>
                      <w:color w:val="auto"/>
                      <w:vertAlign w:val="baseline"/>
                      <w:lang w:val="en-US" w:eastAsia="zh-CN"/>
                    </w:rPr>
                    <w:t>新建</w:t>
                  </w:r>
                </w:p>
              </w:tc>
            </w:tr>
            <w:tr w14:paraId="2FF6D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noWrap w:val="0"/>
                  <w:vAlign w:val="center"/>
                </w:tcPr>
                <w:p w14:paraId="164E8B5E">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19</w:t>
                  </w:r>
                </w:p>
              </w:tc>
              <w:tc>
                <w:tcPr>
                  <w:tcW w:w="1094" w:type="pct"/>
                  <w:noWrap w:val="0"/>
                  <w:vAlign w:val="center"/>
                </w:tcPr>
                <w:p w14:paraId="5A1660DC">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气控系统</w:t>
                  </w:r>
                </w:p>
              </w:tc>
              <w:tc>
                <w:tcPr>
                  <w:tcW w:w="989" w:type="pct"/>
                  <w:noWrap w:val="0"/>
                  <w:vAlign w:val="center"/>
                </w:tcPr>
                <w:p w14:paraId="3E13F970">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空压机0.25m</w:t>
                  </w:r>
                  <w:r>
                    <w:rPr>
                      <w:rFonts w:hint="eastAsia"/>
                      <w:color w:val="auto"/>
                      <w:vertAlign w:val="superscript"/>
                      <w:lang w:val="en-US" w:eastAsia="zh-CN"/>
                    </w:rPr>
                    <w:t>3</w:t>
                  </w:r>
                </w:p>
              </w:tc>
              <w:tc>
                <w:tcPr>
                  <w:tcW w:w="466" w:type="pct"/>
                  <w:noWrap w:val="0"/>
                  <w:vAlign w:val="center"/>
                </w:tcPr>
                <w:p w14:paraId="6236996A">
                  <w:pPr>
                    <w:pStyle w:val="17"/>
                    <w:ind w:firstLine="0" w:firstLineChars="0"/>
                    <w:jc w:val="center"/>
                    <w:rPr>
                      <w:rFonts w:hint="eastAsia"/>
                      <w:color w:val="auto"/>
                      <w:vertAlign w:val="baseline"/>
                      <w:lang w:val="en-US" w:eastAsia="zh-CN"/>
                    </w:rPr>
                  </w:pPr>
                  <w:r>
                    <w:rPr>
                      <w:rFonts w:hint="eastAsia"/>
                      <w:color w:val="auto"/>
                      <w:vertAlign w:val="baseline"/>
                      <w:lang w:val="en-US" w:eastAsia="zh-CN"/>
                    </w:rPr>
                    <w:t>0套</w:t>
                  </w:r>
                </w:p>
              </w:tc>
              <w:tc>
                <w:tcPr>
                  <w:tcW w:w="718" w:type="pct"/>
                  <w:noWrap w:val="0"/>
                  <w:vAlign w:val="center"/>
                </w:tcPr>
                <w:p w14:paraId="16B2B38E">
                  <w:pPr>
                    <w:pStyle w:val="17"/>
                    <w:ind w:firstLine="0" w:firstLineChars="0"/>
                    <w:jc w:val="center"/>
                    <w:rPr>
                      <w:rFonts w:hint="eastAsia"/>
                      <w:color w:val="auto"/>
                      <w:vertAlign w:val="baseline"/>
                      <w:lang w:val="en-US" w:eastAsia="zh-CN"/>
                    </w:rPr>
                  </w:pPr>
                  <w:r>
                    <w:rPr>
                      <w:rFonts w:hint="eastAsia"/>
                      <w:color w:val="auto"/>
                      <w:vertAlign w:val="baseline"/>
                      <w:lang w:val="en-US" w:eastAsia="zh-CN"/>
                    </w:rPr>
                    <w:t>+2套</w:t>
                  </w:r>
                </w:p>
              </w:tc>
              <w:tc>
                <w:tcPr>
                  <w:tcW w:w="861" w:type="pct"/>
                  <w:noWrap w:val="0"/>
                  <w:vAlign w:val="center"/>
                </w:tcPr>
                <w:p w14:paraId="6CBA33A0">
                  <w:pPr>
                    <w:pStyle w:val="17"/>
                    <w:ind w:firstLine="0" w:firstLineChars="0"/>
                    <w:jc w:val="center"/>
                    <w:rPr>
                      <w:rFonts w:hint="eastAsia"/>
                      <w:color w:val="auto"/>
                      <w:vertAlign w:val="baseline"/>
                      <w:lang w:val="en-US" w:eastAsia="zh-CN"/>
                    </w:rPr>
                  </w:pPr>
                  <w:r>
                    <w:rPr>
                      <w:rFonts w:hint="eastAsia"/>
                      <w:color w:val="auto"/>
                      <w:vertAlign w:val="baseline"/>
                      <w:lang w:val="en-US" w:eastAsia="zh-CN"/>
                    </w:rPr>
                    <w:t>2套</w:t>
                  </w:r>
                </w:p>
              </w:tc>
              <w:tc>
                <w:tcPr>
                  <w:tcW w:w="439" w:type="pct"/>
                  <w:noWrap w:val="0"/>
                  <w:vAlign w:val="center"/>
                </w:tcPr>
                <w:p w14:paraId="1D21F621">
                  <w:pPr>
                    <w:pStyle w:val="17"/>
                    <w:ind w:firstLine="0" w:firstLineChars="0"/>
                    <w:jc w:val="center"/>
                    <w:rPr>
                      <w:rFonts w:hint="eastAsia"/>
                      <w:color w:val="auto"/>
                      <w:vertAlign w:val="baseline"/>
                      <w:lang w:val="en-US" w:eastAsia="zh-CN"/>
                    </w:rPr>
                  </w:pPr>
                  <w:r>
                    <w:rPr>
                      <w:rFonts w:hint="eastAsia"/>
                      <w:color w:val="auto"/>
                      <w:vertAlign w:val="baseline"/>
                      <w:lang w:val="en-US" w:eastAsia="zh-CN"/>
                    </w:rPr>
                    <w:t>新建</w:t>
                  </w:r>
                </w:p>
              </w:tc>
            </w:tr>
            <w:tr w14:paraId="38C83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noWrap w:val="0"/>
                  <w:vAlign w:val="center"/>
                </w:tcPr>
                <w:p w14:paraId="1F900DCF">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20</w:t>
                  </w:r>
                </w:p>
              </w:tc>
              <w:tc>
                <w:tcPr>
                  <w:tcW w:w="1094" w:type="pct"/>
                  <w:noWrap w:val="0"/>
                  <w:vAlign w:val="center"/>
                </w:tcPr>
                <w:p w14:paraId="35CFB14D">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标准全自动控制系统</w:t>
                  </w:r>
                </w:p>
              </w:tc>
              <w:tc>
                <w:tcPr>
                  <w:tcW w:w="989" w:type="pct"/>
                  <w:noWrap w:val="0"/>
                  <w:vAlign w:val="center"/>
                </w:tcPr>
                <w:p w14:paraId="693FC419">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w:t>
                  </w:r>
                </w:p>
              </w:tc>
              <w:tc>
                <w:tcPr>
                  <w:tcW w:w="466" w:type="pct"/>
                  <w:noWrap w:val="0"/>
                  <w:vAlign w:val="center"/>
                </w:tcPr>
                <w:p w14:paraId="27F4248D">
                  <w:pPr>
                    <w:pStyle w:val="17"/>
                    <w:ind w:firstLine="0" w:firstLineChars="0"/>
                    <w:jc w:val="center"/>
                    <w:rPr>
                      <w:rFonts w:hint="eastAsia"/>
                      <w:color w:val="auto"/>
                      <w:vertAlign w:val="baseline"/>
                      <w:lang w:val="en-US" w:eastAsia="zh-CN"/>
                    </w:rPr>
                  </w:pPr>
                  <w:r>
                    <w:rPr>
                      <w:rFonts w:hint="eastAsia"/>
                      <w:color w:val="auto"/>
                      <w:vertAlign w:val="baseline"/>
                      <w:lang w:val="en-US" w:eastAsia="zh-CN"/>
                    </w:rPr>
                    <w:t>0套</w:t>
                  </w:r>
                </w:p>
              </w:tc>
              <w:tc>
                <w:tcPr>
                  <w:tcW w:w="718" w:type="pct"/>
                  <w:noWrap w:val="0"/>
                  <w:vAlign w:val="center"/>
                </w:tcPr>
                <w:p w14:paraId="5B06AA1A">
                  <w:pPr>
                    <w:pStyle w:val="17"/>
                    <w:ind w:firstLine="0" w:firstLineChars="0"/>
                    <w:jc w:val="center"/>
                    <w:rPr>
                      <w:rFonts w:hint="eastAsia"/>
                      <w:color w:val="auto"/>
                      <w:vertAlign w:val="baseline"/>
                      <w:lang w:val="en-US" w:eastAsia="zh-CN"/>
                    </w:rPr>
                  </w:pPr>
                  <w:r>
                    <w:rPr>
                      <w:rFonts w:hint="eastAsia"/>
                      <w:color w:val="auto"/>
                      <w:vertAlign w:val="baseline"/>
                      <w:lang w:val="en-US" w:eastAsia="zh-CN"/>
                    </w:rPr>
                    <w:t>+2套</w:t>
                  </w:r>
                </w:p>
              </w:tc>
              <w:tc>
                <w:tcPr>
                  <w:tcW w:w="861" w:type="pct"/>
                  <w:noWrap w:val="0"/>
                  <w:vAlign w:val="center"/>
                </w:tcPr>
                <w:p w14:paraId="3B7AA09A">
                  <w:pPr>
                    <w:pStyle w:val="17"/>
                    <w:ind w:firstLine="0" w:firstLineChars="0"/>
                    <w:jc w:val="center"/>
                    <w:rPr>
                      <w:rFonts w:hint="eastAsia"/>
                      <w:color w:val="auto"/>
                      <w:vertAlign w:val="baseline"/>
                      <w:lang w:val="en-US" w:eastAsia="zh-CN"/>
                    </w:rPr>
                  </w:pPr>
                  <w:r>
                    <w:rPr>
                      <w:rFonts w:hint="eastAsia"/>
                      <w:color w:val="auto"/>
                      <w:vertAlign w:val="baseline"/>
                      <w:lang w:val="en-US" w:eastAsia="zh-CN"/>
                    </w:rPr>
                    <w:t>2套</w:t>
                  </w:r>
                </w:p>
              </w:tc>
              <w:tc>
                <w:tcPr>
                  <w:tcW w:w="439" w:type="pct"/>
                  <w:noWrap w:val="0"/>
                  <w:vAlign w:val="center"/>
                </w:tcPr>
                <w:p w14:paraId="1AD664F0">
                  <w:pPr>
                    <w:pStyle w:val="17"/>
                    <w:ind w:firstLine="0" w:firstLineChars="0"/>
                    <w:jc w:val="center"/>
                    <w:rPr>
                      <w:rFonts w:hint="eastAsia"/>
                      <w:color w:val="auto"/>
                      <w:vertAlign w:val="baseline"/>
                      <w:lang w:val="en-US" w:eastAsia="zh-CN"/>
                    </w:rPr>
                  </w:pPr>
                  <w:r>
                    <w:rPr>
                      <w:rFonts w:hint="eastAsia"/>
                      <w:color w:val="auto"/>
                      <w:vertAlign w:val="baseline"/>
                      <w:lang w:val="en-US" w:eastAsia="zh-CN"/>
                    </w:rPr>
                    <w:t>新建</w:t>
                  </w:r>
                </w:p>
              </w:tc>
            </w:tr>
            <w:tr w14:paraId="7F03D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noWrap w:val="0"/>
                  <w:vAlign w:val="center"/>
                </w:tcPr>
                <w:p w14:paraId="5A67116B">
                  <w:pPr>
                    <w:pStyle w:val="17"/>
                    <w:ind w:firstLine="0" w:firstLineChars="0"/>
                    <w:jc w:val="both"/>
                    <w:rPr>
                      <w:rFonts w:hint="default"/>
                      <w:color w:val="auto"/>
                      <w:vertAlign w:val="baseline"/>
                      <w:lang w:val="en-US" w:eastAsia="zh-CN"/>
                    </w:rPr>
                  </w:pPr>
                  <w:r>
                    <w:rPr>
                      <w:rFonts w:hint="eastAsia"/>
                      <w:b/>
                      <w:bCs/>
                      <w:color w:val="auto"/>
                      <w:vertAlign w:val="baseline"/>
                      <w:lang w:val="en-US" w:eastAsia="zh-CN"/>
                    </w:rPr>
                    <w:t>砖生产</w:t>
                  </w:r>
                </w:p>
              </w:tc>
            </w:tr>
            <w:tr w14:paraId="45D8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noWrap w:val="0"/>
                  <w:vAlign w:val="center"/>
                </w:tcPr>
                <w:p w14:paraId="20A3556A">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s="Times New Roman"/>
                      <w:color w:val="auto"/>
                      <w:kern w:val="0"/>
                      <w:sz w:val="21"/>
                      <w:szCs w:val="21"/>
                      <w:vertAlign w:val="baseline"/>
                      <w:lang w:val="en-US" w:eastAsia="zh-CN" w:bidi="ar-SA"/>
                    </w:rPr>
                    <w:t>21</w:t>
                  </w:r>
                </w:p>
              </w:tc>
              <w:tc>
                <w:tcPr>
                  <w:tcW w:w="1094" w:type="pct"/>
                  <w:noWrap w:val="0"/>
                  <w:vAlign w:val="center"/>
                </w:tcPr>
                <w:p w14:paraId="62A39008">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s="Times New Roman"/>
                      <w:color w:val="auto"/>
                      <w:kern w:val="0"/>
                      <w:sz w:val="21"/>
                      <w:szCs w:val="21"/>
                      <w:vertAlign w:val="baseline"/>
                      <w:lang w:val="en-US" w:eastAsia="zh-CN" w:bidi="ar-SA"/>
                    </w:rPr>
                    <w:t>搅拌配料系统</w:t>
                  </w:r>
                </w:p>
              </w:tc>
              <w:tc>
                <w:tcPr>
                  <w:tcW w:w="989" w:type="pct"/>
                  <w:noWrap w:val="0"/>
                  <w:vAlign w:val="center"/>
                </w:tcPr>
                <w:p w14:paraId="6202DDFF">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s="Times New Roman"/>
                      <w:color w:val="auto"/>
                      <w:kern w:val="0"/>
                      <w:sz w:val="21"/>
                      <w:szCs w:val="21"/>
                      <w:vertAlign w:val="baseline"/>
                      <w:lang w:val="en-US" w:eastAsia="zh-CN" w:bidi="ar-SA"/>
                    </w:rPr>
                    <w:t>/</w:t>
                  </w:r>
                </w:p>
              </w:tc>
              <w:tc>
                <w:tcPr>
                  <w:tcW w:w="466" w:type="pct"/>
                  <w:noWrap w:val="0"/>
                  <w:vAlign w:val="center"/>
                </w:tcPr>
                <w:p w14:paraId="37A67243">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s="Times New Roman"/>
                      <w:color w:val="auto"/>
                      <w:kern w:val="0"/>
                      <w:sz w:val="21"/>
                      <w:szCs w:val="21"/>
                      <w:vertAlign w:val="baseline"/>
                      <w:lang w:val="en-US" w:eastAsia="zh-CN" w:bidi="ar-SA"/>
                    </w:rPr>
                    <w:t>0套</w:t>
                  </w:r>
                </w:p>
              </w:tc>
              <w:tc>
                <w:tcPr>
                  <w:tcW w:w="718" w:type="pct"/>
                  <w:noWrap w:val="0"/>
                  <w:vAlign w:val="center"/>
                </w:tcPr>
                <w:p w14:paraId="02C1C8BF">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s="Times New Roman"/>
                      <w:color w:val="auto"/>
                      <w:kern w:val="0"/>
                      <w:sz w:val="21"/>
                      <w:szCs w:val="21"/>
                      <w:vertAlign w:val="baseline"/>
                      <w:lang w:val="en-US" w:eastAsia="zh-CN" w:bidi="ar-SA"/>
                    </w:rPr>
                    <w:t>+1套</w:t>
                  </w:r>
                </w:p>
              </w:tc>
              <w:tc>
                <w:tcPr>
                  <w:tcW w:w="861" w:type="pct"/>
                  <w:noWrap w:val="0"/>
                  <w:vAlign w:val="center"/>
                </w:tcPr>
                <w:p w14:paraId="3CDF049B">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s="Times New Roman"/>
                      <w:color w:val="auto"/>
                      <w:kern w:val="0"/>
                      <w:sz w:val="21"/>
                      <w:szCs w:val="21"/>
                      <w:vertAlign w:val="baseline"/>
                      <w:lang w:val="en-US" w:eastAsia="zh-CN" w:bidi="ar-SA"/>
                    </w:rPr>
                    <w:t>1套</w:t>
                  </w:r>
                </w:p>
              </w:tc>
              <w:tc>
                <w:tcPr>
                  <w:tcW w:w="439" w:type="pct"/>
                  <w:noWrap w:val="0"/>
                  <w:vAlign w:val="center"/>
                </w:tcPr>
                <w:p w14:paraId="018FD92C">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新建</w:t>
                  </w:r>
                </w:p>
              </w:tc>
            </w:tr>
            <w:tr w14:paraId="7D077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noWrap w:val="0"/>
                  <w:vAlign w:val="center"/>
                </w:tcPr>
                <w:p w14:paraId="0C536BE7">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22</w:t>
                  </w:r>
                </w:p>
              </w:tc>
              <w:tc>
                <w:tcPr>
                  <w:tcW w:w="1094" w:type="pct"/>
                  <w:noWrap w:val="0"/>
                  <w:vAlign w:val="center"/>
                </w:tcPr>
                <w:p w14:paraId="4F5F3704">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砌块成型系统</w:t>
                  </w:r>
                </w:p>
              </w:tc>
              <w:tc>
                <w:tcPr>
                  <w:tcW w:w="989" w:type="pct"/>
                  <w:noWrap w:val="0"/>
                  <w:vAlign w:val="center"/>
                </w:tcPr>
                <w:p w14:paraId="5EC12053">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w:t>
                  </w:r>
                </w:p>
              </w:tc>
              <w:tc>
                <w:tcPr>
                  <w:tcW w:w="466" w:type="pct"/>
                  <w:noWrap w:val="0"/>
                  <w:vAlign w:val="center"/>
                </w:tcPr>
                <w:p w14:paraId="12A071F0">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0套</w:t>
                  </w:r>
                </w:p>
              </w:tc>
              <w:tc>
                <w:tcPr>
                  <w:tcW w:w="718" w:type="pct"/>
                  <w:noWrap w:val="0"/>
                  <w:vAlign w:val="center"/>
                </w:tcPr>
                <w:p w14:paraId="5EEE0A47">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+1套</w:t>
                  </w:r>
                </w:p>
              </w:tc>
              <w:tc>
                <w:tcPr>
                  <w:tcW w:w="861" w:type="pct"/>
                  <w:noWrap w:val="0"/>
                  <w:vAlign w:val="center"/>
                </w:tcPr>
                <w:p w14:paraId="37D9E757">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1套</w:t>
                  </w:r>
                </w:p>
              </w:tc>
              <w:tc>
                <w:tcPr>
                  <w:tcW w:w="439" w:type="pct"/>
                  <w:noWrap w:val="0"/>
                  <w:vAlign w:val="center"/>
                </w:tcPr>
                <w:p w14:paraId="1244A88E">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新建</w:t>
                  </w:r>
                </w:p>
              </w:tc>
            </w:tr>
            <w:tr w14:paraId="249A7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noWrap w:val="0"/>
                  <w:vAlign w:val="center"/>
                </w:tcPr>
                <w:p w14:paraId="0E93F9DF">
                  <w:pPr>
                    <w:pStyle w:val="17"/>
                    <w:ind w:firstLine="0" w:firstLineChars="0"/>
                    <w:jc w:val="center"/>
                    <w:rPr>
                      <w:rFonts w:hint="eastAsia"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23</w:t>
                  </w:r>
                </w:p>
              </w:tc>
              <w:tc>
                <w:tcPr>
                  <w:tcW w:w="1094" w:type="pct"/>
                  <w:noWrap w:val="0"/>
                  <w:vAlign w:val="center"/>
                </w:tcPr>
                <w:p w14:paraId="4E619DE0">
                  <w:pPr>
                    <w:pStyle w:val="17"/>
                    <w:ind w:firstLine="0" w:firstLineChars="0"/>
                    <w:jc w:val="center"/>
                    <w:rPr>
                      <w:rFonts w:hint="eastAsia"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水泥仓</w:t>
                  </w:r>
                </w:p>
              </w:tc>
              <w:tc>
                <w:tcPr>
                  <w:tcW w:w="989" w:type="pct"/>
                  <w:noWrap w:val="0"/>
                  <w:vAlign w:val="center"/>
                </w:tcPr>
                <w:p w14:paraId="2E762D14">
                  <w:pPr>
                    <w:pStyle w:val="17"/>
                    <w:ind w:firstLine="0" w:firstLineChars="0"/>
                    <w:jc w:val="center"/>
                    <w:rPr>
                      <w:rFonts w:hint="eastAsia"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100t</w:t>
                  </w:r>
                </w:p>
              </w:tc>
              <w:tc>
                <w:tcPr>
                  <w:tcW w:w="466" w:type="pct"/>
                  <w:noWrap w:val="0"/>
                  <w:vAlign w:val="center"/>
                </w:tcPr>
                <w:p w14:paraId="2E6F4793">
                  <w:pPr>
                    <w:pStyle w:val="17"/>
                    <w:ind w:firstLine="0" w:firstLineChars="0"/>
                    <w:jc w:val="center"/>
                    <w:rPr>
                      <w:rFonts w:hint="eastAsia"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0套</w:t>
                  </w:r>
                </w:p>
              </w:tc>
              <w:tc>
                <w:tcPr>
                  <w:tcW w:w="718" w:type="pct"/>
                  <w:noWrap w:val="0"/>
                  <w:vAlign w:val="center"/>
                </w:tcPr>
                <w:p w14:paraId="41A1F96B">
                  <w:pPr>
                    <w:pStyle w:val="17"/>
                    <w:ind w:firstLine="0" w:firstLineChars="0"/>
                    <w:jc w:val="center"/>
                    <w:rPr>
                      <w:rFonts w:hint="eastAsia"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+1套</w:t>
                  </w:r>
                </w:p>
              </w:tc>
              <w:tc>
                <w:tcPr>
                  <w:tcW w:w="861" w:type="pct"/>
                  <w:noWrap w:val="0"/>
                  <w:vAlign w:val="center"/>
                </w:tcPr>
                <w:p w14:paraId="7E124636">
                  <w:pPr>
                    <w:pStyle w:val="17"/>
                    <w:ind w:firstLine="0" w:firstLineChars="0"/>
                    <w:jc w:val="center"/>
                    <w:rPr>
                      <w:rFonts w:hint="eastAsia"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1套</w:t>
                  </w:r>
                </w:p>
              </w:tc>
              <w:tc>
                <w:tcPr>
                  <w:tcW w:w="439" w:type="pct"/>
                  <w:noWrap w:val="0"/>
                  <w:vAlign w:val="center"/>
                </w:tcPr>
                <w:p w14:paraId="63B584C6">
                  <w:pPr>
                    <w:pStyle w:val="17"/>
                    <w:ind w:firstLine="0" w:firstLineChars="0"/>
                    <w:jc w:val="center"/>
                    <w:rPr>
                      <w:rFonts w:hint="eastAsia"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新建</w:t>
                  </w:r>
                </w:p>
              </w:tc>
            </w:tr>
            <w:tr w14:paraId="4ED8B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noWrap w:val="0"/>
                  <w:vAlign w:val="center"/>
                </w:tcPr>
                <w:p w14:paraId="38F39E33">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24</w:t>
                  </w:r>
                </w:p>
              </w:tc>
              <w:tc>
                <w:tcPr>
                  <w:tcW w:w="1094" w:type="pct"/>
                  <w:noWrap w:val="0"/>
                  <w:vAlign w:val="center"/>
                </w:tcPr>
                <w:p w14:paraId="4E3DED91">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养护系统</w:t>
                  </w:r>
                </w:p>
              </w:tc>
              <w:tc>
                <w:tcPr>
                  <w:tcW w:w="989" w:type="pct"/>
                  <w:noWrap w:val="0"/>
                  <w:vAlign w:val="center"/>
                </w:tcPr>
                <w:p w14:paraId="7D285B24">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w:t>
                  </w:r>
                </w:p>
              </w:tc>
              <w:tc>
                <w:tcPr>
                  <w:tcW w:w="466" w:type="pct"/>
                  <w:noWrap w:val="0"/>
                  <w:vAlign w:val="center"/>
                </w:tcPr>
                <w:p w14:paraId="3E63A378">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0套</w:t>
                  </w:r>
                </w:p>
              </w:tc>
              <w:tc>
                <w:tcPr>
                  <w:tcW w:w="718" w:type="pct"/>
                  <w:noWrap w:val="0"/>
                  <w:vAlign w:val="center"/>
                </w:tcPr>
                <w:p w14:paraId="46B12D53">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+1套</w:t>
                  </w:r>
                </w:p>
              </w:tc>
              <w:tc>
                <w:tcPr>
                  <w:tcW w:w="861" w:type="pct"/>
                  <w:noWrap w:val="0"/>
                  <w:vAlign w:val="center"/>
                </w:tcPr>
                <w:p w14:paraId="511E5596">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1套</w:t>
                  </w:r>
                </w:p>
              </w:tc>
              <w:tc>
                <w:tcPr>
                  <w:tcW w:w="439" w:type="pct"/>
                  <w:noWrap w:val="0"/>
                  <w:vAlign w:val="center"/>
                </w:tcPr>
                <w:p w14:paraId="55DCA57D">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新建</w:t>
                  </w:r>
                </w:p>
              </w:tc>
            </w:tr>
            <w:tr w14:paraId="5BAA9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noWrap w:val="0"/>
                  <w:vAlign w:val="center"/>
                </w:tcPr>
                <w:p w14:paraId="66267F54">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25</w:t>
                  </w:r>
                </w:p>
              </w:tc>
              <w:tc>
                <w:tcPr>
                  <w:tcW w:w="1094" w:type="pct"/>
                  <w:noWrap w:val="0"/>
                  <w:vAlign w:val="center"/>
                </w:tcPr>
                <w:p w14:paraId="094B75DA">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操作系统</w:t>
                  </w:r>
                </w:p>
              </w:tc>
              <w:tc>
                <w:tcPr>
                  <w:tcW w:w="989" w:type="pct"/>
                  <w:noWrap w:val="0"/>
                  <w:vAlign w:val="center"/>
                </w:tcPr>
                <w:p w14:paraId="721C11A6">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w:t>
                  </w:r>
                </w:p>
              </w:tc>
              <w:tc>
                <w:tcPr>
                  <w:tcW w:w="466" w:type="pct"/>
                  <w:noWrap w:val="0"/>
                  <w:vAlign w:val="center"/>
                </w:tcPr>
                <w:p w14:paraId="66938032">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0套</w:t>
                  </w:r>
                </w:p>
              </w:tc>
              <w:tc>
                <w:tcPr>
                  <w:tcW w:w="718" w:type="pct"/>
                  <w:noWrap w:val="0"/>
                  <w:vAlign w:val="center"/>
                </w:tcPr>
                <w:p w14:paraId="33E2F99C">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+1套</w:t>
                  </w:r>
                </w:p>
              </w:tc>
              <w:tc>
                <w:tcPr>
                  <w:tcW w:w="861" w:type="pct"/>
                  <w:noWrap w:val="0"/>
                  <w:vAlign w:val="center"/>
                </w:tcPr>
                <w:p w14:paraId="5A526153">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1套</w:t>
                  </w:r>
                </w:p>
              </w:tc>
              <w:tc>
                <w:tcPr>
                  <w:tcW w:w="439" w:type="pct"/>
                  <w:noWrap w:val="0"/>
                  <w:vAlign w:val="center"/>
                </w:tcPr>
                <w:p w14:paraId="23A9824A">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新建</w:t>
                  </w:r>
                </w:p>
              </w:tc>
            </w:tr>
            <w:tr w14:paraId="5E9CF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noWrap w:val="0"/>
                  <w:vAlign w:val="center"/>
                </w:tcPr>
                <w:p w14:paraId="3BA65C62">
                  <w:pPr>
                    <w:pStyle w:val="17"/>
                    <w:ind w:firstLine="0" w:firstLineChars="0"/>
                    <w:jc w:val="center"/>
                    <w:rPr>
                      <w:rFonts w:hint="default"/>
                      <w:color w:val="auto"/>
                      <w:vertAlign w:val="baseline"/>
                      <w:lang w:val="en-US" w:eastAsia="zh-CN"/>
                    </w:rPr>
                  </w:pPr>
                  <w:r>
                    <w:rPr>
                      <w:rFonts w:hint="eastAsia" w:cs="Times New Roman"/>
                      <w:color w:val="auto"/>
                      <w:kern w:val="0"/>
                      <w:sz w:val="21"/>
                      <w:szCs w:val="21"/>
                      <w:vertAlign w:val="baseline"/>
                      <w:lang w:val="en-US" w:eastAsia="zh-CN" w:bidi="ar-SA"/>
                    </w:rPr>
                    <w:t>26</w:t>
                  </w:r>
                </w:p>
              </w:tc>
              <w:tc>
                <w:tcPr>
                  <w:tcW w:w="1094" w:type="pct"/>
                  <w:noWrap w:val="0"/>
                  <w:vAlign w:val="center"/>
                </w:tcPr>
                <w:p w14:paraId="747FC90B">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控制房</w:t>
                  </w:r>
                </w:p>
              </w:tc>
              <w:tc>
                <w:tcPr>
                  <w:tcW w:w="989" w:type="pct"/>
                  <w:noWrap w:val="0"/>
                  <w:vAlign w:val="center"/>
                </w:tcPr>
                <w:p w14:paraId="7FC46A28">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w:t>
                  </w:r>
                </w:p>
              </w:tc>
              <w:tc>
                <w:tcPr>
                  <w:tcW w:w="466" w:type="pct"/>
                  <w:noWrap w:val="0"/>
                  <w:vAlign w:val="center"/>
                </w:tcPr>
                <w:p w14:paraId="73AD5474">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0套</w:t>
                  </w:r>
                </w:p>
              </w:tc>
              <w:tc>
                <w:tcPr>
                  <w:tcW w:w="718" w:type="pct"/>
                  <w:noWrap w:val="0"/>
                  <w:vAlign w:val="center"/>
                </w:tcPr>
                <w:p w14:paraId="535777D0">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+1套</w:t>
                  </w:r>
                </w:p>
              </w:tc>
              <w:tc>
                <w:tcPr>
                  <w:tcW w:w="861" w:type="pct"/>
                  <w:noWrap w:val="0"/>
                  <w:vAlign w:val="center"/>
                </w:tcPr>
                <w:p w14:paraId="6132180D">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1套</w:t>
                  </w:r>
                </w:p>
              </w:tc>
              <w:tc>
                <w:tcPr>
                  <w:tcW w:w="439" w:type="pct"/>
                  <w:noWrap w:val="0"/>
                  <w:vAlign w:val="center"/>
                </w:tcPr>
                <w:p w14:paraId="2E520A97">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新建</w:t>
                  </w:r>
                </w:p>
              </w:tc>
            </w:tr>
            <w:tr w14:paraId="480CB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noWrap w:val="0"/>
                  <w:vAlign w:val="center"/>
                </w:tcPr>
                <w:p w14:paraId="5856D05F">
                  <w:pPr>
                    <w:pStyle w:val="17"/>
                    <w:ind w:firstLine="0" w:firstLineChars="0"/>
                    <w:jc w:val="both"/>
                    <w:rPr>
                      <w:rFonts w:hint="default" w:ascii="Times New Roman" w:hAnsi="Times New Roman" w:eastAsia="宋体" w:cs="Times New Roman"/>
                      <w:color w:val="auto"/>
                      <w:kern w:val="0"/>
                      <w:sz w:val="21"/>
                      <w:szCs w:val="21"/>
                      <w:vertAlign w:val="baseline"/>
                      <w:lang w:val="en-US" w:eastAsia="zh-CN" w:bidi="ar-SA"/>
                    </w:rPr>
                  </w:pPr>
                  <w:r>
                    <w:rPr>
                      <w:rFonts w:hint="eastAsia" w:cs="Times New Roman"/>
                      <w:b/>
                      <w:bCs/>
                      <w:color w:val="auto"/>
                      <w:kern w:val="0"/>
                      <w:sz w:val="21"/>
                      <w:szCs w:val="21"/>
                      <w:vertAlign w:val="baseline"/>
                      <w:lang w:val="en-US" w:eastAsia="zh-CN" w:bidi="ar-SA"/>
                    </w:rPr>
                    <w:t>其他设备</w:t>
                  </w:r>
                </w:p>
              </w:tc>
            </w:tr>
            <w:tr w14:paraId="61DAF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noWrap w:val="0"/>
                  <w:vAlign w:val="center"/>
                </w:tcPr>
                <w:p w14:paraId="34ED8C8C">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s="Times New Roman"/>
                      <w:color w:val="auto"/>
                      <w:kern w:val="0"/>
                      <w:sz w:val="21"/>
                      <w:szCs w:val="21"/>
                      <w:vertAlign w:val="baseline"/>
                      <w:lang w:val="en-US" w:eastAsia="zh-CN" w:bidi="ar-SA"/>
                    </w:rPr>
                    <w:t>27</w:t>
                  </w:r>
                </w:p>
              </w:tc>
              <w:tc>
                <w:tcPr>
                  <w:tcW w:w="1094" w:type="pct"/>
                  <w:noWrap w:val="0"/>
                  <w:vAlign w:val="center"/>
                </w:tcPr>
                <w:p w14:paraId="1A26DA9E">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铲车</w:t>
                  </w:r>
                </w:p>
              </w:tc>
              <w:tc>
                <w:tcPr>
                  <w:tcW w:w="989" w:type="pct"/>
                  <w:noWrap w:val="0"/>
                  <w:vAlign w:val="center"/>
                </w:tcPr>
                <w:p w14:paraId="4F30F8E4">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50#</w:t>
                  </w:r>
                </w:p>
              </w:tc>
              <w:tc>
                <w:tcPr>
                  <w:tcW w:w="466" w:type="pct"/>
                  <w:noWrap w:val="0"/>
                  <w:vAlign w:val="center"/>
                </w:tcPr>
                <w:p w14:paraId="7FB2A4FA">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2台</w:t>
                  </w:r>
                </w:p>
              </w:tc>
              <w:tc>
                <w:tcPr>
                  <w:tcW w:w="718" w:type="pct"/>
                  <w:noWrap w:val="0"/>
                  <w:vAlign w:val="center"/>
                </w:tcPr>
                <w:p w14:paraId="2987F8F8">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0台</w:t>
                  </w:r>
                </w:p>
              </w:tc>
              <w:tc>
                <w:tcPr>
                  <w:tcW w:w="861" w:type="pct"/>
                  <w:noWrap w:val="0"/>
                  <w:vAlign w:val="center"/>
                </w:tcPr>
                <w:p w14:paraId="44F2C8AE">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2台</w:t>
                  </w:r>
                </w:p>
              </w:tc>
              <w:tc>
                <w:tcPr>
                  <w:tcW w:w="439" w:type="pct"/>
                  <w:noWrap w:val="0"/>
                  <w:vAlign w:val="center"/>
                </w:tcPr>
                <w:p w14:paraId="4B5F24F1">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现有</w:t>
                  </w:r>
                </w:p>
              </w:tc>
            </w:tr>
            <w:tr w14:paraId="0326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noWrap w:val="0"/>
                  <w:vAlign w:val="center"/>
                </w:tcPr>
                <w:p w14:paraId="4F3939B0">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28</w:t>
                  </w:r>
                </w:p>
              </w:tc>
              <w:tc>
                <w:tcPr>
                  <w:tcW w:w="1094" w:type="pct"/>
                  <w:noWrap w:val="0"/>
                  <w:vAlign w:val="center"/>
                </w:tcPr>
                <w:p w14:paraId="7C03D698">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皮带输送机</w:t>
                  </w:r>
                </w:p>
              </w:tc>
              <w:tc>
                <w:tcPr>
                  <w:tcW w:w="989" w:type="pct"/>
                  <w:noWrap w:val="0"/>
                  <w:vAlign w:val="center"/>
                </w:tcPr>
                <w:p w14:paraId="1DBE2F66">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w:t>
                  </w:r>
                </w:p>
              </w:tc>
              <w:tc>
                <w:tcPr>
                  <w:tcW w:w="466" w:type="pct"/>
                  <w:noWrap w:val="0"/>
                  <w:vAlign w:val="center"/>
                </w:tcPr>
                <w:p w14:paraId="6DAAB635">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12套</w:t>
                  </w:r>
                </w:p>
              </w:tc>
              <w:tc>
                <w:tcPr>
                  <w:tcW w:w="718" w:type="pct"/>
                  <w:noWrap w:val="0"/>
                  <w:vAlign w:val="center"/>
                </w:tcPr>
                <w:p w14:paraId="3E42D7F8">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0台</w:t>
                  </w:r>
                </w:p>
              </w:tc>
              <w:tc>
                <w:tcPr>
                  <w:tcW w:w="861" w:type="pct"/>
                  <w:noWrap w:val="0"/>
                  <w:vAlign w:val="center"/>
                </w:tcPr>
                <w:p w14:paraId="02E5E9A6">
                  <w:pPr>
                    <w:pStyle w:val="17"/>
                    <w:ind w:firstLine="0" w:firstLineChars="0"/>
                    <w:jc w:val="center"/>
                    <w:rPr>
                      <w:rFonts w:hint="eastAsia"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12套</w:t>
                  </w:r>
                </w:p>
              </w:tc>
              <w:tc>
                <w:tcPr>
                  <w:tcW w:w="439" w:type="pct"/>
                  <w:noWrap w:val="0"/>
                  <w:vAlign w:val="center"/>
                </w:tcPr>
                <w:p w14:paraId="6FBB9AB4">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现有</w:t>
                  </w:r>
                </w:p>
              </w:tc>
            </w:tr>
            <w:tr w14:paraId="7DB5C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noWrap w:val="0"/>
                  <w:vAlign w:val="center"/>
                </w:tcPr>
                <w:p w14:paraId="333AB8FD">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29</w:t>
                  </w:r>
                </w:p>
              </w:tc>
              <w:tc>
                <w:tcPr>
                  <w:tcW w:w="1094" w:type="pct"/>
                  <w:noWrap w:val="0"/>
                  <w:vAlign w:val="center"/>
                </w:tcPr>
                <w:p w14:paraId="623E0077">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水泵</w:t>
                  </w:r>
                </w:p>
              </w:tc>
              <w:tc>
                <w:tcPr>
                  <w:tcW w:w="989" w:type="pct"/>
                  <w:noWrap w:val="0"/>
                  <w:vAlign w:val="center"/>
                </w:tcPr>
                <w:p w14:paraId="4569D1FF">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w:t>
                  </w:r>
                </w:p>
              </w:tc>
              <w:tc>
                <w:tcPr>
                  <w:tcW w:w="466" w:type="pct"/>
                  <w:noWrap w:val="0"/>
                  <w:vAlign w:val="center"/>
                </w:tcPr>
                <w:p w14:paraId="57DFA316">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2台</w:t>
                  </w:r>
                </w:p>
              </w:tc>
              <w:tc>
                <w:tcPr>
                  <w:tcW w:w="718" w:type="pct"/>
                  <w:noWrap w:val="0"/>
                  <w:vAlign w:val="center"/>
                </w:tcPr>
                <w:p w14:paraId="2D2832A8">
                  <w:pPr>
                    <w:pStyle w:val="17"/>
                    <w:ind w:firstLine="0" w:firstLineChars="0"/>
                    <w:jc w:val="center"/>
                    <w:rPr>
                      <w:rFonts w:hint="eastAsia"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0台</w:t>
                  </w:r>
                </w:p>
              </w:tc>
              <w:tc>
                <w:tcPr>
                  <w:tcW w:w="861" w:type="pct"/>
                  <w:noWrap w:val="0"/>
                  <w:vAlign w:val="center"/>
                </w:tcPr>
                <w:p w14:paraId="0B57501A">
                  <w:pPr>
                    <w:pStyle w:val="17"/>
                    <w:ind w:firstLine="0" w:firstLineChars="0"/>
                    <w:jc w:val="center"/>
                    <w:rPr>
                      <w:rFonts w:hint="eastAsia"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2台</w:t>
                  </w:r>
                </w:p>
              </w:tc>
              <w:tc>
                <w:tcPr>
                  <w:tcW w:w="439" w:type="pct"/>
                  <w:noWrap w:val="0"/>
                  <w:vAlign w:val="center"/>
                </w:tcPr>
                <w:p w14:paraId="0B1CBC9F">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现有</w:t>
                  </w:r>
                </w:p>
              </w:tc>
            </w:tr>
            <w:tr w14:paraId="20167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noWrap w:val="0"/>
                  <w:vAlign w:val="center"/>
                </w:tcPr>
                <w:p w14:paraId="030CBD05">
                  <w:pPr>
                    <w:pStyle w:val="17"/>
                    <w:jc w:val="center"/>
                    <w:rPr>
                      <w:rFonts w:hint="default"/>
                      <w:color w:val="auto"/>
                      <w:vertAlign w:val="baseline"/>
                      <w:lang w:val="en-US" w:eastAsia="zh-CN"/>
                    </w:rPr>
                  </w:pPr>
                  <w:r>
                    <w:rPr>
                      <w:rFonts w:hint="eastAsia"/>
                      <w:color w:val="auto"/>
                      <w:vertAlign w:val="baseline"/>
                      <w:lang w:val="en-US" w:eastAsia="zh-CN"/>
                    </w:rPr>
                    <w:t>30</w:t>
                  </w:r>
                </w:p>
              </w:tc>
              <w:tc>
                <w:tcPr>
                  <w:tcW w:w="1094" w:type="pct"/>
                  <w:noWrap w:val="0"/>
                  <w:vAlign w:val="center"/>
                </w:tcPr>
                <w:p w14:paraId="4396C5FA">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地磅</w:t>
                  </w:r>
                </w:p>
              </w:tc>
              <w:tc>
                <w:tcPr>
                  <w:tcW w:w="989" w:type="pct"/>
                  <w:noWrap w:val="0"/>
                  <w:vAlign w:val="center"/>
                </w:tcPr>
                <w:p w14:paraId="2AD5E552">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w:t>
                  </w:r>
                </w:p>
              </w:tc>
              <w:tc>
                <w:tcPr>
                  <w:tcW w:w="466" w:type="pct"/>
                  <w:noWrap w:val="0"/>
                  <w:vAlign w:val="center"/>
                </w:tcPr>
                <w:p w14:paraId="79639476">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1台</w:t>
                  </w:r>
                </w:p>
              </w:tc>
              <w:tc>
                <w:tcPr>
                  <w:tcW w:w="718" w:type="pct"/>
                  <w:noWrap w:val="0"/>
                  <w:vAlign w:val="center"/>
                </w:tcPr>
                <w:p w14:paraId="79C5E693">
                  <w:pPr>
                    <w:pStyle w:val="17"/>
                    <w:ind w:firstLine="0" w:firstLineChars="0"/>
                    <w:jc w:val="center"/>
                    <w:rPr>
                      <w:rFonts w:hint="eastAsia"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0台</w:t>
                  </w:r>
                </w:p>
              </w:tc>
              <w:tc>
                <w:tcPr>
                  <w:tcW w:w="861" w:type="pct"/>
                  <w:noWrap w:val="0"/>
                  <w:vAlign w:val="center"/>
                </w:tcPr>
                <w:p w14:paraId="3931776E">
                  <w:pPr>
                    <w:pStyle w:val="17"/>
                    <w:ind w:firstLine="0" w:firstLineChars="0"/>
                    <w:jc w:val="center"/>
                    <w:rPr>
                      <w:rFonts w:hint="eastAsia"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1台</w:t>
                  </w:r>
                </w:p>
              </w:tc>
              <w:tc>
                <w:tcPr>
                  <w:tcW w:w="439" w:type="pct"/>
                  <w:noWrap w:val="0"/>
                  <w:vAlign w:val="center"/>
                </w:tcPr>
                <w:p w14:paraId="10892214">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现有</w:t>
                  </w:r>
                </w:p>
              </w:tc>
            </w:tr>
          </w:tbl>
          <w:p w14:paraId="7BA5AFF1">
            <w:pPr>
              <w:pStyle w:val="4"/>
              <w:bidi w:val="0"/>
              <w:rPr>
                <w:rFonts w:hint="eastAsia"/>
                <w:color w:val="auto"/>
                <w:lang w:val="en-US" w:eastAsia="zh-CN"/>
              </w:rPr>
            </w:pPr>
            <w:bookmarkStart w:id="152" w:name="_Toc2485"/>
            <w:bookmarkStart w:id="153" w:name="_Toc5210"/>
            <w:bookmarkStart w:id="154" w:name="_Toc28284"/>
            <w:bookmarkStart w:id="155" w:name="_Toc10876"/>
            <w:bookmarkStart w:id="156" w:name="_Toc1188"/>
            <w:r>
              <w:rPr>
                <w:rFonts w:hint="eastAsia"/>
                <w:color w:val="auto"/>
                <w:lang w:val="en-US" w:eastAsia="zh-CN"/>
              </w:rPr>
              <w:t>7、物料、设备匹配性分析</w:t>
            </w:r>
            <w:bookmarkEnd w:id="152"/>
            <w:bookmarkEnd w:id="153"/>
            <w:bookmarkEnd w:id="154"/>
            <w:bookmarkEnd w:id="155"/>
            <w:bookmarkEnd w:id="156"/>
          </w:p>
          <w:p w14:paraId="10BD7B61">
            <w:pPr>
              <w:bidi w:val="0"/>
              <w:rPr>
                <w:rFonts w:hint="eastAsia"/>
                <w:color w:val="auto"/>
                <w:lang w:val="en-US" w:eastAsia="zh-CN"/>
              </w:rPr>
            </w:pPr>
            <w:r>
              <w:rPr>
                <w:rFonts w:hint="eastAsia"/>
                <w:color w:val="auto"/>
                <w:lang w:val="en-US" w:eastAsia="zh-CN"/>
              </w:rPr>
              <w:t>根据建设单位提供资料，本项目建筑垃圾、装修垃圾和一般工业固体废物破碎线改建前后年处理量不变，新增分选设备1台以满足本项目增加处理的一般工业固体废物处理需求。2条水稳砂生产线可以满足本项目年产14.7万吨水稳砂生产需求，1条制砖生产线可以满足本项目年产3.675万吨砖生产需求。</w:t>
            </w:r>
          </w:p>
          <w:p w14:paraId="54C70C50">
            <w:pPr>
              <w:bidi w:val="0"/>
              <w:rPr>
                <w:rFonts w:hint="default"/>
                <w:color w:val="auto"/>
                <w:lang w:val="en-US" w:eastAsia="zh-CN"/>
              </w:rPr>
            </w:pPr>
            <w:r>
              <w:rPr>
                <w:rFonts w:hint="eastAsia"/>
                <w:color w:val="auto"/>
                <w:lang w:val="en-US" w:eastAsia="zh-CN"/>
              </w:rPr>
              <w:t>综上，项目产能与设备产能基本相匹配。</w:t>
            </w:r>
          </w:p>
          <w:p w14:paraId="0ABB02FB">
            <w:pPr>
              <w:pStyle w:val="4"/>
              <w:bidi w:val="0"/>
              <w:rPr>
                <w:rFonts w:hint="eastAsia"/>
                <w:color w:val="auto"/>
                <w:lang w:val="en-US" w:eastAsia="zh-CN"/>
              </w:rPr>
            </w:pPr>
            <w:bookmarkStart w:id="157" w:name="_Toc3205"/>
            <w:bookmarkStart w:id="158" w:name="_Toc4123"/>
            <w:bookmarkStart w:id="159" w:name="_Toc7902"/>
            <w:bookmarkStart w:id="160" w:name="_Toc3053"/>
            <w:bookmarkStart w:id="161" w:name="_Toc30561"/>
            <w:r>
              <w:rPr>
                <w:rFonts w:hint="eastAsia"/>
                <w:color w:val="auto"/>
                <w:lang w:val="en-US" w:eastAsia="zh-CN"/>
              </w:rPr>
              <w:t>8、主要原辅材料及用量</w:t>
            </w:r>
            <w:bookmarkEnd w:id="157"/>
            <w:bookmarkEnd w:id="158"/>
            <w:bookmarkEnd w:id="159"/>
            <w:bookmarkEnd w:id="160"/>
            <w:bookmarkEnd w:id="161"/>
          </w:p>
          <w:p w14:paraId="7F4AF46E">
            <w:pPr>
              <w:pStyle w:val="5"/>
              <w:bidi w:val="0"/>
              <w:rPr>
                <w:rFonts w:hint="default"/>
                <w:color w:val="auto"/>
                <w:lang w:val="en-US" w:eastAsia="zh-CN"/>
              </w:rPr>
            </w:pPr>
            <w:bookmarkStart w:id="162" w:name="_Toc18274"/>
            <w:bookmarkStart w:id="163" w:name="_Toc27142"/>
            <w:bookmarkStart w:id="164" w:name="_Toc370"/>
            <w:bookmarkStart w:id="165" w:name="_Toc27422"/>
            <w:bookmarkStart w:id="166" w:name="_Toc8615"/>
            <w:r>
              <w:rPr>
                <w:rFonts w:hint="eastAsia"/>
                <w:color w:val="auto"/>
                <w:lang w:val="en-US" w:eastAsia="zh-CN"/>
              </w:rPr>
              <w:t xml:space="preserve">8.1 </w:t>
            </w:r>
            <w:r>
              <w:rPr>
                <w:rFonts w:hint="default"/>
                <w:color w:val="auto"/>
                <w:lang w:val="en-US" w:eastAsia="zh-CN"/>
              </w:rPr>
              <w:t>主要原辅材料用量及能耗</w:t>
            </w:r>
            <w:bookmarkEnd w:id="162"/>
            <w:bookmarkEnd w:id="163"/>
            <w:bookmarkEnd w:id="164"/>
            <w:bookmarkEnd w:id="165"/>
            <w:bookmarkEnd w:id="166"/>
          </w:p>
          <w:p w14:paraId="764155F3">
            <w:pPr>
              <w:rPr>
                <w:rFonts w:hint="default"/>
                <w:color w:val="auto"/>
                <w:lang w:val="en-US" w:eastAsia="zh-CN"/>
              </w:rPr>
            </w:pPr>
            <w:r>
              <w:rPr>
                <w:rFonts w:hint="default"/>
                <w:color w:val="auto"/>
                <w:lang w:val="en-US" w:eastAsia="zh-CN"/>
              </w:rPr>
              <w:t>建设项目原料来源主要为蒸湘区乃至衡阳市各工地拆除的建筑（主要为混凝土块，含废铁、废木块、废塑料等）</w:t>
            </w:r>
            <w:r>
              <w:rPr>
                <w:rFonts w:hint="eastAsia"/>
                <w:color w:val="auto"/>
                <w:lang w:val="en-US" w:eastAsia="zh-CN"/>
              </w:rPr>
              <w:t>，主要包括SW72工程垃圾（900-001-72）SW73拆除垃圾（502-001-73）和SW74装修垃圾（501-001-74）</w:t>
            </w:r>
            <w:r>
              <w:rPr>
                <w:rFonts w:hint="default"/>
                <w:color w:val="auto"/>
                <w:lang w:val="en-US" w:eastAsia="zh-CN"/>
              </w:rPr>
              <w:t>，主要通过车辆运输方式，处置与再利用主要原辅材料的消耗主要为电和水的消耗。</w:t>
            </w:r>
            <w:r>
              <w:rPr>
                <w:rFonts w:hint="eastAsia"/>
                <w:color w:val="auto"/>
                <w:lang w:val="en-US" w:eastAsia="zh-CN"/>
              </w:rPr>
              <w:t>详</w:t>
            </w:r>
            <w:r>
              <w:rPr>
                <w:rFonts w:hint="default"/>
                <w:color w:val="auto"/>
                <w:lang w:val="en-US" w:eastAsia="zh-CN"/>
              </w:rPr>
              <w:t>见表</w:t>
            </w:r>
            <w:r>
              <w:rPr>
                <w:rFonts w:hint="eastAsia"/>
                <w:color w:val="auto"/>
                <w:lang w:val="en-US" w:eastAsia="zh-CN"/>
              </w:rPr>
              <w:t>2-4</w:t>
            </w:r>
            <w:r>
              <w:rPr>
                <w:rFonts w:hint="default"/>
                <w:color w:val="auto"/>
                <w:lang w:val="en-US" w:eastAsia="zh-CN"/>
              </w:rPr>
              <w:t>。</w:t>
            </w:r>
          </w:p>
          <w:p w14:paraId="12A5C3F3">
            <w:pPr>
              <w:pStyle w:val="18"/>
              <w:bidi w:val="0"/>
              <w:rPr>
                <w:rFonts w:hint="eastAsia"/>
                <w:color w:val="auto"/>
                <w:lang w:val="en-US" w:eastAsia="zh-CN"/>
              </w:rPr>
            </w:pPr>
            <w:r>
              <w:rPr>
                <w:rFonts w:hint="eastAsia"/>
                <w:color w:val="auto"/>
                <w:lang w:val="en-US" w:eastAsia="zh-CN"/>
              </w:rPr>
              <w:t>表2-4 项目原辅材料及消耗量</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
              <w:gridCol w:w="1949"/>
              <w:gridCol w:w="1218"/>
              <w:gridCol w:w="741"/>
              <w:gridCol w:w="1125"/>
              <w:gridCol w:w="1275"/>
              <w:gridCol w:w="1689"/>
            </w:tblGrid>
            <w:tr w14:paraId="2D92D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 w:type="pct"/>
                  <w:vMerge w:val="restart"/>
                  <w:noWrap w:val="0"/>
                  <w:vAlign w:val="center"/>
                </w:tcPr>
                <w:p w14:paraId="110AC4E9">
                  <w:pPr>
                    <w:pStyle w:val="17"/>
                    <w:jc w:val="center"/>
                    <w:rPr>
                      <w:rFonts w:hint="default"/>
                      <w:color w:val="auto"/>
                      <w:vertAlign w:val="baseline"/>
                      <w:lang w:val="en-US" w:eastAsia="zh-CN"/>
                    </w:rPr>
                  </w:pPr>
                  <w:r>
                    <w:rPr>
                      <w:rFonts w:hint="eastAsia"/>
                      <w:color w:val="auto"/>
                      <w:vertAlign w:val="baseline"/>
                      <w:lang w:val="en-US" w:eastAsia="zh-CN"/>
                    </w:rPr>
                    <w:t>序号</w:t>
                  </w:r>
                </w:p>
              </w:tc>
              <w:tc>
                <w:tcPr>
                  <w:tcW w:w="1162" w:type="pct"/>
                  <w:vMerge w:val="restart"/>
                  <w:noWrap w:val="0"/>
                  <w:vAlign w:val="center"/>
                </w:tcPr>
                <w:p w14:paraId="21D10EFB">
                  <w:pPr>
                    <w:pStyle w:val="17"/>
                    <w:jc w:val="center"/>
                    <w:rPr>
                      <w:rFonts w:hint="default"/>
                      <w:color w:val="auto"/>
                      <w:vertAlign w:val="baseline"/>
                      <w:lang w:val="en-US" w:eastAsia="zh-CN"/>
                    </w:rPr>
                  </w:pPr>
                  <w:r>
                    <w:rPr>
                      <w:rFonts w:hint="eastAsia"/>
                      <w:color w:val="auto"/>
                      <w:vertAlign w:val="baseline"/>
                      <w:lang w:val="en-US" w:eastAsia="zh-CN"/>
                    </w:rPr>
                    <w:t>原辅料名称</w:t>
                  </w:r>
                </w:p>
              </w:tc>
              <w:tc>
                <w:tcPr>
                  <w:tcW w:w="726" w:type="pct"/>
                  <w:vMerge w:val="restart"/>
                  <w:noWrap w:val="0"/>
                  <w:vAlign w:val="center"/>
                </w:tcPr>
                <w:p w14:paraId="7A0C9382">
                  <w:pPr>
                    <w:pStyle w:val="17"/>
                    <w:jc w:val="center"/>
                    <w:rPr>
                      <w:rFonts w:hint="default"/>
                      <w:color w:val="auto"/>
                      <w:vertAlign w:val="baseline"/>
                      <w:lang w:val="en-US" w:eastAsia="zh-CN"/>
                    </w:rPr>
                  </w:pPr>
                  <w:r>
                    <w:rPr>
                      <w:rFonts w:hint="eastAsia"/>
                      <w:color w:val="auto"/>
                      <w:vertAlign w:val="baseline"/>
                      <w:lang w:val="en-US" w:eastAsia="zh-CN"/>
                    </w:rPr>
                    <w:t>单位</w:t>
                  </w:r>
                </w:p>
              </w:tc>
              <w:tc>
                <w:tcPr>
                  <w:tcW w:w="1874" w:type="pct"/>
                  <w:gridSpan w:val="3"/>
                  <w:noWrap w:val="0"/>
                  <w:vAlign w:val="center"/>
                </w:tcPr>
                <w:p w14:paraId="00E5078B">
                  <w:pPr>
                    <w:pStyle w:val="17"/>
                    <w:jc w:val="center"/>
                    <w:rPr>
                      <w:rFonts w:hint="default"/>
                      <w:color w:val="auto"/>
                      <w:vertAlign w:val="baseline"/>
                      <w:lang w:val="en-US" w:eastAsia="zh-CN"/>
                    </w:rPr>
                  </w:pPr>
                  <w:r>
                    <w:rPr>
                      <w:rFonts w:hint="eastAsia"/>
                      <w:color w:val="auto"/>
                      <w:vertAlign w:val="baseline"/>
                      <w:lang w:val="en-US" w:eastAsia="zh-CN"/>
                    </w:rPr>
                    <w:t>数量</w:t>
                  </w:r>
                </w:p>
              </w:tc>
              <w:tc>
                <w:tcPr>
                  <w:tcW w:w="1007" w:type="pct"/>
                  <w:vMerge w:val="restart"/>
                  <w:noWrap w:val="0"/>
                  <w:vAlign w:val="center"/>
                </w:tcPr>
                <w:p w14:paraId="3F63DE6A">
                  <w:pPr>
                    <w:pStyle w:val="17"/>
                    <w:jc w:val="center"/>
                    <w:rPr>
                      <w:rFonts w:hint="default"/>
                      <w:color w:val="auto"/>
                      <w:vertAlign w:val="baseline"/>
                      <w:lang w:val="en-US" w:eastAsia="zh-CN"/>
                    </w:rPr>
                  </w:pPr>
                  <w:r>
                    <w:rPr>
                      <w:rFonts w:hint="eastAsia"/>
                      <w:color w:val="auto"/>
                      <w:vertAlign w:val="baseline"/>
                      <w:lang w:val="en-US" w:eastAsia="zh-CN"/>
                    </w:rPr>
                    <w:t>来源</w:t>
                  </w:r>
                </w:p>
              </w:tc>
            </w:tr>
            <w:tr w14:paraId="2A073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 w:type="pct"/>
                  <w:vMerge w:val="continue"/>
                  <w:noWrap w:val="0"/>
                  <w:vAlign w:val="center"/>
                </w:tcPr>
                <w:p w14:paraId="2067A95E">
                  <w:pPr>
                    <w:pStyle w:val="17"/>
                    <w:jc w:val="center"/>
                    <w:rPr>
                      <w:rFonts w:hint="eastAsia"/>
                      <w:color w:val="auto"/>
                      <w:vertAlign w:val="baseline"/>
                      <w:lang w:val="en-US" w:eastAsia="zh-CN"/>
                    </w:rPr>
                  </w:pPr>
                </w:p>
              </w:tc>
              <w:tc>
                <w:tcPr>
                  <w:tcW w:w="1162" w:type="pct"/>
                  <w:vMerge w:val="continue"/>
                  <w:noWrap w:val="0"/>
                  <w:vAlign w:val="center"/>
                </w:tcPr>
                <w:p w14:paraId="1A43CF84">
                  <w:pPr>
                    <w:pStyle w:val="17"/>
                    <w:jc w:val="center"/>
                    <w:rPr>
                      <w:rFonts w:hint="eastAsia"/>
                      <w:color w:val="auto"/>
                      <w:vertAlign w:val="baseline"/>
                      <w:lang w:val="en-US" w:eastAsia="zh-CN"/>
                    </w:rPr>
                  </w:pPr>
                </w:p>
              </w:tc>
              <w:tc>
                <w:tcPr>
                  <w:tcW w:w="726" w:type="pct"/>
                  <w:vMerge w:val="continue"/>
                  <w:noWrap w:val="0"/>
                  <w:vAlign w:val="center"/>
                </w:tcPr>
                <w:p w14:paraId="55789C22">
                  <w:pPr>
                    <w:pStyle w:val="17"/>
                    <w:jc w:val="center"/>
                    <w:rPr>
                      <w:rFonts w:hint="eastAsia"/>
                      <w:color w:val="auto"/>
                      <w:vertAlign w:val="baseline"/>
                      <w:lang w:val="en-US" w:eastAsia="zh-CN"/>
                    </w:rPr>
                  </w:pPr>
                </w:p>
              </w:tc>
              <w:tc>
                <w:tcPr>
                  <w:tcW w:w="442" w:type="pct"/>
                  <w:noWrap w:val="0"/>
                  <w:vAlign w:val="center"/>
                </w:tcPr>
                <w:p w14:paraId="67186CA3">
                  <w:pPr>
                    <w:pStyle w:val="17"/>
                    <w:jc w:val="center"/>
                    <w:rPr>
                      <w:rFonts w:hint="default"/>
                      <w:color w:val="auto"/>
                      <w:vertAlign w:val="baseline"/>
                      <w:lang w:val="en-US" w:eastAsia="zh-CN"/>
                    </w:rPr>
                  </w:pPr>
                  <w:r>
                    <w:rPr>
                      <w:rFonts w:hint="eastAsia"/>
                      <w:color w:val="auto"/>
                      <w:vertAlign w:val="baseline"/>
                      <w:lang w:val="en-US" w:eastAsia="zh-CN"/>
                    </w:rPr>
                    <w:t>现有</w:t>
                  </w:r>
                </w:p>
              </w:tc>
              <w:tc>
                <w:tcPr>
                  <w:tcW w:w="671" w:type="pct"/>
                  <w:noWrap w:val="0"/>
                  <w:vAlign w:val="center"/>
                </w:tcPr>
                <w:p w14:paraId="1A957B0E">
                  <w:pPr>
                    <w:pStyle w:val="17"/>
                    <w:jc w:val="center"/>
                    <w:rPr>
                      <w:rFonts w:hint="default"/>
                      <w:color w:val="auto"/>
                      <w:vertAlign w:val="baseline"/>
                      <w:lang w:val="en-US" w:eastAsia="zh-CN"/>
                    </w:rPr>
                  </w:pPr>
                  <w:r>
                    <w:rPr>
                      <w:rFonts w:hint="eastAsia"/>
                      <w:color w:val="auto"/>
                      <w:vertAlign w:val="baseline"/>
                      <w:lang w:val="en-US" w:eastAsia="zh-CN"/>
                    </w:rPr>
                    <w:t>改建变动</w:t>
                  </w:r>
                </w:p>
              </w:tc>
              <w:tc>
                <w:tcPr>
                  <w:tcW w:w="760" w:type="pct"/>
                  <w:noWrap w:val="0"/>
                  <w:vAlign w:val="center"/>
                </w:tcPr>
                <w:p w14:paraId="40178B4C">
                  <w:pPr>
                    <w:pStyle w:val="17"/>
                    <w:jc w:val="center"/>
                    <w:rPr>
                      <w:rFonts w:hint="default"/>
                      <w:color w:val="auto"/>
                      <w:vertAlign w:val="baseline"/>
                      <w:lang w:val="en-US" w:eastAsia="zh-CN"/>
                    </w:rPr>
                  </w:pPr>
                  <w:r>
                    <w:rPr>
                      <w:rFonts w:hint="eastAsia"/>
                      <w:color w:val="auto"/>
                      <w:vertAlign w:val="baseline"/>
                      <w:lang w:val="en-US" w:eastAsia="zh-CN"/>
                    </w:rPr>
                    <w:t>改建后合计</w:t>
                  </w:r>
                </w:p>
              </w:tc>
              <w:tc>
                <w:tcPr>
                  <w:tcW w:w="1007" w:type="pct"/>
                  <w:vMerge w:val="continue"/>
                  <w:noWrap w:val="0"/>
                  <w:vAlign w:val="center"/>
                </w:tcPr>
                <w:p w14:paraId="155C0C56">
                  <w:pPr>
                    <w:pStyle w:val="17"/>
                    <w:jc w:val="center"/>
                    <w:rPr>
                      <w:rFonts w:hint="eastAsia"/>
                      <w:color w:val="auto"/>
                      <w:vertAlign w:val="baseline"/>
                      <w:lang w:val="en-US" w:eastAsia="zh-CN"/>
                    </w:rPr>
                  </w:pPr>
                </w:p>
              </w:tc>
            </w:tr>
            <w:tr w14:paraId="642BD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noWrap w:val="0"/>
                  <w:vAlign w:val="center"/>
                </w:tcPr>
                <w:p w14:paraId="5980BEA5">
                  <w:pPr>
                    <w:pStyle w:val="17"/>
                    <w:jc w:val="both"/>
                    <w:rPr>
                      <w:rFonts w:hint="default"/>
                      <w:color w:val="auto"/>
                      <w:vertAlign w:val="baseline"/>
                      <w:lang w:val="en-US" w:eastAsia="zh-CN"/>
                    </w:rPr>
                  </w:pPr>
                  <w:r>
                    <w:rPr>
                      <w:rFonts w:hint="eastAsia"/>
                      <w:b/>
                      <w:bCs/>
                      <w:color w:val="auto"/>
                      <w:vertAlign w:val="baseline"/>
                      <w:lang w:val="en-US" w:eastAsia="zh-CN"/>
                    </w:rPr>
                    <w:t>粉料、各类骨料生产</w:t>
                  </w:r>
                </w:p>
              </w:tc>
            </w:tr>
            <w:tr w14:paraId="4F50A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 w:type="pct"/>
                  <w:noWrap w:val="0"/>
                  <w:vAlign w:val="center"/>
                </w:tcPr>
                <w:p w14:paraId="7368D0DB">
                  <w:pPr>
                    <w:pStyle w:val="17"/>
                    <w:jc w:val="center"/>
                    <w:rPr>
                      <w:rFonts w:hint="default"/>
                      <w:color w:val="auto"/>
                      <w:vertAlign w:val="baseline"/>
                      <w:lang w:val="en-US" w:eastAsia="zh-CN"/>
                    </w:rPr>
                  </w:pPr>
                  <w:r>
                    <w:rPr>
                      <w:rFonts w:hint="eastAsia"/>
                      <w:color w:val="auto"/>
                      <w:vertAlign w:val="baseline"/>
                      <w:lang w:val="en-US" w:eastAsia="zh-CN"/>
                    </w:rPr>
                    <w:t>1</w:t>
                  </w:r>
                </w:p>
              </w:tc>
              <w:tc>
                <w:tcPr>
                  <w:tcW w:w="1162" w:type="pct"/>
                  <w:noWrap w:val="0"/>
                  <w:vAlign w:val="center"/>
                </w:tcPr>
                <w:p w14:paraId="32C4E36E">
                  <w:pPr>
                    <w:pStyle w:val="17"/>
                    <w:jc w:val="center"/>
                    <w:rPr>
                      <w:rFonts w:hint="default"/>
                      <w:color w:val="auto"/>
                      <w:vertAlign w:val="baseline"/>
                      <w:lang w:val="en-US" w:eastAsia="zh-CN"/>
                    </w:rPr>
                  </w:pPr>
                  <w:r>
                    <w:rPr>
                      <w:rFonts w:hint="eastAsia"/>
                      <w:color w:val="auto"/>
                      <w:vertAlign w:val="baseline"/>
                      <w:lang w:val="en-US" w:eastAsia="zh-CN"/>
                    </w:rPr>
                    <w:t>建筑垃圾</w:t>
                  </w:r>
                </w:p>
              </w:tc>
              <w:tc>
                <w:tcPr>
                  <w:tcW w:w="726" w:type="pct"/>
                  <w:noWrap w:val="0"/>
                  <w:vAlign w:val="center"/>
                </w:tcPr>
                <w:p w14:paraId="737B1FC5">
                  <w:pPr>
                    <w:pStyle w:val="17"/>
                    <w:jc w:val="center"/>
                    <w:rPr>
                      <w:rFonts w:hint="default"/>
                      <w:color w:val="auto"/>
                      <w:vertAlign w:val="baseline"/>
                      <w:lang w:val="en-US" w:eastAsia="zh-CN"/>
                    </w:rPr>
                  </w:pPr>
                  <w:r>
                    <w:rPr>
                      <w:rFonts w:hint="eastAsia"/>
                      <w:color w:val="auto"/>
                      <w:vertAlign w:val="baseline"/>
                      <w:lang w:val="en-US" w:eastAsia="zh-CN"/>
                    </w:rPr>
                    <w:t>万t/a</w:t>
                  </w:r>
                </w:p>
              </w:tc>
              <w:tc>
                <w:tcPr>
                  <w:tcW w:w="442" w:type="pct"/>
                  <w:noWrap w:val="0"/>
                  <w:vAlign w:val="center"/>
                </w:tcPr>
                <w:p w14:paraId="46922E8E">
                  <w:pPr>
                    <w:pStyle w:val="17"/>
                    <w:jc w:val="center"/>
                    <w:rPr>
                      <w:rFonts w:hint="default"/>
                      <w:color w:val="auto"/>
                      <w:vertAlign w:val="baseline"/>
                      <w:lang w:val="en-US" w:eastAsia="zh-CN"/>
                    </w:rPr>
                  </w:pPr>
                  <w:r>
                    <w:rPr>
                      <w:rFonts w:hint="eastAsia"/>
                      <w:color w:val="auto"/>
                      <w:vertAlign w:val="baseline"/>
                      <w:lang w:val="en-US" w:eastAsia="zh-CN"/>
                    </w:rPr>
                    <w:t>16</w:t>
                  </w:r>
                </w:p>
              </w:tc>
              <w:tc>
                <w:tcPr>
                  <w:tcW w:w="671" w:type="pct"/>
                  <w:noWrap w:val="0"/>
                  <w:vAlign w:val="center"/>
                </w:tcPr>
                <w:p w14:paraId="1797320A">
                  <w:pPr>
                    <w:pStyle w:val="17"/>
                    <w:jc w:val="center"/>
                    <w:rPr>
                      <w:rFonts w:hint="default"/>
                      <w:color w:val="auto"/>
                      <w:vertAlign w:val="baseline"/>
                      <w:lang w:val="en-US" w:eastAsia="zh-CN"/>
                    </w:rPr>
                  </w:pPr>
                  <w:r>
                    <w:rPr>
                      <w:rFonts w:hint="eastAsia"/>
                      <w:color w:val="auto"/>
                      <w:vertAlign w:val="baseline"/>
                      <w:lang w:val="en-US" w:eastAsia="zh-CN"/>
                    </w:rPr>
                    <w:t>-6</w:t>
                  </w:r>
                </w:p>
              </w:tc>
              <w:tc>
                <w:tcPr>
                  <w:tcW w:w="760" w:type="pct"/>
                  <w:noWrap w:val="0"/>
                  <w:vAlign w:val="center"/>
                </w:tcPr>
                <w:p w14:paraId="73D0E4C6">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10</w:t>
                  </w:r>
                </w:p>
              </w:tc>
              <w:tc>
                <w:tcPr>
                  <w:tcW w:w="1007" w:type="pct"/>
                  <w:vMerge w:val="restart"/>
                  <w:noWrap w:val="0"/>
                  <w:vAlign w:val="center"/>
                </w:tcPr>
                <w:p w14:paraId="33751EEF">
                  <w:pPr>
                    <w:pStyle w:val="17"/>
                    <w:jc w:val="center"/>
                    <w:rPr>
                      <w:rFonts w:hint="default"/>
                      <w:color w:val="auto"/>
                      <w:vertAlign w:val="baseline"/>
                      <w:lang w:val="en-US" w:eastAsia="zh-CN"/>
                    </w:rPr>
                  </w:pPr>
                  <w:r>
                    <w:rPr>
                      <w:rFonts w:hint="eastAsia"/>
                      <w:color w:val="auto"/>
                      <w:vertAlign w:val="baseline"/>
                      <w:lang w:val="en-US" w:eastAsia="zh-CN"/>
                    </w:rPr>
                    <w:t>各建筑工地、违拆等</w:t>
                  </w:r>
                </w:p>
              </w:tc>
            </w:tr>
            <w:tr w14:paraId="51E16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 w:type="pct"/>
                  <w:noWrap w:val="0"/>
                  <w:vAlign w:val="center"/>
                </w:tcPr>
                <w:p w14:paraId="408DB20F">
                  <w:pPr>
                    <w:pStyle w:val="17"/>
                    <w:jc w:val="center"/>
                    <w:rPr>
                      <w:rFonts w:hint="default"/>
                      <w:color w:val="auto"/>
                      <w:vertAlign w:val="baseline"/>
                      <w:lang w:val="en-US" w:eastAsia="zh-CN"/>
                    </w:rPr>
                  </w:pPr>
                  <w:r>
                    <w:rPr>
                      <w:rFonts w:hint="eastAsia"/>
                      <w:color w:val="auto"/>
                      <w:vertAlign w:val="baseline"/>
                      <w:lang w:val="en-US" w:eastAsia="zh-CN"/>
                    </w:rPr>
                    <w:t>2</w:t>
                  </w:r>
                </w:p>
              </w:tc>
              <w:tc>
                <w:tcPr>
                  <w:tcW w:w="1162" w:type="pct"/>
                  <w:noWrap w:val="0"/>
                  <w:vAlign w:val="center"/>
                </w:tcPr>
                <w:p w14:paraId="18849157">
                  <w:pPr>
                    <w:pStyle w:val="17"/>
                    <w:jc w:val="center"/>
                    <w:rPr>
                      <w:rFonts w:hint="eastAsia"/>
                      <w:color w:val="auto"/>
                      <w:vertAlign w:val="baseline"/>
                      <w:lang w:val="en-US" w:eastAsia="zh-CN"/>
                    </w:rPr>
                  </w:pPr>
                  <w:r>
                    <w:rPr>
                      <w:rFonts w:hint="eastAsia"/>
                      <w:color w:val="auto"/>
                      <w:vertAlign w:val="baseline"/>
                      <w:lang w:val="en-US" w:eastAsia="zh-CN"/>
                    </w:rPr>
                    <w:t>装修垃圾</w:t>
                  </w:r>
                </w:p>
              </w:tc>
              <w:tc>
                <w:tcPr>
                  <w:tcW w:w="726" w:type="pct"/>
                  <w:noWrap w:val="0"/>
                  <w:vAlign w:val="center"/>
                </w:tcPr>
                <w:p w14:paraId="2AE6CA7C">
                  <w:pPr>
                    <w:pStyle w:val="17"/>
                    <w:jc w:val="center"/>
                    <w:rPr>
                      <w:rFonts w:hint="eastAsia"/>
                      <w:color w:val="auto"/>
                      <w:vertAlign w:val="baseline"/>
                      <w:lang w:val="en-US" w:eastAsia="zh-CN"/>
                    </w:rPr>
                  </w:pPr>
                  <w:r>
                    <w:rPr>
                      <w:rFonts w:hint="eastAsia"/>
                      <w:color w:val="auto"/>
                      <w:vertAlign w:val="baseline"/>
                      <w:lang w:val="en-US" w:eastAsia="zh-CN"/>
                    </w:rPr>
                    <w:t>万t/a</w:t>
                  </w:r>
                </w:p>
              </w:tc>
              <w:tc>
                <w:tcPr>
                  <w:tcW w:w="442" w:type="pct"/>
                  <w:noWrap w:val="0"/>
                  <w:vAlign w:val="center"/>
                </w:tcPr>
                <w:p w14:paraId="2FDFE34D">
                  <w:pPr>
                    <w:pStyle w:val="17"/>
                    <w:jc w:val="center"/>
                    <w:rPr>
                      <w:rFonts w:hint="default"/>
                      <w:color w:val="auto"/>
                      <w:vertAlign w:val="baseline"/>
                      <w:lang w:val="en-US" w:eastAsia="zh-CN"/>
                    </w:rPr>
                  </w:pPr>
                  <w:r>
                    <w:rPr>
                      <w:rFonts w:hint="eastAsia"/>
                      <w:color w:val="auto"/>
                      <w:vertAlign w:val="baseline"/>
                      <w:lang w:val="en-US" w:eastAsia="zh-CN"/>
                    </w:rPr>
                    <w:t>8</w:t>
                  </w:r>
                </w:p>
              </w:tc>
              <w:tc>
                <w:tcPr>
                  <w:tcW w:w="671" w:type="pct"/>
                  <w:noWrap w:val="0"/>
                  <w:vAlign w:val="center"/>
                </w:tcPr>
                <w:p w14:paraId="196528E8">
                  <w:pPr>
                    <w:pStyle w:val="17"/>
                    <w:jc w:val="center"/>
                    <w:rPr>
                      <w:rFonts w:hint="default"/>
                      <w:color w:val="auto"/>
                      <w:vertAlign w:val="baseline"/>
                      <w:lang w:val="en-US" w:eastAsia="zh-CN"/>
                    </w:rPr>
                  </w:pPr>
                  <w:r>
                    <w:rPr>
                      <w:rFonts w:hint="eastAsia"/>
                      <w:color w:val="auto"/>
                      <w:vertAlign w:val="baseline"/>
                      <w:lang w:val="en-US" w:eastAsia="zh-CN"/>
                    </w:rPr>
                    <w:t>-4</w:t>
                  </w:r>
                </w:p>
              </w:tc>
              <w:tc>
                <w:tcPr>
                  <w:tcW w:w="760" w:type="pct"/>
                  <w:noWrap w:val="0"/>
                  <w:vAlign w:val="center"/>
                </w:tcPr>
                <w:p w14:paraId="66CDA211">
                  <w:pPr>
                    <w:pStyle w:val="17"/>
                    <w:ind w:firstLine="0" w:firstLineChars="0"/>
                    <w:jc w:val="center"/>
                    <w:rPr>
                      <w:rFonts w:hint="eastAsia"/>
                      <w:color w:val="auto"/>
                      <w:vertAlign w:val="baseline"/>
                      <w:lang w:val="en-US" w:eastAsia="zh-CN"/>
                    </w:rPr>
                  </w:pPr>
                  <w:r>
                    <w:rPr>
                      <w:rFonts w:hint="eastAsia"/>
                      <w:color w:val="auto"/>
                      <w:vertAlign w:val="baseline"/>
                      <w:lang w:val="en-US" w:eastAsia="zh-CN"/>
                    </w:rPr>
                    <w:t>4</w:t>
                  </w:r>
                </w:p>
              </w:tc>
              <w:tc>
                <w:tcPr>
                  <w:tcW w:w="1007" w:type="pct"/>
                  <w:vMerge w:val="continue"/>
                  <w:noWrap w:val="0"/>
                  <w:vAlign w:val="center"/>
                </w:tcPr>
                <w:p w14:paraId="38DFF33F">
                  <w:pPr>
                    <w:pStyle w:val="17"/>
                    <w:jc w:val="center"/>
                    <w:rPr>
                      <w:rFonts w:hint="eastAsia"/>
                      <w:color w:val="auto"/>
                      <w:vertAlign w:val="baseline"/>
                      <w:lang w:val="en-US" w:eastAsia="zh-CN"/>
                    </w:rPr>
                  </w:pPr>
                </w:p>
              </w:tc>
            </w:tr>
            <w:tr w14:paraId="12E45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 w:type="pct"/>
                  <w:noWrap w:val="0"/>
                  <w:vAlign w:val="center"/>
                </w:tcPr>
                <w:p w14:paraId="2FD54790">
                  <w:pPr>
                    <w:pStyle w:val="17"/>
                    <w:jc w:val="center"/>
                    <w:rPr>
                      <w:rFonts w:hint="default"/>
                      <w:color w:val="auto"/>
                      <w:vertAlign w:val="baseline"/>
                      <w:lang w:val="en-US" w:eastAsia="zh-CN"/>
                    </w:rPr>
                  </w:pPr>
                  <w:r>
                    <w:rPr>
                      <w:rFonts w:hint="eastAsia"/>
                      <w:color w:val="auto"/>
                      <w:vertAlign w:val="baseline"/>
                      <w:lang w:val="en-US" w:eastAsia="zh-CN"/>
                    </w:rPr>
                    <w:t>3</w:t>
                  </w:r>
                </w:p>
              </w:tc>
              <w:tc>
                <w:tcPr>
                  <w:tcW w:w="1162" w:type="pct"/>
                  <w:noWrap w:val="0"/>
                  <w:vAlign w:val="center"/>
                </w:tcPr>
                <w:p w14:paraId="5ED76573">
                  <w:pPr>
                    <w:pStyle w:val="17"/>
                    <w:jc w:val="center"/>
                    <w:rPr>
                      <w:rFonts w:hint="eastAsia"/>
                      <w:color w:val="auto"/>
                      <w:vertAlign w:val="baseline"/>
                      <w:lang w:val="en-US" w:eastAsia="zh-CN"/>
                    </w:rPr>
                  </w:pPr>
                  <w:r>
                    <w:rPr>
                      <w:rFonts w:hint="eastAsia"/>
                      <w:color w:val="auto"/>
                      <w:vertAlign w:val="baseline"/>
                      <w:lang w:val="en-US" w:eastAsia="zh-CN"/>
                    </w:rPr>
                    <w:t>一般工业固体废物</w:t>
                  </w:r>
                </w:p>
              </w:tc>
              <w:tc>
                <w:tcPr>
                  <w:tcW w:w="726" w:type="pct"/>
                  <w:noWrap w:val="0"/>
                  <w:vAlign w:val="center"/>
                </w:tcPr>
                <w:p w14:paraId="074A0292">
                  <w:pPr>
                    <w:pStyle w:val="17"/>
                    <w:jc w:val="center"/>
                    <w:rPr>
                      <w:rFonts w:hint="eastAsia"/>
                      <w:color w:val="auto"/>
                      <w:vertAlign w:val="baseline"/>
                      <w:lang w:val="en-US" w:eastAsia="zh-CN"/>
                    </w:rPr>
                  </w:pPr>
                  <w:r>
                    <w:rPr>
                      <w:rFonts w:hint="eastAsia"/>
                      <w:color w:val="auto"/>
                      <w:vertAlign w:val="baseline"/>
                      <w:lang w:val="en-US" w:eastAsia="zh-CN"/>
                    </w:rPr>
                    <w:t>万t/a</w:t>
                  </w:r>
                </w:p>
              </w:tc>
              <w:tc>
                <w:tcPr>
                  <w:tcW w:w="442" w:type="pct"/>
                  <w:noWrap w:val="0"/>
                  <w:vAlign w:val="center"/>
                </w:tcPr>
                <w:p w14:paraId="437DD769">
                  <w:pPr>
                    <w:pStyle w:val="17"/>
                    <w:jc w:val="center"/>
                    <w:rPr>
                      <w:rFonts w:hint="default"/>
                      <w:color w:val="auto"/>
                      <w:vertAlign w:val="baseline"/>
                      <w:lang w:val="en-US" w:eastAsia="zh-CN"/>
                    </w:rPr>
                  </w:pPr>
                  <w:r>
                    <w:rPr>
                      <w:rFonts w:hint="eastAsia"/>
                      <w:color w:val="auto"/>
                      <w:vertAlign w:val="baseline"/>
                      <w:lang w:val="en-US" w:eastAsia="zh-CN"/>
                    </w:rPr>
                    <w:t>0</w:t>
                  </w:r>
                </w:p>
              </w:tc>
              <w:tc>
                <w:tcPr>
                  <w:tcW w:w="671" w:type="pct"/>
                  <w:noWrap w:val="0"/>
                  <w:vAlign w:val="center"/>
                </w:tcPr>
                <w:p w14:paraId="21B512FC">
                  <w:pPr>
                    <w:pStyle w:val="17"/>
                    <w:jc w:val="center"/>
                    <w:rPr>
                      <w:rFonts w:hint="default"/>
                      <w:color w:val="auto"/>
                      <w:vertAlign w:val="baseline"/>
                      <w:lang w:val="en-US" w:eastAsia="zh-CN"/>
                    </w:rPr>
                  </w:pPr>
                  <w:r>
                    <w:rPr>
                      <w:rFonts w:hint="eastAsia"/>
                      <w:color w:val="auto"/>
                      <w:vertAlign w:val="baseline"/>
                      <w:lang w:val="en-US" w:eastAsia="zh-CN"/>
                    </w:rPr>
                    <w:t>+10</w:t>
                  </w:r>
                </w:p>
              </w:tc>
              <w:tc>
                <w:tcPr>
                  <w:tcW w:w="760" w:type="pct"/>
                  <w:noWrap w:val="0"/>
                  <w:vAlign w:val="center"/>
                </w:tcPr>
                <w:p w14:paraId="1E2DCE31">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10</w:t>
                  </w:r>
                </w:p>
              </w:tc>
              <w:tc>
                <w:tcPr>
                  <w:tcW w:w="1007" w:type="pct"/>
                  <w:vMerge w:val="continue"/>
                  <w:noWrap w:val="0"/>
                  <w:vAlign w:val="center"/>
                </w:tcPr>
                <w:p w14:paraId="041B74B3">
                  <w:pPr>
                    <w:pStyle w:val="17"/>
                    <w:jc w:val="center"/>
                    <w:rPr>
                      <w:rFonts w:hint="eastAsia"/>
                      <w:color w:val="auto"/>
                      <w:vertAlign w:val="baseline"/>
                      <w:lang w:val="en-US" w:eastAsia="zh-CN"/>
                    </w:rPr>
                  </w:pPr>
                </w:p>
              </w:tc>
            </w:tr>
            <w:tr w14:paraId="2D8B7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noWrap w:val="0"/>
                  <w:vAlign w:val="center"/>
                </w:tcPr>
                <w:p w14:paraId="0081965E">
                  <w:pPr>
                    <w:pStyle w:val="17"/>
                    <w:jc w:val="both"/>
                    <w:rPr>
                      <w:rFonts w:hint="default"/>
                      <w:color w:val="auto"/>
                      <w:vertAlign w:val="baseline"/>
                      <w:lang w:val="en-US" w:eastAsia="zh-CN"/>
                    </w:rPr>
                  </w:pPr>
                  <w:r>
                    <w:rPr>
                      <w:rFonts w:hint="eastAsia"/>
                      <w:b/>
                      <w:bCs/>
                      <w:color w:val="auto"/>
                      <w:vertAlign w:val="baseline"/>
                      <w:lang w:val="en-US" w:eastAsia="zh-CN"/>
                    </w:rPr>
                    <w:t>水稳砂生产</w:t>
                  </w:r>
                </w:p>
              </w:tc>
            </w:tr>
            <w:tr w14:paraId="1576E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 w:type="pct"/>
                  <w:noWrap w:val="0"/>
                  <w:vAlign w:val="center"/>
                </w:tcPr>
                <w:p w14:paraId="768236EB">
                  <w:pPr>
                    <w:pStyle w:val="17"/>
                    <w:jc w:val="center"/>
                    <w:rPr>
                      <w:rFonts w:hint="default"/>
                      <w:color w:val="auto"/>
                      <w:vertAlign w:val="baseline"/>
                      <w:lang w:val="en-US" w:eastAsia="zh-CN"/>
                    </w:rPr>
                  </w:pPr>
                  <w:r>
                    <w:rPr>
                      <w:rFonts w:hint="eastAsia"/>
                      <w:color w:val="auto"/>
                      <w:vertAlign w:val="baseline"/>
                      <w:lang w:val="en-US" w:eastAsia="zh-CN"/>
                    </w:rPr>
                    <w:t>4</w:t>
                  </w:r>
                </w:p>
              </w:tc>
              <w:tc>
                <w:tcPr>
                  <w:tcW w:w="1162" w:type="pct"/>
                  <w:noWrap w:val="0"/>
                  <w:vAlign w:val="center"/>
                </w:tcPr>
                <w:p w14:paraId="12CE966D">
                  <w:pPr>
                    <w:pStyle w:val="17"/>
                    <w:jc w:val="center"/>
                    <w:rPr>
                      <w:rFonts w:hint="default"/>
                      <w:color w:val="auto"/>
                      <w:vertAlign w:val="baseline"/>
                      <w:lang w:val="en-US" w:eastAsia="zh-CN"/>
                    </w:rPr>
                  </w:pPr>
                  <w:r>
                    <w:rPr>
                      <w:rFonts w:hint="eastAsia"/>
                      <w:color w:val="auto"/>
                      <w:vertAlign w:val="baseline"/>
                      <w:lang w:val="en-US" w:eastAsia="zh-CN"/>
                    </w:rPr>
                    <w:t>各类粉料、骨料</w:t>
                  </w:r>
                </w:p>
              </w:tc>
              <w:tc>
                <w:tcPr>
                  <w:tcW w:w="726" w:type="pct"/>
                  <w:noWrap w:val="0"/>
                  <w:vAlign w:val="center"/>
                </w:tcPr>
                <w:p w14:paraId="2D2B43F1">
                  <w:pPr>
                    <w:pStyle w:val="17"/>
                    <w:jc w:val="center"/>
                    <w:rPr>
                      <w:rFonts w:hint="default"/>
                      <w:color w:val="auto"/>
                      <w:vertAlign w:val="baseline"/>
                      <w:lang w:val="en-US" w:eastAsia="zh-CN"/>
                    </w:rPr>
                  </w:pPr>
                  <w:r>
                    <w:rPr>
                      <w:rFonts w:hint="eastAsia"/>
                      <w:color w:val="auto"/>
                      <w:vertAlign w:val="baseline"/>
                      <w:lang w:val="en-US" w:eastAsia="zh-CN"/>
                    </w:rPr>
                    <w:t>万t/a</w:t>
                  </w:r>
                </w:p>
              </w:tc>
              <w:tc>
                <w:tcPr>
                  <w:tcW w:w="442" w:type="pct"/>
                  <w:noWrap w:val="0"/>
                  <w:vAlign w:val="center"/>
                </w:tcPr>
                <w:p w14:paraId="2B43A8B4">
                  <w:pPr>
                    <w:pStyle w:val="17"/>
                    <w:jc w:val="center"/>
                    <w:rPr>
                      <w:rFonts w:hint="default"/>
                      <w:color w:val="auto"/>
                      <w:vertAlign w:val="baseline"/>
                      <w:lang w:val="en-US" w:eastAsia="zh-CN"/>
                    </w:rPr>
                  </w:pPr>
                  <w:r>
                    <w:rPr>
                      <w:rFonts w:hint="eastAsia"/>
                      <w:color w:val="auto"/>
                      <w:vertAlign w:val="baseline"/>
                      <w:lang w:val="en-US" w:eastAsia="zh-CN"/>
                    </w:rPr>
                    <w:t>0</w:t>
                  </w:r>
                </w:p>
              </w:tc>
              <w:tc>
                <w:tcPr>
                  <w:tcW w:w="671" w:type="pct"/>
                  <w:noWrap w:val="0"/>
                  <w:vAlign w:val="center"/>
                </w:tcPr>
                <w:p w14:paraId="035A9B1B">
                  <w:pPr>
                    <w:pStyle w:val="17"/>
                    <w:jc w:val="center"/>
                    <w:rPr>
                      <w:rFonts w:hint="default"/>
                      <w:color w:val="auto"/>
                      <w:vertAlign w:val="baseline"/>
                      <w:lang w:val="en-US" w:eastAsia="zh-CN"/>
                    </w:rPr>
                  </w:pPr>
                  <w:r>
                    <w:rPr>
                      <w:rFonts w:hint="eastAsia"/>
                      <w:color w:val="auto"/>
                      <w:vertAlign w:val="baseline"/>
                      <w:lang w:val="en-US" w:eastAsia="zh-CN"/>
                    </w:rPr>
                    <w:t>+14</w:t>
                  </w:r>
                </w:p>
              </w:tc>
              <w:tc>
                <w:tcPr>
                  <w:tcW w:w="760" w:type="pct"/>
                  <w:noWrap w:val="0"/>
                  <w:vAlign w:val="center"/>
                </w:tcPr>
                <w:p w14:paraId="47C4DAD4">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14</w:t>
                  </w:r>
                </w:p>
              </w:tc>
              <w:tc>
                <w:tcPr>
                  <w:tcW w:w="1007" w:type="pct"/>
                  <w:noWrap w:val="0"/>
                  <w:vAlign w:val="center"/>
                </w:tcPr>
                <w:p w14:paraId="6D426869">
                  <w:pPr>
                    <w:pStyle w:val="17"/>
                    <w:jc w:val="center"/>
                    <w:rPr>
                      <w:rFonts w:hint="default"/>
                      <w:color w:val="auto"/>
                      <w:vertAlign w:val="baseline"/>
                      <w:lang w:val="en-US" w:eastAsia="zh-CN"/>
                    </w:rPr>
                  </w:pPr>
                  <w:r>
                    <w:rPr>
                      <w:rFonts w:hint="eastAsia"/>
                      <w:color w:val="auto"/>
                      <w:vertAlign w:val="baseline"/>
                      <w:lang w:val="en-US" w:eastAsia="zh-CN"/>
                    </w:rPr>
                    <w:t>破碎生产线产品</w:t>
                  </w:r>
                </w:p>
              </w:tc>
            </w:tr>
            <w:tr w14:paraId="6390F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 w:type="pct"/>
                  <w:noWrap w:val="0"/>
                  <w:vAlign w:val="center"/>
                </w:tcPr>
                <w:p w14:paraId="2A3451B5">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s="Times New Roman"/>
                      <w:color w:val="auto"/>
                      <w:kern w:val="0"/>
                      <w:sz w:val="21"/>
                      <w:szCs w:val="21"/>
                      <w:vertAlign w:val="baseline"/>
                      <w:lang w:val="en-US" w:eastAsia="zh-CN" w:bidi="ar-SA"/>
                    </w:rPr>
                    <w:t>5</w:t>
                  </w:r>
                </w:p>
              </w:tc>
              <w:tc>
                <w:tcPr>
                  <w:tcW w:w="1162" w:type="pct"/>
                  <w:noWrap w:val="0"/>
                  <w:vAlign w:val="center"/>
                </w:tcPr>
                <w:p w14:paraId="581952D8">
                  <w:pPr>
                    <w:pStyle w:val="17"/>
                    <w:ind w:firstLine="0" w:firstLineChars="0"/>
                    <w:jc w:val="center"/>
                    <w:rPr>
                      <w:rFonts w:hint="eastAsia"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水泥</w:t>
                  </w:r>
                </w:p>
              </w:tc>
              <w:tc>
                <w:tcPr>
                  <w:tcW w:w="726" w:type="pct"/>
                  <w:noWrap w:val="0"/>
                  <w:vAlign w:val="center"/>
                </w:tcPr>
                <w:p w14:paraId="491DAC56">
                  <w:pPr>
                    <w:pStyle w:val="17"/>
                    <w:ind w:firstLine="0" w:firstLineChars="0"/>
                    <w:jc w:val="center"/>
                    <w:rPr>
                      <w:rFonts w:hint="eastAsia"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万t/a</w:t>
                  </w:r>
                </w:p>
              </w:tc>
              <w:tc>
                <w:tcPr>
                  <w:tcW w:w="442" w:type="pct"/>
                  <w:noWrap w:val="0"/>
                  <w:vAlign w:val="center"/>
                </w:tcPr>
                <w:p w14:paraId="6DF1BF00">
                  <w:pPr>
                    <w:pStyle w:val="17"/>
                    <w:ind w:firstLine="0" w:firstLineChars="0"/>
                    <w:jc w:val="center"/>
                    <w:rPr>
                      <w:rFonts w:hint="eastAsia"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0</w:t>
                  </w:r>
                </w:p>
              </w:tc>
              <w:tc>
                <w:tcPr>
                  <w:tcW w:w="671" w:type="pct"/>
                  <w:noWrap w:val="0"/>
                  <w:vAlign w:val="center"/>
                </w:tcPr>
                <w:p w14:paraId="7C0157B2">
                  <w:pPr>
                    <w:pStyle w:val="17"/>
                    <w:ind w:firstLine="0" w:firstLineChars="0"/>
                    <w:jc w:val="center"/>
                    <w:rPr>
                      <w:rFonts w:hint="eastAsia"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+0.7</w:t>
                  </w:r>
                </w:p>
              </w:tc>
              <w:tc>
                <w:tcPr>
                  <w:tcW w:w="760" w:type="pct"/>
                  <w:noWrap w:val="0"/>
                  <w:vAlign w:val="center"/>
                </w:tcPr>
                <w:p w14:paraId="32FB1A46">
                  <w:pPr>
                    <w:pStyle w:val="17"/>
                    <w:ind w:firstLine="0" w:firstLineChars="0"/>
                    <w:jc w:val="center"/>
                    <w:rPr>
                      <w:rFonts w:hint="eastAsia"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0.7</w:t>
                  </w:r>
                </w:p>
              </w:tc>
              <w:tc>
                <w:tcPr>
                  <w:tcW w:w="1007" w:type="pct"/>
                  <w:noWrap w:val="0"/>
                  <w:vAlign w:val="center"/>
                </w:tcPr>
                <w:p w14:paraId="57E87697">
                  <w:pPr>
                    <w:pStyle w:val="17"/>
                    <w:ind w:firstLine="0" w:firstLineChars="0"/>
                    <w:jc w:val="center"/>
                    <w:rPr>
                      <w:rFonts w:hint="eastAsia"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外购</w:t>
                  </w:r>
                </w:p>
              </w:tc>
            </w:tr>
            <w:tr w14:paraId="7A59F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noWrap w:val="0"/>
                  <w:vAlign w:val="center"/>
                </w:tcPr>
                <w:p w14:paraId="1DF9F88D">
                  <w:pPr>
                    <w:pStyle w:val="17"/>
                    <w:jc w:val="both"/>
                    <w:rPr>
                      <w:rFonts w:hint="default"/>
                      <w:color w:val="auto"/>
                      <w:vertAlign w:val="baseline"/>
                      <w:lang w:val="en-US" w:eastAsia="zh-CN"/>
                    </w:rPr>
                  </w:pPr>
                  <w:r>
                    <w:rPr>
                      <w:rFonts w:hint="eastAsia"/>
                      <w:b/>
                      <w:bCs/>
                      <w:color w:val="auto"/>
                      <w:vertAlign w:val="baseline"/>
                      <w:lang w:val="en-US" w:eastAsia="zh-CN"/>
                    </w:rPr>
                    <w:t>砖生产</w:t>
                  </w:r>
                </w:p>
              </w:tc>
            </w:tr>
            <w:tr w14:paraId="247EF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 w:type="pct"/>
                  <w:noWrap w:val="0"/>
                  <w:vAlign w:val="center"/>
                </w:tcPr>
                <w:p w14:paraId="5941CEA2">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s="Times New Roman"/>
                      <w:color w:val="auto"/>
                      <w:kern w:val="0"/>
                      <w:sz w:val="21"/>
                      <w:szCs w:val="21"/>
                      <w:vertAlign w:val="baseline"/>
                      <w:lang w:val="en-US" w:eastAsia="zh-CN" w:bidi="ar-SA"/>
                    </w:rPr>
                    <w:t>6</w:t>
                  </w:r>
                </w:p>
              </w:tc>
              <w:tc>
                <w:tcPr>
                  <w:tcW w:w="1162" w:type="pct"/>
                  <w:noWrap w:val="0"/>
                  <w:vAlign w:val="center"/>
                </w:tcPr>
                <w:p w14:paraId="2E28285D">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各类粉料、骨料</w:t>
                  </w:r>
                </w:p>
              </w:tc>
              <w:tc>
                <w:tcPr>
                  <w:tcW w:w="726" w:type="pct"/>
                  <w:noWrap w:val="0"/>
                  <w:vAlign w:val="center"/>
                </w:tcPr>
                <w:p w14:paraId="1660B732">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万t/a</w:t>
                  </w:r>
                </w:p>
              </w:tc>
              <w:tc>
                <w:tcPr>
                  <w:tcW w:w="442" w:type="pct"/>
                  <w:noWrap w:val="0"/>
                  <w:vAlign w:val="center"/>
                </w:tcPr>
                <w:p w14:paraId="3658A410">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0</w:t>
                  </w:r>
                </w:p>
              </w:tc>
              <w:tc>
                <w:tcPr>
                  <w:tcW w:w="671" w:type="pct"/>
                  <w:noWrap w:val="0"/>
                  <w:vAlign w:val="center"/>
                </w:tcPr>
                <w:p w14:paraId="3445D2FB">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s="Times New Roman"/>
                      <w:color w:val="auto"/>
                      <w:kern w:val="0"/>
                      <w:sz w:val="21"/>
                      <w:szCs w:val="21"/>
                      <w:vertAlign w:val="baseline"/>
                      <w:lang w:val="en-US" w:eastAsia="zh-CN" w:bidi="ar-SA"/>
                    </w:rPr>
                    <w:t>+3.5</w:t>
                  </w:r>
                </w:p>
              </w:tc>
              <w:tc>
                <w:tcPr>
                  <w:tcW w:w="760" w:type="pct"/>
                  <w:noWrap w:val="0"/>
                  <w:vAlign w:val="center"/>
                </w:tcPr>
                <w:p w14:paraId="268F45B1">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s="Times New Roman"/>
                      <w:color w:val="auto"/>
                      <w:kern w:val="0"/>
                      <w:sz w:val="21"/>
                      <w:szCs w:val="21"/>
                      <w:vertAlign w:val="baseline"/>
                      <w:lang w:val="en-US" w:eastAsia="zh-CN" w:bidi="ar-SA"/>
                    </w:rPr>
                    <w:t>3.5</w:t>
                  </w:r>
                </w:p>
              </w:tc>
              <w:tc>
                <w:tcPr>
                  <w:tcW w:w="1007" w:type="pct"/>
                  <w:noWrap w:val="0"/>
                  <w:vAlign w:val="center"/>
                </w:tcPr>
                <w:p w14:paraId="049D1E72">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破碎生产线产品</w:t>
                  </w:r>
                </w:p>
              </w:tc>
            </w:tr>
            <w:tr w14:paraId="29124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 w:type="pct"/>
                  <w:noWrap w:val="0"/>
                  <w:vAlign w:val="center"/>
                </w:tcPr>
                <w:p w14:paraId="0F84CC07">
                  <w:pPr>
                    <w:pStyle w:val="17"/>
                    <w:ind w:firstLine="0" w:firstLineChars="0"/>
                    <w:jc w:val="center"/>
                    <w:rPr>
                      <w:rFonts w:hint="eastAsia"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5</w:t>
                  </w:r>
                </w:p>
              </w:tc>
              <w:tc>
                <w:tcPr>
                  <w:tcW w:w="1162" w:type="pct"/>
                  <w:noWrap w:val="0"/>
                  <w:vAlign w:val="center"/>
                </w:tcPr>
                <w:p w14:paraId="32A5892E">
                  <w:pPr>
                    <w:pStyle w:val="17"/>
                    <w:ind w:firstLine="0" w:firstLineChars="0"/>
                    <w:jc w:val="center"/>
                    <w:rPr>
                      <w:rFonts w:hint="eastAsia"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水泥</w:t>
                  </w:r>
                </w:p>
              </w:tc>
              <w:tc>
                <w:tcPr>
                  <w:tcW w:w="726" w:type="pct"/>
                  <w:noWrap w:val="0"/>
                  <w:vAlign w:val="center"/>
                </w:tcPr>
                <w:p w14:paraId="409E355B">
                  <w:pPr>
                    <w:pStyle w:val="17"/>
                    <w:ind w:firstLine="0" w:firstLineChars="0"/>
                    <w:jc w:val="center"/>
                    <w:rPr>
                      <w:rFonts w:hint="eastAsia"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万t/a</w:t>
                  </w:r>
                </w:p>
              </w:tc>
              <w:tc>
                <w:tcPr>
                  <w:tcW w:w="442" w:type="pct"/>
                  <w:noWrap w:val="0"/>
                  <w:vAlign w:val="center"/>
                </w:tcPr>
                <w:p w14:paraId="0B61CB9D">
                  <w:pPr>
                    <w:pStyle w:val="17"/>
                    <w:ind w:firstLine="0" w:firstLineChars="0"/>
                    <w:jc w:val="center"/>
                    <w:rPr>
                      <w:rFonts w:hint="eastAsia"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0</w:t>
                  </w:r>
                </w:p>
              </w:tc>
              <w:tc>
                <w:tcPr>
                  <w:tcW w:w="671" w:type="pct"/>
                  <w:noWrap w:val="0"/>
                  <w:vAlign w:val="center"/>
                </w:tcPr>
                <w:p w14:paraId="0789AED7">
                  <w:pPr>
                    <w:pStyle w:val="17"/>
                    <w:ind w:firstLine="0" w:firstLineChars="0"/>
                    <w:jc w:val="center"/>
                    <w:rPr>
                      <w:rFonts w:hint="eastAsia"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+0.175</w:t>
                  </w:r>
                </w:p>
              </w:tc>
              <w:tc>
                <w:tcPr>
                  <w:tcW w:w="760" w:type="pct"/>
                  <w:noWrap w:val="0"/>
                  <w:vAlign w:val="center"/>
                </w:tcPr>
                <w:p w14:paraId="1CB8591C">
                  <w:pPr>
                    <w:pStyle w:val="17"/>
                    <w:ind w:firstLine="0" w:firstLineChars="0"/>
                    <w:jc w:val="center"/>
                    <w:rPr>
                      <w:rFonts w:hint="eastAsia"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0.175</w:t>
                  </w:r>
                </w:p>
              </w:tc>
              <w:tc>
                <w:tcPr>
                  <w:tcW w:w="1007" w:type="pct"/>
                  <w:noWrap w:val="0"/>
                  <w:vAlign w:val="center"/>
                </w:tcPr>
                <w:p w14:paraId="366B8690">
                  <w:pPr>
                    <w:pStyle w:val="17"/>
                    <w:ind w:firstLine="0" w:firstLineChars="0"/>
                    <w:jc w:val="center"/>
                    <w:rPr>
                      <w:rFonts w:hint="eastAsia"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外购</w:t>
                  </w:r>
                </w:p>
              </w:tc>
            </w:tr>
            <w:tr w14:paraId="27213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noWrap w:val="0"/>
                  <w:vAlign w:val="center"/>
                </w:tcPr>
                <w:p w14:paraId="036C3F2C">
                  <w:pPr>
                    <w:pStyle w:val="17"/>
                    <w:jc w:val="both"/>
                    <w:rPr>
                      <w:rFonts w:hint="default"/>
                      <w:color w:val="auto"/>
                      <w:vertAlign w:val="baseline"/>
                      <w:lang w:val="en-US" w:eastAsia="zh-CN"/>
                    </w:rPr>
                  </w:pPr>
                  <w:r>
                    <w:rPr>
                      <w:rFonts w:hint="eastAsia"/>
                      <w:b/>
                      <w:bCs/>
                      <w:color w:val="auto"/>
                      <w:vertAlign w:val="baseline"/>
                      <w:lang w:val="en-US" w:eastAsia="zh-CN"/>
                    </w:rPr>
                    <w:t>全厂</w:t>
                  </w:r>
                </w:p>
              </w:tc>
            </w:tr>
            <w:tr w14:paraId="1C5DC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 w:type="pct"/>
                  <w:noWrap w:val="0"/>
                  <w:vAlign w:val="center"/>
                </w:tcPr>
                <w:p w14:paraId="73EA5FAD">
                  <w:pPr>
                    <w:pStyle w:val="17"/>
                    <w:ind w:firstLine="0" w:firstLineChars="0"/>
                    <w:jc w:val="center"/>
                    <w:rPr>
                      <w:rFonts w:hint="eastAsia"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6</w:t>
                  </w:r>
                </w:p>
              </w:tc>
              <w:tc>
                <w:tcPr>
                  <w:tcW w:w="1162" w:type="pct"/>
                  <w:noWrap w:val="0"/>
                  <w:vAlign w:val="center"/>
                </w:tcPr>
                <w:p w14:paraId="43C230EF">
                  <w:pPr>
                    <w:pStyle w:val="17"/>
                    <w:ind w:firstLine="0" w:firstLineChars="0"/>
                    <w:jc w:val="center"/>
                    <w:rPr>
                      <w:rFonts w:hint="eastAsia"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耗电量</w:t>
                  </w:r>
                </w:p>
              </w:tc>
              <w:tc>
                <w:tcPr>
                  <w:tcW w:w="726" w:type="pct"/>
                  <w:noWrap w:val="0"/>
                  <w:vAlign w:val="center"/>
                </w:tcPr>
                <w:p w14:paraId="5CE108E3">
                  <w:pPr>
                    <w:pStyle w:val="17"/>
                    <w:ind w:firstLine="0" w:firstLineChars="0"/>
                    <w:jc w:val="center"/>
                    <w:rPr>
                      <w:rFonts w:hint="eastAsia"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万kW·h/a</w:t>
                  </w:r>
                </w:p>
              </w:tc>
              <w:tc>
                <w:tcPr>
                  <w:tcW w:w="442" w:type="pct"/>
                  <w:noWrap w:val="0"/>
                  <w:vAlign w:val="center"/>
                </w:tcPr>
                <w:p w14:paraId="424A06DE">
                  <w:pPr>
                    <w:pStyle w:val="17"/>
                    <w:ind w:firstLine="0" w:firstLineChars="0"/>
                    <w:jc w:val="center"/>
                    <w:rPr>
                      <w:rFonts w:hint="eastAsia"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30</w:t>
                  </w:r>
                </w:p>
              </w:tc>
              <w:tc>
                <w:tcPr>
                  <w:tcW w:w="671" w:type="pct"/>
                  <w:noWrap w:val="0"/>
                  <w:vAlign w:val="center"/>
                </w:tcPr>
                <w:p w14:paraId="28834265">
                  <w:pPr>
                    <w:pStyle w:val="17"/>
                    <w:ind w:firstLine="0" w:firstLineChars="0"/>
                    <w:jc w:val="center"/>
                    <w:rPr>
                      <w:rFonts w:hint="eastAsia"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+6</w:t>
                  </w:r>
                </w:p>
              </w:tc>
              <w:tc>
                <w:tcPr>
                  <w:tcW w:w="760" w:type="pct"/>
                  <w:noWrap w:val="0"/>
                  <w:vAlign w:val="center"/>
                </w:tcPr>
                <w:p w14:paraId="56643731">
                  <w:pPr>
                    <w:pStyle w:val="17"/>
                    <w:ind w:firstLine="0" w:firstLineChars="0"/>
                    <w:jc w:val="center"/>
                    <w:rPr>
                      <w:rFonts w:hint="eastAsia"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36</w:t>
                  </w:r>
                </w:p>
              </w:tc>
              <w:tc>
                <w:tcPr>
                  <w:tcW w:w="1007" w:type="pct"/>
                  <w:noWrap w:val="0"/>
                  <w:vAlign w:val="center"/>
                </w:tcPr>
                <w:p w14:paraId="13364A04">
                  <w:pPr>
                    <w:pStyle w:val="17"/>
                    <w:ind w:firstLine="0" w:firstLineChars="0"/>
                    <w:jc w:val="center"/>
                    <w:rPr>
                      <w:rFonts w:hint="eastAsia"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乡镇电网供电</w:t>
                  </w:r>
                </w:p>
              </w:tc>
            </w:tr>
            <w:tr w14:paraId="089BD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 w:type="pct"/>
                  <w:noWrap w:val="0"/>
                  <w:vAlign w:val="center"/>
                </w:tcPr>
                <w:p w14:paraId="40EF021B">
                  <w:pPr>
                    <w:pStyle w:val="17"/>
                    <w:jc w:val="center"/>
                    <w:rPr>
                      <w:rFonts w:hint="default"/>
                      <w:color w:val="auto"/>
                      <w:vertAlign w:val="baseline"/>
                      <w:lang w:val="en-US" w:eastAsia="zh-CN"/>
                    </w:rPr>
                  </w:pPr>
                  <w:r>
                    <w:rPr>
                      <w:rFonts w:hint="eastAsia"/>
                      <w:color w:val="auto"/>
                      <w:vertAlign w:val="baseline"/>
                      <w:lang w:val="en-US" w:eastAsia="zh-CN"/>
                    </w:rPr>
                    <w:t>7</w:t>
                  </w:r>
                </w:p>
              </w:tc>
              <w:tc>
                <w:tcPr>
                  <w:tcW w:w="1162" w:type="pct"/>
                  <w:noWrap w:val="0"/>
                  <w:vAlign w:val="center"/>
                </w:tcPr>
                <w:p w14:paraId="68B7E8C6">
                  <w:pPr>
                    <w:pStyle w:val="17"/>
                    <w:jc w:val="center"/>
                    <w:rPr>
                      <w:rFonts w:hint="default"/>
                      <w:color w:val="auto"/>
                      <w:vertAlign w:val="baseline"/>
                      <w:lang w:val="en-US" w:eastAsia="zh-CN"/>
                    </w:rPr>
                  </w:pPr>
                  <w:r>
                    <w:rPr>
                      <w:rFonts w:hint="eastAsia"/>
                      <w:color w:val="auto"/>
                      <w:vertAlign w:val="baseline"/>
                      <w:lang w:val="en-US" w:eastAsia="zh-CN"/>
                    </w:rPr>
                    <w:t>用水量</w:t>
                  </w:r>
                </w:p>
              </w:tc>
              <w:tc>
                <w:tcPr>
                  <w:tcW w:w="726" w:type="pct"/>
                  <w:noWrap w:val="0"/>
                  <w:vAlign w:val="center"/>
                </w:tcPr>
                <w:p w14:paraId="7DD26A23">
                  <w:pPr>
                    <w:pStyle w:val="17"/>
                    <w:jc w:val="center"/>
                    <w:rPr>
                      <w:rFonts w:hint="default"/>
                      <w:color w:val="auto"/>
                      <w:vertAlign w:val="baseline"/>
                      <w:lang w:val="en-US" w:eastAsia="zh-CN"/>
                    </w:rPr>
                  </w:pPr>
                  <w:r>
                    <w:rPr>
                      <w:rFonts w:hint="eastAsia"/>
                      <w:color w:val="auto"/>
                      <w:vertAlign w:val="baseline"/>
                      <w:lang w:val="en-US" w:eastAsia="zh-CN"/>
                    </w:rPr>
                    <w:t>t/a</w:t>
                  </w:r>
                </w:p>
              </w:tc>
              <w:tc>
                <w:tcPr>
                  <w:tcW w:w="442" w:type="pct"/>
                  <w:noWrap w:val="0"/>
                  <w:vAlign w:val="center"/>
                </w:tcPr>
                <w:p w14:paraId="480E17A0">
                  <w:pPr>
                    <w:pStyle w:val="17"/>
                    <w:jc w:val="center"/>
                    <w:rPr>
                      <w:rFonts w:hint="default"/>
                      <w:color w:val="auto"/>
                      <w:vertAlign w:val="baseline"/>
                      <w:lang w:val="en-US" w:eastAsia="zh-CN"/>
                    </w:rPr>
                  </w:pPr>
                  <w:r>
                    <w:rPr>
                      <w:rFonts w:hint="eastAsia"/>
                      <w:color w:val="auto"/>
                      <w:vertAlign w:val="baseline"/>
                      <w:lang w:val="en-US" w:eastAsia="zh-CN"/>
                    </w:rPr>
                    <w:t>14824</w:t>
                  </w:r>
                </w:p>
              </w:tc>
              <w:tc>
                <w:tcPr>
                  <w:tcW w:w="671" w:type="pct"/>
                  <w:noWrap w:val="0"/>
                  <w:vAlign w:val="center"/>
                </w:tcPr>
                <w:p w14:paraId="3A5C3921">
                  <w:pPr>
                    <w:pStyle w:val="17"/>
                    <w:jc w:val="center"/>
                    <w:rPr>
                      <w:rFonts w:hint="default"/>
                      <w:color w:val="auto"/>
                      <w:vertAlign w:val="baseline"/>
                      <w:lang w:val="en-US" w:eastAsia="zh-CN"/>
                    </w:rPr>
                  </w:pPr>
                  <w:r>
                    <w:rPr>
                      <w:rFonts w:hint="eastAsia"/>
                      <w:color w:val="auto"/>
                      <w:vertAlign w:val="baseline"/>
                      <w:lang w:val="en-US" w:eastAsia="zh-CN"/>
                    </w:rPr>
                    <w:t>+5132.336</w:t>
                  </w:r>
                </w:p>
              </w:tc>
              <w:tc>
                <w:tcPr>
                  <w:tcW w:w="760" w:type="pct"/>
                  <w:noWrap w:val="0"/>
                  <w:vAlign w:val="center"/>
                </w:tcPr>
                <w:p w14:paraId="4D7ADC35">
                  <w:pPr>
                    <w:pStyle w:val="17"/>
                    <w:ind w:firstLine="0" w:firstLineChars="0"/>
                    <w:jc w:val="center"/>
                    <w:rPr>
                      <w:rFonts w:hint="default"/>
                      <w:color w:val="auto"/>
                      <w:vertAlign w:val="baseline"/>
                      <w:lang w:val="en-US" w:eastAsia="zh-CN"/>
                    </w:rPr>
                  </w:pPr>
                  <w:r>
                    <w:rPr>
                      <w:rFonts w:hint="eastAsia"/>
                      <w:color w:val="auto"/>
                      <w:lang w:val="en-US" w:eastAsia="zh-CN"/>
                    </w:rPr>
                    <w:t>19956.336</w:t>
                  </w:r>
                </w:p>
              </w:tc>
              <w:tc>
                <w:tcPr>
                  <w:tcW w:w="1007" w:type="pct"/>
                  <w:noWrap w:val="0"/>
                  <w:vAlign w:val="center"/>
                </w:tcPr>
                <w:p w14:paraId="798BF493">
                  <w:pPr>
                    <w:pStyle w:val="17"/>
                    <w:jc w:val="center"/>
                    <w:rPr>
                      <w:rFonts w:hint="default"/>
                      <w:color w:val="auto"/>
                      <w:vertAlign w:val="baseline"/>
                      <w:lang w:val="en-US" w:eastAsia="zh-CN"/>
                    </w:rPr>
                  </w:pPr>
                  <w:r>
                    <w:rPr>
                      <w:rFonts w:hint="eastAsia"/>
                      <w:color w:val="auto"/>
                      <w:vertAlign w:val="baseline"/>
                      <w:lang w:val="en-US" w:eastAsia="zh-CN"/>
                    </w:rPr>
                    <w:t>池塘水及井水</w:t>
                  </w:r>
                </w:p>
              </w:tc>
            </w:tr>
          </w:tbl>
          <w:p w14:paraId="66AD2ED6">
            <w:pPr>
              <w:bidi w:val="0"/>
              <w:rPr>
                <w:rFonts w:hint="eastAsia"/>
                <w:color w:val="auto"/>
                <w:lang w:val="en-US" w:eastAsia="zh-CN"/>
              </w:rPr>
            </w:pPr>
            <w:r>
              <w:rPr>
                <w:rFonts w:hint="eastAsia"/>
                <w:color w:val="auto"/>
                <w:lang w:val="en-US" w:eastAsia="zh-CN"/>
              </w:rPr>
              <w:t>本项目禁止生活垃圾、危险废物入场，且项目不得以金属矿、采石场以外的其他非金属矿的废矿石为原料。</w:t>
            </w:r>
          </w:p>
          <w:p w14:paraId="6CDE663E">
            <w:pPr>
              <w:pStyle w:val="5"/>
              <w:bidi w:val="0"/>
              <w:rPr>
                <w:rFonts w:hint="eastAsia"/>
                <w:color w:val="auto"/>
                <w:lang w:val="en-US" w:eastAsia="zh-CN"/>
              </w:rPr>
            </w:pPr>
            <w:bookmarkStart w:id="167" w:name="_Toc21024"/>
            <w:bookmarkStart w:id="168" w:name="_Toc25906"/>
            <w:bookmarkStart w:id="169" w:name="_Toc23625"/>
            <w:bookmarkStart w:id="170" w:name="_Toc18927"/>
            <w:bookmarkStart w:id="171" w:name="_Toc15026"/>
            <w:r>
              <w:rPr>
                <w:rFonts w:hint="eastAsia"/>
                <w:color w:val="auto"/>
                <w:lang w:val="en-US" w:eastAsia="zh-CN"/>
              </w:rPr>
              <w:t>8.2 原辅料储存及物料的运输方式</w:t>
            </w:r>
            <w:bookmarkEnd w:id="167"/>
            <w:bookmarkEnd w:id="168"/>
            <w:bookmarkEnd w:id="169"/>
            <w:bookmarkEnd w:id="170"/>
            <w:bookmarkEnd w:id="171"/>
          </w:p>
          <w:p w14:paraId="526E9D6C">
            <w:pPr>
              <w:rPr>
                <w:rFonts w:hint="eastAsia"/>
                <w:color w:val="auto"/>
                <w:lang w:val="en-US" w:eastAsia="zh-CN"/>
              </w:rPr>
            </w:pPr>
            <w:r>
              <w:rPr>
                <w:rFonts w:hint="eastAsia"/>
                <w:color w:val="auto"/>
                <w:lang w:val="en-US" w:eastAsia="zh-CN"/>
              </w:rPr>
              <w:t>根据建设单位提供资料，本项目建筑垃圾、装修垃圾和一般工业固体废物以及外购水泥堆放于原料堆场1#；制砖、水稳砂所需骨料、粉料经生产厂房1#破碎筛分后运至原料堆场2#，其余骨料、粉料运至产品堆场；生产厂房2#生产的砖、水稳砂运至产品堆场。上述堆场均加盖篷布、喷雾抑尘以减少逸散尘。</w:t>
            </w:r>
          </w:p>
          <w:p w14:paraId="36410474">
            <w:pPr>
              <w:rPr>
                <w:rFonts w:hint="default"/>
                <w:color w:val="auto"/>
                <w:lang w:val="en-US" w:eastAsia="zh-CN"/>
              </w:rPr>
            </w:pPr>
            <w:r>
              <w:rPr>
                <w:rFonts w:hint="eastAsia"/>
                <w:color w:val="auto"/>
                <w:lang w:val="en-US" w:eastAsia="zh-CN"/>
              </w:rPr>
              <w:t>项目物料的运输方式：场外运输以环保渣土车为主，厂内运输以环保渣土车、铲车和人工为主。出入厂区车辆均通过洗车平台进行清洗以减少车辆运输粉尘。</w:t>
            </w:r>
          </w:p>
          <w:p w14:paraId="43641DB9">
            <w:pPr>
              <w:pStyle w:val="4"/>
              <w:bidi w:val="0"/>
              <w:rPr>
                <w:rFonts w:hint="eastAsia"/>
                <w:color w:val="auto"/>
                <w:lang w:val="en-US" w:eastAsia="zh-CN"/>
              </w:rPr>
            </w:pPr>
            <w:bookmarkStart w:id="172" w:name="_Toc2415"/>
            <w:bookmarkStart w:id="173" w:name="_Toc25007"/>
            <w:bookmarkStart w:id="174" w:name="_Toc21466"/>
            <w:bookmarkStart w:id="175" w:name="_Toc12842"/>
            <w:bookmarkStart w:id="176" w:name="_Toc24299"/>
            <w:r>
              <w:rPr>
                <w:rFonts w:hint="eastAsia"/>
                <w:color w:val="auto"/>
                <w:lang w:val="en-US" w:eastAsia="zh-CN"/>
              </w:rPr>
              <w:t>9、公用工程</w:t>
            </w:r>
            <w:bookmarkEnd w:id="172"/>
            <w:bookmarkEnd w:id="173"/>
            <w:bookmarkEnd w:id="174"/>
            <w:bookmarkEnd w:id="175"/>
            <w:bookmarkEnd w:id="176"/>
          </w:p>
          <w:p w14:paraId="3A347230">
            <w:pPr>
              <w:pStyle w:val="5"/>
              <w:bidi w:val="0"/>
              <w:rPr>
                <w:rFonts w:hint="eastAsia"/>
                <w:color w:val="auto"/>
                <w:lang w:val="en-US" w:eastAsia="zh-CN"/>
              </w:rPr>
            </w:pPr>
            <w:bookmarkStart w:id="177" w:name="_Toc7963"/>
            <w:bookmarkStart w:id="178" w:name="_Toc3315"/>
            <w:bookmarkStart w:id="179" w:name="_Toc9574"/>
            <w:bookmarkStart w:id="180" w:name="_Toc16484"/>
            <w:bookmarkStart w:id="181" w:name="_Toc6397"/>
            <w:r>
              <w:rPr>
                <w:rFonts w:hint="eastAsia"/>
                <w:color w:val="auto"/>
                <w:lang w:val="en-US" w:eastAsia="zh-CN"/>
              </w:rPr>
              <w:t>9.1 给水</w:t>
            </w:r>
            <w:bookmarkEnd w:id="177"/>
            <w:bookmarkEnd w:id="178"/>
            <w:bookmarkEnd w:id="179"/>
            <w:bookmarkEnd w:id="180"/>
            <w:bookmarkEnd w:id="181"/>
          </w:p>
          <w:p w14:paraId="6AB142FC">
            <w:pPr>
              <w:rPr>
                <w:rFonts w:hint="eastAsia"/>
                <w:color w:val="auto"/>
                <w:lang w:val="en-US" w:eastAsia="zh-CN"/>
              </w:rPr>
            </w:pPr>
            <w:r>
              <w:rPr>
                <w:rFonts w:hint="eastAsia"/>
                <w:color w:val="auto"/>
                <w:lang w:val="en-US" w:eastAsia="zh-CN"/>
              </w:rPr>
              <w:t>本项目给水通过项目所在地附近池塘水及井水，运营期用水主要为员工生活用水、堆场抑尘用水、洒水降尘用水、水稳砂生产用水、制砖生产用水、免烧砖养护用水以及道路、车辆、搅拌机冲洗用水。</w:t>
            </w:r>
          </w:p>
          <w:p w14:paraId="5D718E9E">
            <w:pPr>
              <w:rPr>
                <w:rFonts w:hint="eastAsia"/>
                <w:color w:val="auto"/>
                <w:lang w:val="en-US" w:eastAsia="zh-CN"/>
              </w:rPr>
            </w:pPr>
            <w:r>
              <w:rPr>
                <w:rFonts w:hint="eastAsia"/>
                <w:color w:val="auto"/>
                <w:lang w:val="en-US" w:eastAsia="zh-CN"/>
              </w:rPr>
              <w:t>（1）员工生活用水</w:t>
            </w:r>
          </w:p>
          <w:p w14:paraId="76F07DEE">
            <w:pPr>
              <w:rPr>
                <w:rFonts w:hint="eastAsia"/>
                <w:color w:val="auto"/>
                <w:lang w:val="en-US" w:eastAsia="zh-CN"/>
              </w:rPr>
            </w:pPr>
            <w:r>
              <w:rPr>
                <w:rFonts w:hint="eastAsia"/>
                <w:color w:val="auto"/>
                <w:lang w:val="en-US" w:eastAsia="zh-CN"/>
              </w:rPr>
              <w:t>本项目劳动定员45人，根据《湖南省用水定额》（DB43/T 388-2020），员工用水量按90L/人·d计，则项目员工生活用水量为4.05m</w:t>
            </w:r>
            <w:r>
              <w:rPr>
                <w:rFonts w:hint="eastAsia"/>
                <w:color w:val="auto"/>
                <w:vertAlign w:val="superscript"/>
                <w:lang w:val="en-US" w:eastAsia="zh-CN"/>
              </w:rPr>
              <w:t>3</w:t>
            </w:r>
            <w:r>
              <w:rPr>
                <w:rFonts w:hint="eastAsia"/>
                <w:color w:val="auto"/>
                <w:lang w:val="en-US" w:eastAsia="zh-CN"/>
              </w:rPr>
              <w:t>/d（1215m</w:t>
            </w:r>
            <w:r>
              <w:rPr>
                <w:rFonts w:hint="eastAsia"/>
                <w:color w:val="auto"/>
                <w:vertAlign w:val="superscript"/>
                <w:lang w:val="en-US" w:eastAsia="zh-CN"/>
              </w:rPr>
              <w:t>3</w:t>
            </w:r>
            <w:r>
              <w:rPr>
                <w:rFonts w:hint="eastAsia"/>
                <w:color w:val="auto"/>
                <w:lang w:val="en-US" w:eastAsia="zh-CN"/>
              </w:rPr>
              <w:t>/a）。</w:t>
            </w:r>
          </w:p>
          <w:p w14:paraId="3015408C">
            <w:pPr>
              <w:rPr>
                <w:rFonts w:hint="eastAsia"/>
                <w:color w:val="auto"/>
                <w:lang w:val="en-US" w:eastAsia="zh-CN"/>
              </w:rPr>
            </w:pPr>
            <w:r>
              <w:rPr>
                <w:rFonts w:hint="eastAsia"/>
                <w:color w:val="auto"/>
                <w:lang w:val="en-US" w:eastAsia="zh-CN"/>
              </w:rPr>
              <w:t>（2）堆场抑尘用水</w:t>
            </w:r>
          </w:p>
          <w:p w14:paraId="68844F96">
            <w:pPr>
              <w:rPr>
                <w:rFonts w:hint="eastAsia"/>
                <w:color w:val="auto"/>
                <w:lang w:val="en-US" w:eastAsia="zh-CN"/>
              </w:rPr>
            </w:pPr>
            <w:r>
              <w:rPr>
                <w:rFonts w:hint="eastAsia"/>
                <w:color w:val="auto"/>
                <w:lang w:val="en-US" w:eastAsia="zh-CN"/>
              </w:rPr>
              <w:t>本项目需对原料堆场和产品堆场进行洒水抑尘，本项目建成后堆场面积共计2650m</w:t>
            </w:r>
            <w:r>
              <w:rPr>
                <w:rFonts w:hint="eastAsia"/>
                <w:color w:val="auto"/>
                <w:vertAlign w:val="superscript"/>
                <w:lang w:val="en-US" w:eastAsia="zh-CN"/>
              </w:rPr>
              <w:t>2</w:t>
            </w:r>
            <w:r>
              <w:rPr>
                <w:rFonts w:hint="eastAsia"/>
                <w:color w:val="auto"/>
                <w:lang w:val="en-US" w:eastAsia="zh-CN"/>
              </w:rPr>
              <w:t>，降尘用水量参考《湖南省用水定额》（DB43/T 388-2020），道路、场地浇洒为2L/m</w:t>
            </w:r>
            <w:r>
              <w:rPr>
                <w:rFonts w:hint="eastAsia"/>
                <w:color w:val="auto"/>
                <w:vertAlign w:val="superscript"/>
                <w:lang w:val="en-US" w:eastAsia="zh-CN"/>
              </w:rPr>
              <w:t>2</w:t>
            </w:r>
            <w:r>
              <w:rPr>
                <w:rFonts w:hint="eastAsia"/>
                <w:color w:val="auto"/>
                <w:lang w:val="en-US" w:eastAsia="zh-CN"/>
              </w:rPr>
              <w:t>·d，则堆场抑尘用水量为5.3m</w:t>
            </w:r>
            <w:r>
              <w:rPr>
                <w:rFonts w:hint="eastAsia"/>
                <w:color w:val="auto"/>
                <w:vertAlign w:val="superscript"/>
                <w:lang w:val="en-US" w:eastAsia="zh-CN"/>
              </w:rPr>
              <w:t>3</w:t>
            </w:r>
            <w:r>
              <w:rPr>
                <w:rFonts w:hint="eastAsia"/>
                <w:color w:val="auto"/>
                <w:lang w:val="en-US" w:eastAsia="zh-CN"/>
              </w:rPr>
              <w:t>/d（1590m</w:t>
            </w:r>
            <w:r>
              <w:rPr>
                <w:rFonts w:hint="eastAsia"/>
                <w:color w:val="auto"/>
                <w:vertAlign w:val="superscript"/>
                <w:lang w:val="en-US" w:eastAsia="zh-CN"/>
              </w:rPr>
              <w:t>3</w:t>
            </w:r>
            <w:r>
              <w:rPr>
                <w:rFonts w:hint="eastAsia"/>
                <w:color w:val="auto"/>
                <w:lang w:val="en-US" w:eastAsia="zh-CN"/>
              </w:rPr>
              <w:t>/a）。</w:t>
            </w:r>
          </w:p>
          <w:p w14:paraId="1F2C9848">
            <w:pPr>
              <w:rPr>
                <w:rFonts w:hint="eastAsia"/>
                <w:color w:val="auto"/>
                <w:lang w:val="en-US" w:eastAsia="zh-CN"/>
              </w:rPr>
            </w:pPr>
            <w:r>
              <w:rPr>
                <w:rFonts w:hint="eastAsia"/>
                <w:color w:val="auto"/>
                <w:lang w:val="en-US" w:eastAsia="zh-CN"/>
              </w:rPr>
              <w:t>（3）洒水降尘用水</w:t>
            </w:r>
          </w:p>
          <w:p w14:paraId="77DB64A1">
            <w:pPr>
              <w:rPr>
                <w:rFonts w:hint="eastAsia"/>
                <w:color w:val="auto"/>
                <w:lang w:val="en-US" w:eastAsia="zh-CN"/>
              </w:rPr>
            </w:pPr>
            <w:r>
              <w:rPr>
                <w:rFonts w:hint="eastAsia"/>
                <w:color w:val="auto"/>
                <w:lang w:val="en-US" w:eastAsia="zh-CN"/>
              </w:rPr>
              <w:t>洒水降尘用水参考《逸散性工业粉尘控制技术》第十八章粒料加工控制技术中湿抑制系统“每小时生产率为272t，用水1.7m</w:t>
            </w:r>
            <w:r>
              <w:rPr>
                <w:rFonts w:hint="eastAsia"/>
                <w:color w:val="auto"/>
                <w:vertAlign w:val="superscript"/>
                <w:lang w:val="en-US" w:eastAsia="zh-CN"/>
              </w:rPr>
              <w:t>3</w:t>
            </w:r>
            <w:r>
              <w:rPr>
                <w:rFonts w:hint="eastAsia"/>
                <w:color w:val="auto"/>
                <w:lang w:val="en-US" w:eastAsia="zh-CN"/>
              </w:rPr>
              <w:t>”，可知湿抑制系统用水量约0.00625m</w:t>
            </w:r>
            <w:r>
              <w:rPr>
                <w:rFonts w:hint="eastAsia"/>
                <w:color w:val="auto"/>
                <w:vertAlign w:val="superscript"/>
                <w:lang w:val="en-US" w:eastAsia="zh-CN"/>
              </w:rPr>
              <w:t>3</w:t>
            </w:r>
            <w:r>
              <w:rPr>
                <w:rFonts w:hint="eastAsia"/>
                <w:color w:val="auto"/>
                <w:lang w:val="en-US" w:eastAsia="zh-CN"/>
              </w:rPr>
              <w:t>/t，项目最大年处理建筑垃圾、装修垃圾和一般工业固体废物24万吨，则洒水降尘用水量为1500m</w:t>
            </w:r>
            <w:r>
              <w:rPr>
                <w:rFonts w:hint="eastAsia"/>
                <w:color w:val="auto"/>
                <w:vertAlign w:val="superscript"/>
                <w:lang w:val="en-US" w:eastAsia="zh-CN"/>
              </w:rPr>
              <w:t>3</w:t>
            </w:r>
            <w:r>
              <w:rPr>
                <w:rFonts w:hint="eastAsia"/>
                <w:color w:val="auto"/>
                <w:lang w:val="en-US" w:eastAsia="zh-CN"/>
              </w:rPr>
              <w:t>/a。</w:t>
            </w:r>
          </w:p>
          <w:p w14:paraId="42C2BDC2">
            <w:pPr>
              <w:rPr>
                <w:rFonts w:hint="eastAsia"/>
                <w:color w:val="auto"/>
                <w:lang w:val="en-US" w:eastAsia="zh-CN"/>
              </w:rPr>
            </w:pPr>
            <w:r>
              <w:rPr>
                <w:rFonts w:hint="eastAsia"/>
                <w:color w:val="auto"/>
                <w:lang w:val="en-US" w:eastAsia="zh-CN"/>
              </w:rPr>
              <w:t>（4）水稳砂生产用水</w:t>
            </w:r>
          </w:p>
          <w:p w14:paraId="63B6DBAE">
            <w:pPr>
              <w:rPr>
                <w:rFonts w:hint="eastAsia"/>
                <w:color w:val="auto"/>
                <w:lang w:val="en-US" w:eastAsia="zh-CN"/>
              </w:rPr>
            </w:pPr>
            <w:r>
              <w:rPr>
                <w:rFonts w:hint="eastAsia"/>
                <w:color w:val="auto"/>
                <w:lang w:val="en-US" w:eastAsia="zh-CN"/>
              </w:rPr>
              <w:t>根据建设单位提供资料，水稳砂用水量以产量5%计，本项目建成后预计年产水稳砂14.7万吨，则水稳砂生产年用水量为7350m</w:t>
            </w:r>
            <w:r>
              <w:rPr>
                <w:rFonts w:hint="eastAsia"/>
                <w:color w:val="auto"/>
                <w:vertAlign w:val="superscript"/>
                <w:lang w:val="en-US" w:eastAsia="zh-CN"/>
              </w:rPr>
              <w:t>3</w:t>
            </w:r>
            <w:r>
              <w:rPr>
                <w:rFonts w:hint="eastAsia"/>
                <w:color w:val="auto"/>
                <w:lang w:val="en-US" w:eastAsia="zh-CN"/>
              </w:rPr>
              <w:t>/a。</w:t>
            </w:r>
          </w:p>
          <w:p w14:paraId="75E847E3">
            <w:pPr>
              <w:rPr>
                <w:rFonts w:hint="eastAsia"/>
                <w:color w:val="auto"/>
                <w:lang w:val="en-US" w:eastAsia="zh-CN"/>
              </w:rPr>
            </w:pPr>
            <w:r>
              <w:rPr>
                <w:rFonts w:hint="eastAsia"/>
                <w:color w:val="auto"/>
                <w:lang w:val="en-US" w:eastAsia="zh-CN"/>
              </w:rPr>
              <w:t>（5）制砖生产用水</w:t>
            </w:r>
          </w:p>
          <w:p w14:paraId="26DAFB90">
            <w:pPr>
              <w:rPr>
                <w:rFonts w:hint="eastAsia"/>
                <w:color w:val="auto"/>
                <w:lang w:val="en-US" w:eastAsia="zh-CN"/>
              </w:rPr>
            </w:pPr>
            <w:r>
              <w:rPr>
                <w:rFonts w:hint="eastAsia"/>
                <w:color w:val="auto"/>
                <w:lang w:val="en-US" w:eastAsia="zh-CN"/>
              </w:rPr>
              <w:t>建设项目制砖用水参考《湖南省用水定额》（DB43/T 388-2020），机制砖用水量按3.2m</w:t>
            </w:r>
            <w:r>
              <w:rPr>
                <w:rFonts w:hint="eastAsia"/>
                <w:color w:val="auto"/>
                <w:vertAlign w:val="superscript"/>
                <w:lang w:val="en-US" w:eastAsia="zh-CN"/>
              </w:rPr>
              <w:t>3</w:t>
            </w:r>
            <w:r>
              <w:rPr>
                <w:rFonts w:hint="eastAsia"/>
                <w:color w:val="auto"/>
                <w:lang w:val="en-US" w:eastAsia="zh-CN"/>
              </w:rPr>
              <w:t>/万块计，项目建成后预计年产砖3.675万吨，一块标准免烧砖约3.2kg，换算后本项目预计年产砖1148.4375万块，则制砖用水量为3675m</w:t>
            </w:r>
            <w:r>
              <w:rPr>
                <w:rFonts w:hint="eastAsia"/>
                <w:color w:val="auto"/>
                <w:vertAlign w:val="superscript"/>
                <w:lang w:val="en-US" w:eastAsia="zh-CN"/>
              </w:rPr>
              <w:t>3</w:t>
            </w:r>
            <w:r>
              <w:rPr>
                <w:rFonts w:hint="eastAsia"/>
                <w:color w:val="auto"/>
                <w:lang w:val="en-US" w:eastAsia="zh-CN"/>
              </w:rPr>
              <w:t>/a。</w:t>
            </w:r>
          </w:p>
          <w:p w14:paraId="5B9F0AD0">
            <w:pPr>
              <w:rPr>
                <w:rFonts w:hint="eastAsia"/>
                <w:color w:val="auto"/>
                <w:lang w:val="en-US" w:eastAsia="zh-CN"/>
              </w:rPr>
            </w:pPr>
            <w:r>
              <w:rPr>
                <w:rFonts w:hint="eastAsia"/>
                <w:color w:val="auto"/>
                <w:lang w:val="en-US" w:eastAsia="zh-CN"/>
              </w:rPr>
              <w:t>（6）免烧砖养护用水</w:t>
            </w:r>
          </w:p>
          <w:p w14:paraId="72D2985C">
            <w:pPr>
              <w:rPr>
                <w:rFonts w:hint="eastAsia"/>
                <w:color w:val="auto"/>
                <w:vertAlign w:val="baseline"/>
                <w:lang w:val="en-US" w:eastAsia="zh-CN"/>
              </w:rPr>
            </w:pPr>
            <w:r>
              <w:rPr>
                <w:rFonts w:hint="eastAsia"/>
                <w:color w:val="auto"/>
                <w:lang w:val="en-US" w:eastAsia="zh-CN"/>
              </w:rPr>
              <w:t>免烧砖在养护过程中，需要在非雨天对免烧砖进行浇水养护，起到润湿表面的作用，需养护15天。根据建设单位提供的资料，免烧砖养护过程洒水量约0.5L/m</w:t>
            </w:r>
            <w:r>
              <w:rPr>
                <w:rFonts w:hint="eastAsia"/>
                <w:color w:val="auto"/>
                <w:vertAlign w:val="superscript"/>
                <w:lang w:val="en-US" w:eastAsia="zh-CN"/>
              </w:rPr>
              <w:t>2</w:t>
            </w:r>
            <w:r>
              <w:rPr>
                <w:rFonts w:hint="default" w:ascii="Times New Roman" w:hAnsi="Times New Roman" w:cs="Times New Roman"/>
                <w:color w:val="auto"/>
                <w:lang w:val="en-US" w:eastAsia="zh-CN"/>
              </w:rPr>
              <w:t>·</w:t>
            </w:r>
            <w:r>
              <w:rPr>
                <w:rFonts w:hint="eastAsia"/>
                <w:color w:val="auto"/>
                <w:lang w:val="en-US" w:eastAsia="zh-CN"/>
              </w:rPr>
              <w:t>d，项目室外养护阶段在产品堆场进行，产品堆场占地面积为1200m</w:t>
            </w:r>
            <w:r>
              <w:rPr>
                <w:rFonts w:hint="eastAsia"/>
                <w:color w:val="auto"/>
                <w:vertAlign w:val="superscript"/>
                <w:lang w:val="en-US" w:eastAsia="zh-CN"/>
              </w:rPr>
              <w:t>2</w:t>
            </w:r>
            <w:r>
              <w:rPr>
                <w:rFonts w:hint="eastAsia"/>
                <w:color w:val="auto"/>
                <w:vertAlign w:val="baseline"/>
                <w:lang w:val="en-US" w:eastAsia="zh-CN"/>
              </w:rPr>
              <w:t>，其中用于堆放免烧砖面积约200m</w:t>
            </w:r>
            <w:r>
              <w:rPr>
                <w:rFonts w:hint="eastAsia"/>
                <w:color w:val="auto"/>
                <w:vertAlign w:val="superscript"/>
                <w:lang w:val="en-US" w:eastAsia="zh-CN"/>
              </w:rPr>
              <w:t>2</w:t>
            </w:r>
            <w:r>
              <w:rPr>
                <w:rFonts w:hint="eastAsia"/>
                <w:color w:val="auto"/>
                <w:vertAlign w:val="baseline"/>
                <w:lang w:val="en-US" w:eastAsia="zh-CN"/>
              </w:rPr>
              <w:t>，则养护用水量为0.1m</w:t>
            </w:r>
            <w:r>
              <w:rPr>
                <w:rFonts w:hint="eastAsia"/>
                <w:color w:val="auto"/>
                <w:vertAlign w:val="superscript"/>
                <w:lang w:val="en-US" w:eastAsia="zh-CN"/>
              </w:rPr>
              <w:t>3</w:t>
            </w:r>
            <w:r>
              <w:rPr>
                <w:rFonts w:hint="eastAsia"/>
                <w:color w:val="auto"/>
                <w:vertAlign w:val="baseline"/>
                <w:lang w:val="en-US" w:eastAsia="zh-CN"/>
              </w:rPr>
              <w:t>/d（30m</w:t>
            </w:r>
            <w:r>
              <w:rPr>
                <w:rFonts w:hint="eastAsia"/>
                <w:color w:val="auto"/>
                <w:vertAlign w:val="superscript"/>
                <w:lang w:val="en-US" w:eastAsia="zh-CN"/>
              </w:rPr>
              <w:t>3</w:t>
            </w:r>
            <w:r>
              <w:rPr>
                <w:rFonts w:hint="eastAsia"/>
                <w:color w:val="auto"/>
                <w:vertAlign w:val="baseline"/>
                <w:lang w:val="en-US" w:eastAsia="zh-CN"/>
              </w:rPr>
              <w:t>/a），雨天不进行养护，养护采用喷洒方式，水分全部蒸发或进入产品，无生产废水产生。</w:t>
            </w:r>
          </w:p>
          <w:p w14:paraId="63D9E59F">
            <w:pPr>
              <w:rPr>
                <w:rFonts w:hint="eastAsia"/>
                <w:color w:val="auto"/>
                <w:vertAlign w:val="baseline"/>
                <w:lang w:val="en-US" w:eastAsia="zh-CN"/>
              </w:rPr>
            </w:pPr>
            <w:r>
              <w:rPr>
                <w:rFonts w:hint="eastAsia"/>
                <w:color w:val="auto"/>
                <w:vertAlign w:val="baseline"/>
                <w:lang w:val="en-US" w:eastAsia="zh-CN"/>
              </w:rPr>
              <w:t>（7）道路冲洗用水</w:t>
            </w:r>
          </w:p>
          <w:p w14:paraId="04F9C58D">
            <w:pPr>
              <w:rPr>
                <w:rFonts w:hint="eastAsia"/>
                <w:color w:val="auto"/>
                <w:lang w:val="en-US" w:eastAsia="zh-CN"/>
              </w:rPr>
            </w:pPr>
            <w:r>
              <w:rPr>
                <w:rFonts w:hint="eastAsia"/>
                <w:color w:val="auto"/>
                <w:vertAlign w:val="baseline"/>
                <w:lang w:val="en-US" w:eastAsia="zh-CN"/>
              </w:rPr>
              <w:t>本项目道路冲洗用水</w:t>
            </w:r>
            <w:r>
              <w:rPr>
                <w:rFonts w:hint="eastAsia"/>
                <w:color w:val="auto"/>
                <w:lang w:val="en-US" w:eastAsia="zh-CN"/>
              </w:rPr>
              <w:t>参考《湖南省用水定额》（DB43/T 388-2020），道路、场地浇洒为2L/m</w:t>
            </w:r>
            <w:r>
              <w:rPr>
                <w:rFonts w:hint="eastAsia"/>
                <w:color w:val="auto"/>
                <w:vertAlign w:val="superscript"/>
                <w:lang w:val="en-US" w:eastAsia="zh-CN"/>
              </w:rPr>
              <w:t>2</w:t>
            </w:r>
            <w:r>
              <w:rPr>
                <w:rFonts w:hint="eastAsia"/>
                <w:color w:val="auto"/>
                <w:lang w:val="en-US" w:eastAsia="zh-CN"/>
              </w:rPr>
              <w:t>·d，根据建设单位提供资料，本项目建成后道路面积约3200m</w:t>
            </w:r>
            <w:r>
              <w:rPr>
                <w:rFonts w:hint="eastAsia"/>
                <w:color w:val="auto"/>
                <w:vertAlign w:val="superscript"/>
                <w:lang w:val="en-US" w:eastAsia="zh-CN"/>
              </w:rPr>
              <w:t>2</w:t>
            </w:r>
            <w:r>
              <w:rPr>
                <w:rFonts w:hint="eastAsia"/>
                <w:color w:val="auto"/>
                <w:lang w:val="en-US" w:eastAsia="zh-CN"/>
              </w:rPr>
              <w:t>，则道路冲洗用水量为6.4m</w:t>
            </w:r>
            <w:r>
              <w:rPr>
                <w:rFonts w:hint="eastAsia"/>
                <w:color w:val="auto"/>
                <w:vertAlign w:val="superscript"/>
                <w:lang w:val="en-US" w:eastAsia="zh-CN"/>
              </w:rPr>
              <w:t>3</w:t>
            </w:r>
            <w:r>
              <w:rPr>
                <w:rFonts w:hint="eastAsia"/>
                <w:color w:val="auto"/>
                <w:lang w:val="en-US" w:eastAsia="zh-CN"/>
              </w:rPr>
              <w:t>/d（1920m</w:t>
            </w:r>
            <w:r>
              <w:rPr>
                <w:rFonts w:hint="eastAsia"/>
                <w:color w:val="auto"/>
                <w:vertAlign w:val="superscript"/>
                <w:lang w:val="en-US" w:eastAsia="zh-CN"/>
              </w:rPr>
              <w:t>3</w:t>
            </w:r>
            <w:r>
              <w:rPr>
                <w:rFonts w:hint="eastAsia"/>
                <w:color w:val="auto"/>
                <w:lang w:val="en-US" w:eastAsia="zh-CN"/>
              </w:rPr>
              <w:t>/a）。</w:t>
            </w:r>
          </w:p>
          <w:p w14:paraId="2175861C">
            <w:pPr>
              <w:rPr>
                <w:rFonts w:hint="default"/>
                <w:color w:val="auto"/>
                <w:lang w:val="en-US" w:eastAsia="zh-CN"/>
              </w:rPr>
            </w:pPr>
            <w:r>
              <w:rPr>
                <w:rFonts w:hint="eastAsia"/>
                <w:color w:val="auto"/>
                <w:lang w:val="en-US" w:eastAsia="zh-CN"/>
              </w:rPr>
              <w:t>（8）车辆冲洗用水</w:t>
            </w:r>
          </w:p>
          <w:p w14:paraId="4FD6B6E7">
            <w:pPr>
              <w:rPr>
                <w:rFonts w:hint="eastAsia"/>
                <w:color w:val="auto"/>
                <w:lang w:val="en-US" w:eastAsia="zh-CN"/>
              </w:rPr>
            </w:pPr>
            <w:r>
              <w:rPr>
                <w:rFonts w:hint="eastAsia"/>
                <w:color w:val="auto"/>
                <w:lang w:val="en-US" w:eastAsia="zh-CN"/>
              </w:rPr>
              <w:t>厂区西面设置洗车平台对出入车辆进行冲洗。建设项目车辆冲洗用水参考《湖南省用水定额》（DB43/T 388-2020），洗车用水量按0.04m</w:t>
            </w:r>
            <w:r>
              <w:rPr>
                <w:rFonts w:hint="eastAsia"/>
                <w:color w:val="auto"/>
                <w:vertAlign w:val="superscript"/>
                <w:lang w:val="en-US" w:eastAsia="zh-CN"/>
              </w:rPr>
              <w:t>3</w:t>
            </w:r>
            <w:r>
              <w:rPr>
                <w:rFonts w:hint="eastAsia"/>
                <w:color w:val="auto"/>
                <w:lang w:val="en-US" w:eastAsia="zh-CN"/>
              </w:rPr>
              <w:t>/车·次计，装载车载重按30t计，则年装载车运输次数约为15792次，则车辆冲洗总用水量为631.68m</w:t>
            </w:r>
            <w:r>
              <w:rPr>
                <w:rFonts w:hint="eastAsia"/>
                <w:color w:val="auto"/>
                <w:vertAlign w:val="superscript"/>
                <w:lang w:val="en-US" w:eastAsia="zh-CN"/>
              </w:rPr>
              <w:t>3</w:t>
            </w:r>
            <w:r>
              <w:rPr>
                <w:rFonts w:hint="eastAsia"/>
                <w:color w:val="auto"/>
                <w:lang w:val="en-US" w:eastAsia="zh-CN"/>
              </w:rPr>
              <w:t>/a，损耗系数按0.2计，则损耗量为126.336m</w:t>
            </w:r>
            <w:r>
              <w:rPr>
                <w:rFonts w:hint="eastAsia"/>
                <w:color w:val="auto"/>
                <w:vertAlign w:val="superscript"/>
                <w:lang w:val="en-US" w:eastAsia="zh-CN"/>
              </w:rPr>
              <w:t>3</w:t>
            </w:r>
            <w:r>
              <w:rPr>
                <w:rFonts w:hint="eastAsia"/>
                <w:color w:val="auto"/>
                <w:lang w:val="en-US" w:eastAsia="zh-CN"/>
              </w:rPr>
              <w:t>/a，车辆冲洗废水导流至隔油池处理，再泵至沉淀池处理后回用于车辆冲洗，则车辆冲洗池塘水、井水用水量为126.336m</w:t>
            </w:r>
            <w:r>
              <w:rPr>
                <w:rFonts w:hint="eastAsia"/>
                <w:color w:val="auto"/>
                <w:vertAlign w:val="superscript"/>
                <w:lang w:val="en-US" w:eastAsia="zh-CN"/>
              </w:rPr>
              <w:t>3</w:t>
            </w:r>
            <w:r>
              <w:rPr>
                <w:rFonts w:hint="eastAsia"/>
                <w:color w:val="auto"/>
                <w:lang w:val="en-US" w:eastAsia="zh-CN"/>
              </w:rPr>
              <w:t>/a。</w:t>
            </w:r>
          </w:p>
          <w:p w14:paraId="0B42AC60">
            <w:pPr>
              <w:rPr>
                <w:rFonts w:hint="eastAsia"/>
                <w:color w:val="auto"/>
                <w:lang w:val="en-US" w:eastAsia="zh-CN"/>
              </w:rPr>
            </w:pPr>
            <w:r>
              <w:rPr>
                <w:rFonts w:hint="eastAsia"/>
                <w:color w:val="auto"/>
                <w:lang w:val="en-US" w:eastAsia="zh-CN"/>
              </w:rPr>
              <w:t>（9）搅拌机冲洗用水</w:t>
            </w:r>
          </w:p>
          <w:p w14:paraId="74F811DF">
            <w:pPr>
              <w:rPr>
                <w:rFonts w:hint="default"/>
                <w:color w:val="auto"/>
                <w:lang w:val="en-US" w:eastAsia="zh-CN"/>
              </w:rPr>
            </w:pPr>
            <w:r>
              <w:rPr>
                <w:rFonts w:hint="eastAsia"/>
                <w:color w:val="auto"/>
                <w:lang w:val="en-US" w:eastAsia="zh-CN"/>
              </w:rPr>
              <w:t>建设单位每天生产结束后对搅拌机进行清洗，用水量参考2020年10月《年产25万m</w:t>
            </w:r>
            <w:r>
              <w:rPr>
                <w:rFonts w:hint="eastAsia"/>
                <w:color w:val="auto"/>
                <w:vertAlign w:val="superscript"/>
                <w:lang w:val="en-US" w:eastAsia="zh-CN"/>
              </w:rPr>
              <w:t>3</w:t>
            </w:r>
            <w:r>
              <w:rPr>
                <w:rFonts w:hint="eastAsia"/>
                <w:color w:val="auto"/>
                <w:lang w:val="en-US" w:eastAsia="zh-CN"/>
              </w:rPr>
              <w:t>商品混凝土搅拌站建设项目环境影响报告表》，搅拌机清洗用水量为2.5m</w:t>
            </w:r>
            <w:r>
              <w:rPr>
                <w:rFonts w:hint="eastAsia"/>
                <w:color w:val="auto"/>
                <w:vertAlign w:val="superscript"/>
                <w:lang w:val="en-US" w:eastAsia="zh-CN"/>
              </w:rPr>
              <w:t>3</w:t>
            </w:r>
            <w:r>
              <w:rPr>
                <w:rFonts w:hint="eastAsia"/>
                <w:color w:val="auto"/>
                <w:lang w:val="en-US" w:eastAsia="zh-CN"/>
              </w:rPr>
              <w:t>/次</w:t>
            </w:r>
            <w:r>
              <w:rPr>
                <w:rFonts w:hint="default" w:ascii="Times New Roman" w:hAnsi="Times New Roman" w:cs="Times New Roman"/>
                <w:color w:val="auto"/>
                <w:lang w:val="en-US" w:eastAsia="zh-CN"/>
              </w:rPr>
              <w:t>·</w:t>
            </w:r>
            <w:r>
              <w:rPr>
                <w:rFonts w:hint="eastAsia"/>
                <w:color w:val="auto"/>
                <w:lang w:val="en-US" w:eastAsia="zh-CN"/>
              </w:rPr>
              <w:t>d，本项目建成后共有搅拌机3台，则搅拌机冲洗用水量为7.5m</w:t>
            </w:r>
            <w:r>
              <w:rPr>
                <w:rFonts w:hint="eastAsia"/>
                <w:color w:val="auto"/>
                <w:vertAlign w:val="superscript"/>
                <w:lang w:val="en-US" w:eastAsia="zh-CN"/>
              </w:rPr>
              <w:t>3</w:t>
            </w:r>
            <w:r>
              <w:rPr>
                <w:rFonts w:hint="eastAsia"/>
                <w:color w:val="auto"/>
                <w:lang w:val="en-US" w:eastAsia="zh-CN"/>
              </w:rPr>
              <w:t>/d（2250m</w:t>
            </w:r>
            <w:r>
              <w:rPr>
                <w:rFonts w:hint="eastAsia"/>
                <w:color w:val="auto"/>
                <w:vertAlign w:val="superscript"/>
                <w:lang w:val="en-US" w:eastAsia="zh-CN"/>
              </w:rPr>
              <w:t>3</w:t>
            </w:r>
            <w:r>
              <w:rPr>
                <w:rFonts w:hint="eastAsia"/>
                <w:color w:val="auto"/>
                <w:lang w:val="en-US" w:eastAsia="zh-CN"/>
              </w:rPr>
              <w:t>/a）。</w:t>
            </w:r>
          </w:p>
          <w:p w14:paraId="5201043A">
            <w:pPr>
              <w:pStyle w:val="5"/>
              <w:bidi w:val="0"/>
              <w:rPr>
                <w:rFonts w:hint="eastAsia"/>
                <w:color w:val="auto"/>
                <w:lang w:val="en-US" w:eastAsia="zh-CN"/>
              </w:rPr>
            </w:pPr>
            <w:bookmarkStart w:id="182" w:name="_Toc6014"/>
            <w:bookmarkStart w:id="183" w:name="_Toc6777"/>
            <w:bookmarkStart w:id="184" w:name="_Toc13118"/>
            <w:bookmarkStart w:id="185" w:name="_Toc32411"/>
            <w:bookmarkStart w:id="186" w:name="_Toc6774"/>
            <w:r>
              <w:rPr>
                <w:rFonts w:hint="eastAsia"/>
                <w:color w:val="auto"/>
                <w:lang w:val="en-US" w:eastAsia="zh-CN"/>
              </w:rPr>
              <w:t>9.2 排水</w:t>
            </w:r>
            <w:bookmarkEnd w:id="182"/>
            <w:bookmarkEnd w:id="183"/>
            <w:bookmarkEnd w:id="184"/>
            <w:bookmarkEnd w:id="185"/>
            <w:bookmarkEnd w:id="186"/>
          </w:p>
          <w:p w14:paraId="0FAE0291">
            <w:pPr>
              <w:rPr>
                <w:rFonts w:hint="eastAsia"/>
                <w:color w:val="auto"/>
                <w:lang w:val="en-US" w:eastAsia="zh-CN"/>
              </w:rPr>
            </w:pPr>
            <w:r>
              <w:rPr>
                <w:rFonts w:hint="eastAsia"/>
                <w:color w:val="auto"/>
                <w:lang w:val="en-US" w:eastAsia="zh-CN"/>
              </w:rPr>
              <w:t>本项目排水采用雨污分流制，根据工程分析，项目运营期废水主要为员工生活污水、堆场抑尘废水、洒水降尘废水、车辆冲洗废水以及初期雨水。</w:t>
            </w:r>
          </w:p>
          <w:p w14:paraId="4DA2545A">
            <w:pPr>
              <w:rPr>
                <w:rFonts w:hint="eastAsia"/>
                <w:color w:val="auto"/>
                <w:lang w:val="en-US" w:eastAsia="zh-CN"/>
              </w:rPr>
            </w:pPr>
            <w:r>
              <w:rPr>
                <w:rFonts w:hint="eastAsia"/>
                <w:color w:val="auto"/>
                <w:lang w:val="en-US" w:eastAsia="zh-CN"/>
              </w:rPr>
              <w:t>（1）员工生活污水</w:t>
            </w:r>
          </w:p>
          <w:p w14:paraId="6D6288DB">
            <w:pPr>
              <w:rPr>
                <w:rFonts w:hint="eastAsia"/>
                <w:color w:val="auto"/>
                <w:lang w:val="en-US" w:eastAsia="zh-CN"/>
              </w:rPr>
            </w:pPr>
            <w:r>
              <w:rPr>
                <w:rFonts w:hint="default"/>
                <w:color w:val="auto"/>
                <w:lang w:val="en-US" w:eastAsia="zh-CN"/>
              </w:rPr>
              <w:t>员工生活污水产生系数按0.8计算，则废水产生量为</w:t>
            </w:r>
            <w:r>
              <w:rPr>
                <w:rFonts w:hint="eastAsia"/>
                <w:color w:val="auto"/>
                <w:lang w:val="en-US" w:eastAsia="zh-CN"/>
              </w:rPr>
              <w:t>972m</w:t>
            </w:r>
            <w:r>
              <w:rPr>
                <w:rFonts w:hint="eastAsia"/>
                <w:color w:val="auto"/>
                <w:vertAlign w:val="superscript"/>
                <w:lang w:val="en-US" w:eastAsia="zh-CN"/>
              </w:rPr>
              <w:t>3</w:t>
            </w:r>
            <w:r>
              <w:rPr>
                <w:rFonts w:hint="eastAsia"/>
                <w:color w:val="auto"/>
                <w:lang w:val="en-US" w:eastAsia="zh-CN"/>
              </w:rPr>
              <w:t>/a，经化粪池熟化后用于农肥。</w:t>
            </w:r>
          </w:p>
          <w:p w14:paraId="22D839FD">
            <w:pPr>
              <w:rPr>
                <w:rFonts w:hint="eastAsia"/>
                <w:color w:val="auto"/>
                <w:lang w:val="en-US" w:eastAsia="zh-CN"/>
              </w:rPr>
            </w:pPr>
            <w:r>
              <w:rPr>
                <w:rFonts w:hint="eastAsia"/>
                <w:color w:val="auto"/>
                <w:lang w:val="en-US" w:eastAsia="zh-CN"/>
              </w:rPr>
              <w:t>（2）堆场抑尘废水</w:t>
            </w:r>
          </w:p>
          <w:p w14:paraId="7672DA74">
            <w:pPr>
              <w:rPr>
                <w:rFonts w:hint="eastAsia"/>
                <w:color w:val="auto"/>
                <w:lang w:val="en-US" w:eastAsia="zh-CN"/>
              </w:rPr>
            </w:pPr>
            <w:r>
              <w:rPr>
                <w:rFonts w:hint="eastAsia"/>
                <w:color w:val="auto"/>
                <w:lang w:val="en-US" w:eastAsia="zh-CN"/>
              </w:rPr>
              <w:t>堆场抑尘废水全部蒸发消耗或进入产品，不外排。</w:t>
            </w:r>
          </w:p>
          <w:p w14:paraId="38FE22A5">
            <w:pPr>
              <w:rPr>
                <w:rFonts w:hint="default"/>
                <w:color w:val="auto"/>
                <w:lang w:val="en-US" w:eastAsia="zh-CN"/>
              </w:rPr>
            </w:pPr>
            <w:r>
              <w:rPr>
                <w:rFonts w:hint="eastAsia"/>
                <w:color w:val="auto"/>
                <w:lang w:val="en-US" w:eastAsia="zh-CN"/>
              </w:rPr>
              <w:t>（3）洒水降尘废水</w:t>
            </w:r>
          </w:p>
          <w:p w14:paraId="5F1B0C81">
            <w:pPr>
              <w:rPr>
                <w:rFonts w:hint="eastAsia"/>
                <w:color w:val="auto"/>
                <w:lang w:val="en-US" w:eastAsia="zh-CN"/>
              </w:rPr>
            </w:pPr>
            <w:r>
              <w:rPr>
                <w:rFonts w:hint="eastAsia"/>
                <w:color w:val="auto"/>
                <w:lang w:val="en-US" w:eastAsia="zh-CN"/>
              </w:rPr>
              <w:t>洒水降尘废水全部蒸发消耗或进入产品，不外排。</w:t>
            </w:r>
          </w:p>
          <w:p w14:paraId="6285B7C9">
            <w:pPr>
              <w:rPr>
                <w:rFonts w:hint="eastAsia"/>
                <w:color w:val="auto"/>
                <w:lang w:val="en-US" w:eastAsia="zh-CN"/>
              </w:rPr>
            </w:pPr>
            <w:r>
              <w:rPr>
                <w:rFonts w:hint="eastAsia"/>
                <w:color w:val="auto"/>
                <w:lang w:val="en-US" w:eastAsia="zh-CN"/>
              </w:rPr>
              <w:t>（4）水稳砂生产废水</w:t>
            </w:r>
          </w:p>
          <w:p w14:paraId="61E9C7EA">
            <w:pPr>
              <w:rPr>
                <w:rFonts w:hint="eastAsia"/>
                <w:color w:val="auto"/>
                <w:lang w:val="en-US" w:eastAsia="zh-CN"/>
              </w:rPr>
            </w:pPr>
            <w:r>
              <w:rPr>
                <w:rFonts w:hint="eastAsia"/>
                <w:color w:val="auto"/>
                <w:lang w:val="en-US" w:eastAsia="zh-CN"/>
              </w:rPr>
              <w:t>水稳砂生产废水全部蒸发消耗或进入产品，不外排。</w:t>
            </w:r>
          </w:p>
          <w:p w14:paraId="77895BF1">
            <w:pPr>
              <w:rPr>
                <w:rFonts w:hint="eastAsia"/>
                <w:color w:val="auto"/>
                <w:lang w:val="en-US" w:eastAsia="zh-CN"/>
              </w:rPr>
            </w:pPr>
            <w:r>
              <w:rPr>
                <w:rFonts w:hint="eastAsia"/>
                <w:color w:val="auto"/>
                <w:lang w:val="en-US" w:eastAsia="zh-CN"/>
              </w:rPr>
              <w:t>（5）制砖生产废水</w:t>
            </w:r>
          </w:p>
          <w:p w14:paraId="7030650A">
            <w:pPr>
              <w:rPr>
                <w:rFonts w:hint="eastAsia"/>
                <w:color w:val="auto"/>
                <w:lang w:val="en-US" w:eastAsia="zh-CN"/>
              </w:rPr>
            </w:pPr>
            <w:r>
              <w:rPr>
                <w:rFonts w:hint="eastAsia"/>
                <w:color w:val="auto"/>
                <w:lang w:val="en-US" w:eastAsia="zh-CN"/>
              </w:rPr>
              <w:t>制砖生产废水全部蒸发消耗或进入产品，不外排。</w:t>
            </w:r>
          </w:p>
          <w:p w14:paraId="11B470DF">
            <w:pPr>
              <w:rPr>
                <w:rFonts w:hint="eastAsia"/>
                <w:color w:val="auto"/>
                <w:lang w:val="en-US" w:eastAsia="zh-CN"/>
              </w:rPr>
            </w:pPr>
            <w:r>
              <w:rPr>
                <w:rFonts w:hint="eastAsia"/>
                <w:color w:val="auto"/>
                <w:lang w:val="en-US" w:eastAsia="zh-CN"/>
              </w:rPr>
              <w:t>（6）免烧砖养护废水</w:t>
            </w:r>
          </w:p>
          <w:p w14:paraId="28390A24">
            <w:pPr>
              <w:rPr>
                <w:rFonts w:hint="eastAsia"/>
                <w:color w:val="auto"/>
                <w:lang w:val="en-US" w:eastAsia="zh-CN"/>
              </w:rPr>
            </w:pPr>
            <w:r>
              <w:rPr>
                <w:rFonts w:hint="eastAsia"/>
                <w:color w:val="auto"/>
                <w:lang w:val="en-US" w:eastAsia="zh-CN"/>
              </w:rPr>
              <w:t>免烧砖养护废水全部蒸发消耗或进入产品，不外排。</w:t>
            </w:r>
          </w:p>
          <w:p w14:paraId="1FC70405">
            <w:pPr>
              <w:rPr>
                <w:rFonts w:hint="eastAsia"/>
                <w:color w:val="auto"/>
                <w:lang w:val="en-US" w:eastAsia="zh-CN"/>
              </w:rPr>
            </w:pPr>
            <w:r>
              <w:rPr>
                <w:rFonts w:hint="eastAsia"/>
                <w:color w:val="auto"/>
                <w:lang w:val="en-US" w:eastAsia="zh-CN"/>
              </w:rPr>
              <w:t>（7）道路冲洗废水</w:t>
            </w:r>
          </w:p>
          <w:p w14:paraId="6070F1A2">
            <w:pPr>
              <w:rPr>
                <w:rFonts w:hint="eastAsia"/>
                <w:color w:val="auto"/>
                <w:lang w:val="en-US" w:eastAsia="zh-CN"/>
              </w:rPr>
            </w:pPr>
            <w:r>
              <w:rPr>
                <w:rFonts w:hint="eastAsia"/>
                <w:color w:val="auto"/>
                <w:lang w:val="en-US" w:eastAsia="zh-CN"/>
              </w:rPr>
              <w:t>道路冲洗废水全部蒸发消耗，不外排。</w:t>
            </w:r>
          </w:p>
          <w:p w14:paraId="08C70633">
            <w:pPr>
              <w:rPr>
                <w:rFonts w:hint="default"/>
                <w:color w:val="auto"/>
                <w:lang w:val="en-US" w:eastAsia="zh-CN"/>
              </w:rPr>
            </w:pPr>
            <w:r>
              <w:rPr>
                <w:rFonts w:hint="eastAsia"/>
                <w:color w:val="auto"/>
                <w:lang w:val="en-US" w:eastAsia="zh-CN"/>
              </w:rPr>
              <w:t>（8）车辆冲洗废水</w:t>
            </w:r>
          </w:p>
          <w:p w14:paraId="3F905D03">
            <w:pPr>
              <w:rPr>
                <w:rFonts w:hint="eastAsia"/>
                <w:color w:val="auto"/>
                <w:lang w:val="en-US" w:eastAsia="zh-CN"/>
              </w:rPr>
            </w:pPr>
            <w:r>
              <w:rPr>
                <w:rFonts w:hint="eastAsia"/>
                <w:color w:val="auto"/>
                <w:lang w:val="en-US" w:eastAsia="zh-CN"/>
              </w:rPr>
              <w:t>车辆冲洗废水产生系数按0.8计算，则废水量为505.344m</w:t>
            </w:r>
            <w:r>
              <w:rPr>
                <w:rFonts w:hint="eastAsia"/>
                <w:color w:val="auto"/>
                <w:vertAlign w:val="superscript"/>
                <w:lang w:val="en-US" w:eastAsia="zh-CN"/>
              </w:rPr>
              <w:t>3</w:t>
            </w:r>
            <w:r>
              <w:rPr>
                <w:rFonts w:hint="eastAsia"/>
                <w:color w:val="auto"/>
                <w:lang w:val="en-US" w:eastAsia="zh-CN"/>
              </w:rPr>
              <w:t>/a，导流至隔油池处理，再泵至沉淀池处理后回用于车辆冲洗，不外排。</w:t>
            </w:r>
          </w:p>
          <w:p w14:paraId="4E77ECB4">
            <w:pPr>
              <w:rPr>
                <w:rFonts w:hint="eastAsia"/>
                <w:color w:val="auto"/>
                <w:lang w:val="en-US" w:eastAsia="zh-CN"/>
              </w:rPr>
            </w:pPr>
            <w:r>
              <w:rPr>
                <w:rFonts w:hint="eastAsia"/>
                <w:color w:val="auto"/>
                <w:lang w:val="en-US" w:eastAsia="zh-CN"/>
              </w:rPr>
              <w:t>（9）搅拌机冲洗废水</w:t>
            </w:r>
          </w:p>
          <w:p w14:paraId="4F5374CD">
            <w:pPr>
              <w:rPr>
                <w:rFonts w:hint="default"/>
                <w:color w:val="auto"/>
                <w:lang w:val="en-US" w:eastAsia="zh-CN"/>
              </w:rPr>
            </w:pPr>
            <w:r>
              <w:rPr>
                <w:rFonts w:hint="eastAsia"/>
                <w:color w:val="auto"/>
                <w:lang w:val="en-US" w:eastAsia="zh-CN"/>
              </w:rPr>
              <w:t>搅拌机冲洗废水全部蒸发消耗，不外排。</w:t>
            </w:r>
          </w:p>
          <w:p w14:paraId="487D9B4B">
            <w:pPr>
              <w:rPr>
                <w:rFonts w:hint="eastAsia"/>
                <w:color w:val="auto"/>
                <w:lang w:val="en-US" w:eastAsia="zh-CN"/>
              </w:rPr>
            </w:pPr>
            <w:r>
              <w:rPr>
                <w:rFonts w:hint="eastAsia"/>
                <w:color w:val="auto"/>
                <w:lang w:val="en-US" w:eastAsia="zh-CN"/>
              </w:rPr>
              <w:t>（10）初期雨水</w:t>
            </w:r>
          </w:p>
          <w:p w14:paraId="503D6A2D">
            <w:pPr>
              <w:rPr>
                <w:rFonts w:hint="eastAsia"/>
                <w:color w:val="auto"/>
                <w:lang w:val="en-US" w:eastAsia="zh-CN"/>
              </w:rPr>
            </w:pPr>
            <w:r>
              <w:rPr>
                <w:rFonts w:hint="eastAsia"/>
                <w:color w:val="auto"/>
                <w:lang w:val="en-US" w:eastAsia="zh-CN"/>
              </w:rPr>
              <w:t>径流雨水量使用下式进行计算：</w:t>
            </w:r>
          </w:p>
          <w:p w14:paraId="5AB94E7E">
            <w:pPr>
              <w:pStyle w:val="17"/>
              <w:bidi w:val="0"/>
              <w:rPr>
                <w:rFonts w:hint="default"/>
                <w:color w:val="auto"/>
                <w:lang w:val="en-US" w:eastAsia="zh-CN"/>
              </w:rPr>
            </w:pPr>
            <w:r>
              <w:rPr>
                <w:rFonts w:hint="default"/>
                <w:color w:val="auto"/>
                <w:position w:val="-10"/>
                <w:lang w:val="en-US" w:eastAsia="zh-CN"/>
              </w:rPr>
              <w:object>
                <v:shape id="_x0000_i1025" o:spt="75" type="#_x0000_t75" style="height:16pt;width:67pt;" o:ole="t" filled="f" o:preferrelative="t" stroked="f" coordsize="21600,21600">
                  <v:path/>
                  <v:fill on="f" focussize="0,0"/>
                  <v:stroke on="f"/>
                  <v:imagedata r:id="rId10" o:title=""/>
                  <o:lock v:ext="edit" aspectratio="t"/>
                  <w10:wrap type="none"/>
                  <w10:anchorlock/>
                </v:shape>
                <o:OLEObject Type="Embed" ProgID="Equation.KSEE3" ShapeID="_x0000_i1025" DrawAspect="Content" ObjectID="_1468075725" r:id="rId9">
                  <o:LockedField>false</o:LockedField>
                </o:OLEObject>
              </w:object>
            </w:r>
          </w:p>
          <w:p w14:paraId="0711098B">
            <w:pPr>
              <w:bidi w:val="0"/>
              <w:rPr>
                <w:rFonts w:hint="eastAsia"/>
                <w:color w:val="auto"/>
                <w:lang w:val="en-US" w:eastAsia="zh-CN"/>
              </w:rPr>
            </w:pPr>
            <w:r>
              <w:rPr>
                <w:rFonts w:hint="eastAsia"/>
                <w:color w:val="auto"/>
                <w:lang w:val="en-US" w:eastAsia="zh-CN"/>
              </w:rPr>
              <w:t>式中：Q——径流雨水量，m</w:t>
            </w:r>
            <w:r>
              <w:rPr>
                <w:rFonts w:hint="eastAsia"/>
                <w:color w:val="auto"/>
                <w:vertAlign w:val="superscript"/>
                <w:lang w:val="en-US" w:eastAsia="zh-CN"/>
              </w:rPr>
              <w:t>3</w:t>
            </w:r>
            <w:r>
              <w:rPr>
                <w:rFonts w:hint="eastAsia"/>
                <w:color w:val="auto"/>
                <w:lang w:val="en-US" w:eastAsia="zh-CN"/>
              </w:rPr>
              <w:t>；</w:t>
            </w:r>
          </w:p>
          <w:p w14:paraId="5289A466">
            <w:pPr>
              <w:keepNext w:val="0"/>
              <w:keepLines w:val="0"/>
              <w:pageBreakBefore w:val="0"/>
              <w:widowControl w:val="0"/>
              <w:kinsoku/>
              <w:wordWrap/>
              <w:overflowPunct/>
              <w:topLinePunct w:val="0"/>
              <w:autoSpaceDE/>
              <w:autoSpaceDN/>
              <w:bidi w:val="0"/>
              <w:adjustRightInd w:val="0"/>
              <w:snapToGrid w:val="0"/>
              <w:ind w:firstLine="1200" w:firstLineChars="500"/>
              <w:textAlignment w:val="auto"/>
              <w:rPr>
                <w:rFonts w:hint="eastAsia"/>
                <w:color w:val="auto"/>
                <w:lang w:val="en-US" w:eastAsia="zh-CN"/>
              </w:rPr>
            </w:pPr>
            <w:r>
              <w:rPr>
                <w:rFonts w:hint="eastAsia"/>
                <w:color w:val="auto"/>
                <w:lang w:val="en-US" w:eastAsia="zh-CN"/>
              </w:rPr>
              <w:t>q——降雨量，L/s·ha，参考衡阳市暴雨强度公式计算；</w:t>
            </w:r>
          </w:p>
          <w:p w14:paraId="60D8524C">
            <w:pPr>
              <w:keepNext w:val="0"/>
              <w:keepLines w:val="0"/>
              <w:pageBreakBefore w:val="0"/>
              <w:widowControl w:val="0"/>
              <w:kinsoku/>
              <w:wordWrap/>
              <w:overflowPunct/>
              <w:topLinePunct w:val="0"/>
              <w:autoSpaceDE/>
              <w:autoSpaceDN/>
              <w:bidi w:val="0"/>
              <w:adjustRightInd w:val="0"/>
              <w:snapToGrid w:val="0"/>
              <w:ind w:firstLine="1200" w:firstLineChars="500"/>
              <w:textAlignment w:val="auto"/>
              <w:rPr>
                <w:rFonts w:hint="eastAsia" w:cs="Times New Roman"/>
                <w:color w:val="auto"/>
                <w:lang w:val="en-US" w:eastAsia="zh-CN"/>
              </w:rPr>
            </w:pPr>
            <w:r>
              <w:rPr>
                <w:rFonts w:hint="default" w:ascii="Times New Roman" w:hAnsi="Times New Roman" w:eastAsia="宋体" w:cs="Times New Roman"/>
                <w:color w:val="auto"/>
                <w:lang w:val="en-US" w:eastAsia="zh-CN"/>
              </w:rPr>
              <w:t>ψ</w:t>
            </w:r>
            <w:r>
              <w:rPr>
                <w:rFonts w:hint="eastAsia" w:cs="Times New Roman"/>
                <w:color w:val="auto"/>
                <w:lang w:val="en-US" w:eastAsia="zh-CN"/>
              </w:rPr>
              <w:t>——径流系数，不同地貌选择径流系数详见表2-5；</w:t>
            </w:r>
          </w:p>
          <w:p w14:paraId="1F9F409D">
            <w:pPr>
              <w:keepNext w:val="0"/>
              <w:keepLines w:val="0"/>
              <w:pageBreakBefore w:val="0"/>
              <w:widowControl w:val="0"/>
              <w:kinsoku/>
              <w:wordWrap/>
              <w:overflowPunct/>
              <w:topLinePunct w:val="0"/>
              <w:autoSpaceDE/>
              <w:autoSpaceDN/>
              <w:bidi w:val="0"/>
              <w:adjustRightInd w:val="0"/>
              <w:snapToGrid w:val="0"/>
              <w:ind w:firstLine="1200" w:firstLineChars="500"/>
              <w:textAlignment w:val="auto"/>
              <w:rPr>
                <w:rFonts w:hint="default" w:cs="Times New Roman"/>
                <w:color w:val="auto"/>
                <w:vertAlign w:val="baseline"/>
                <w:lang w:val="en-US" w:eastAsia="zh-CN"/>
              </w:rPr>
            </w:pPr>
            <w:r>
              <w:rPr>
                <w:rFonts w:hint="eastAsia" w:cs="Times New Roman"/>
                <w:color w:val="auto"/>
                <w:lang w:val="en-US" w:eastAsia="zh-CN"/>
              </w:rPr>
              <w:t>F——汇水面积，ha，参考本项目现有环评，汇水面积为11580m</w:t>
            </w:r>
            <w:r>
              <w:rPr>
                <w:rFonts w:hint="eastAsia" w:cs="Times New Roman"/>
                <w:color w:val="auto"/>
                <w:vertAlign w:val="superscript"/>
                <w:lang w:val="en-US" w:eastAsia="zh-CN"/>
              </w:rPr>
              <w:t>2</w:t>
            </w:r>
            <w:r>
              <w:rPr>
                <w:rFonts w:hint="eastAsia" w:cs="Times New Roman"/>
                <w:color w:val="auto"/>
                <w:vertAlign w:val="baseline"/>
                <w:lang w:val="en-US" w:eastAsia="zh-CN"/>
              </w:rPr>
              <w:t>（1.158ha）。</w:t>
            </w:r>
          </w:p>
          <w:p w14:paraId="33205FA6">
            <w:pPr>
              <w:bidi w:val="0"/>
              <w:rPr>
                <w:rFonts w:hint="default"/>
                <w:color w:val="auto"/>
                <w:lang w:val="en-US" w:eastAsia="zh-CN"/>
              </w:rPr>
            </w:pPr>
            <w:r>
              <w:rPr>
                <w:rFonts w:hint="eastAsia"/>
                <w:color w:val="auto"/>
                <w:lang w:val="en-US" w:eastAsia="zh-CN"/>
              </w:rPr>
              <w:t>衡阳市暴雨强度公式如下：</w:t>
            </w:r>
          </w:p>
          <w:p w14:paraId="2B8C2908">
            <w:pPr>
              <w:pStyle w:val="17"/>
              <w:bidi w:val="0"/>
              <w:rPr>
                <w:rFonts w:hint="default"/>
                <w:color w:val="auto"/>
                <w:lang w:val="en-US" w:eastAsia="zh-CN"/>
              </w:rPr>
            </w:pPr>
            <w:r>
              <w:rPr>
                <w:rFonts w:hint="default"/>
                <w:color w:val="auto"/>
                <w:position w:val="-24"/>
                <w:lang w:val="en-US" w:eastAsia="zh-CN"/>
              </w:rPr>
              <w:object>
                <v:shape id="_x0000_i1026" o:spt="75" type="#_x0000_t75" style="height:31pt;width:105pt;" o:ole="t" filled="f" o:preferrelative="t" stroked="f" coordsize="21600,21600">
                  <v:path/>
                  <v:fill on="f" focussize="0,0"/>
                  <v:stroke on="f"/>
                  <v:imagedata r:id="rId12" o:title=""/>
                  <o:lock v:ext="edit" aspectratio="t"/>
                  <w10:wrap type="none"/>
                  <w10:anchorlock/>
                </v:shape>
                <o:OLEObject Type="Embed" ProgID="Equation.KSEE3" ShapeID="_x0000_i1026" DrawAspect="Content" ObjectID="_1468075726" r:id="rId11">
                  <o:LockedField>false</o:LockedField>
                </o:OLEObject>
              </w:object>
            </w:r>
          </w:p>
          <w:p w14:paraId="304B941B">
            <w:pPr>
              <w:bidi w:val="0"/>
              <w:rPr>
                <w:rFonts w:hint="eastAsia"/>
                <w:color w:val="auto"/>
                <w:lang w:val="en-US" w:eastAsia="zh-CN"/>
              </w:rPr>
            </w:pPr>
            <w:r>
              <w:rPr>
                <w:rFonts w:hint="eastAsia"/>
                <w:color w:val="auto"/>
                <w:lang w:val="en-US" w:eastAsia="zh-CN"/>
              </w:rPr>
              <w:t>式中：P——设计降雨重现期，a，本次评价取1年；</w:t>
            </w:r>
          </w:p>
          <w:p w14:paraId="78D1ABE0">
            <w:pPr>
              <w:keepNext w:val="0"/>
              <w:keepLines w:val="0"/>
              <w:pageBreakBefore w:val="0"/>
              <w:widowControl w:val="0"/>
              <w:kinsoku/>
              <w:wordWrap/>
              <w:overflowPunct/>
              <w:topLinePunct w:val="0"/>
              <w:autoSpaceDE/>
              <w:autoSpaceDN/>
              <w:bidi w:val="0"/>
              <w:adjustRightInd w:val="0"/>
              <w:snapToGrid w:val="0"/>
              <w:ind w:firstLine="1200" w:firstLineChars="500"/>
              <w:textAlignment w:val="auto"/>
              <w:rPr>
                <w:rFonts w:hint="eastAsia"/>
                <w:color w:val="auto"/>
                <w:lang w:val="en-US" w:eastAsia="zh-CN"/>
              </w:rPr>
            </w:pPr>
            <w:r>
              <w:rPr>
                <w:rFonts w:hint="eastAsia"/>
                <w:color w:val="auto"/>
                <w:lang w:val="en-US" w:eastAsia="zh-CN"/>
              </w:rPr>
              <w:t>t——初期雨水时间，min，本次评价取15分钟。</w:t>
            </w:r>
          </w:p>
          <w:p w14:paraId="32435EA9">
            <w:pPr>
              <w:pStyle w:val="18"/>
              <w:bidi w:val="0"/>
              <w:rPr>
                <w:rFonts w:hint="eastAsia"/>
                <w:color w:val="auto"/>
                <w:lang w:val="en-US" w:eastAsia="zh-CN"/>
              </w:rPr>
            </w:pPr>
            <w:r>
              <w:rPr>
                <w:rFonts w:hint="eastAsia"/>
                <w:color w:val="auto"/>
                <w:lang w:val="en-US" w:eastAsia="zh-CN"/>
              </w:rPr>
              <w:t>表2-5 根据不同地貌选择径流系数一览表</w:t>
            </w:r>
          </w:p>
          <w:tbl>
            <w:tblPr>
              <w:tblStyle w:val="1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3"/>
              <w:gridCol w:w="1845"/>
            </w:tblGrid>
            <w:tr w14:paraId="69B61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8" w:type="pct"/>
                </w:tcPr>
                <w:p w14:paraId="73B367ED">
                  <w:pPr>
                    <w:pStyle w:val="17"/>
                    <w:rPr>
                      <w:rFonts w:hint="default"/>
                      <w:color w:val="auto"/>
                      <w:vertAlign w:val="baseline"/>
                      <w:lang w:val="en-US" w:eastAsia="zh-CN"/>
                    </w:rPr>
                  </w:pPr>
                  <w:r>
                    <w:rPr>
                      <w:rFonts w:hint="eastAsia"/>
                      <w:color w:val="auto"/>
                      <w:vertAlign w:val="baseline"/>
                      <w:lang w:val="en-US" w:eastAsia="zh-CN"/>
                    </w:rPr>
                    <w:t>地貌类型</w:t>
                  </w:r>
                </w:p>
              </w:tc>
              <w:tc>
                <w:tcPr>
                  <w:tcW w:w="1101" w:type="pct"/>
                </w:tcPr>
                <w:p w14:paraId="409EB781">
                  <w:pPr>
                    <w:pStyle w:val="17"/>
                    <w:rPr>
                      <w:rFonts w:hint="default"/>
                      <w:color w:val="auto"/>
                      <w:vertAlign w:val="baseline"/>
                      <w:lang w:val="en-US" w:eastAsia="zh-CN"/>
                    </w:rPr>
                  </w:pPr>
                  <w:r>
                    <w:rPr>
                      <w:rFonts w:hint="eastAsia"/>
                      <w:color w:val="auto"/>
                      <w:vertAlign w:val="baseline"/>
                      <w:lang w:val="en-US" w:eastAsia="zh-CN"/>
                    </w:rPr>
                    <w:t>径流系数</w:t>
                  </w:r>
                  <w:r>
                    <w:rPr>
                      <w:rFonts w:hint="default" w:ascii="Times New Roman" w:hAnsi="Times New Roman" w:eastAsia="宋体" w:cs="Times New Roman"/>
                      <w:color w:val="auto"/>
                      <w:lang w:val="en-US" w:eastAsia="zh-CN"/>
                    </w:rPr>
                    <w:t>ψ</w:t>
                  </w:r>
                </w:p>
              </w:tc>
            </w:tr>
            <w:tr w14:paraId="23F90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8" w:type="pct"/>
                </w:tcPr>
                <w:p w14:paraId="39934393">
                  <w:pPr>
                    <w:pStyle w:val="17"/>
                    <w:rPr>
                      <w:rFonts w:hint="default"/>
                      <w:color w:val="auto"/>
                      <w:vertAlign w:val="baseline"/>
                      <w:lang w:val="en-US" w:eastAsia="zh-CN"/>
                    </w:rPr>
                  </w:pPr>
                  <w:r>
                    <w:rPr>
                      <w:rFonts w:hint="eastAsia"/>
                      <w:color w:val="auto"/>
                      <w:vertAlign w:val="baseline"/>
                      <w:lang w:val="en-US" w:eastAsia="zh-CN"/>
                    </w:rPr>
                    <w:t>各种屋面、混凝土和沥青路面</w:t>
                  </w:r>
                </w:p>
              </w:tc>
              <w:tc>
                <w:tcPr>
                  <w:tcW w:w="1101" w:type="pct"/>
                </w:tcPr>
                <w:p w14:paraId="4237D351">
                  <w:pPr>
                    <w:pStyle w:val="17"/>
                    <w:rPr>
                      <w:rFonts w:hint="default"/>
                      <w:color w:val="auto"/>
                      <w:vertAlign w:val="baseline"/>
                      <w:lang w:val="en-US" w:eastAsia="zh-CN"/>
                    </w:rPr>
                  </w:pPr>
                  <w:r>
                    <w:rPr>
                      <w:rFonts w:hint="eastAsia"/>
                      <w:color w:val="auto"/>
                      <w:vertAlign w:val="baseline"/>
                      <w:lang w:val="en-US" w:eastAsia="zh-CN"/>
                    </w:rPr>
                    <w:t>0.90</w:t>
                  </w:r>
                </w:p>
              </w:tc>
            </w:tr>
            <w:tr w14:paraId="0988B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8" w:type="pct"/>
                </w:tcPr>
                <w:p w14:paraId="221CC146">
                  <w:pPr>
                    <w:pStyle w:val="17"/>
                    <w:rPr>
                      <w:rFonts w:hint="default"/>
                      <w:color w:val="auto"/>
                      <w:vertAlign w:val="baseline"/>
                      <w:lang w:val="en-US" w:eastAsia="zh-CN"/>
                    </w:rPr>
                  </w:pPr>
                  <w:r>
                    <w:rPr>
                      <w:rFonts w:hint="eastAsia"/>
                      <w:color w:val="auto"/>
                      <w:vertAlign w:val="baseline"/>
                      <w:lang w:val="en-US" w:eastAsia="zh-CN"/>
                    </w:rPr>
                    <w:t>大块石铺砌路面、沥青表面处理的碎石路面</w:t>
                  </w:r>
                </w:p>
              </w:tc>
              <w:tc>
                <w:tcPr>
                  <w:tcW w:w="1101" w:type="pct"/>
                </w:tcPr>
                <w:p w14:paraId="5EF0AE6A">
                  <w:pPr>
                    <w:pStyle w:val="17"/>
                    <w:rPr>
                      <w:rFonts w:hint="default"/>
                      <w:color w:val="auto"/>
                      <w:vertAlign w:val="baseline"/>
                      <w:lang w:val="en-US" w:eastAsia="zh-CN"/>
                    </w:rPr>
                  </w:pPr>
                  <w:r>
                    <w:rPr>
                      <w:rFonts w:hint="eastAsia"/>
                      <w:color w:val="auto"/>
                      <w:vertAlign w:val="baseline"/>
                      <w:lang w:val="en-US" w:eastAsia="zh-CN"/>
                    </w:rPr>
                    <w:t>0.60</w:t>
                  </w:r>
                </w:p>
              </w:tc>
            </w:tr>
            <w:tr w14:paraId="49DA6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8" w:type="pct"/>
                </w:tcPr>
                <w:p w14:paraId="4D7F6DE3">
                  <w:pPr>
                    <w:pStyle w:val="17"/>
                    <w:rPr>
                      <w:rFonts w:hint="default"/>
                      <w:color w:val="auto"/>
                      <w:vertAlign w:val="baseline"/>
                      <w:lang w:val="en-US" w:eastAsia="zh-CN"/>
                    </w:rPr>
                  </w:pPr>
                  <w:r>
                    <w:rPr>
                      <w:rFonts w:hint="eastAsia"/>
                      <w:color w:val="auto"/>
                      <w:vertAlign w:val="baseline"/>
                      <w:lang w:val="en-US" w:eastAsia="zh-CN"/>
                    </w:rPr>
                    <w:t>级配碎石路面</w:t>
                  </w:r>
                </w:p>
              </w:tc>
              <w:tc>
                <w:tcPr>
                  <w:tcW w:w="1101" w:type="pct"/>
                </w:tcPr>
                <w:p w14:paraId="55A41594">
                  <w:pPr>
                    <w:pStyle w:val="17"/>
                    <w:rPr>
                      <w:rFonts w:hint="default"/>
                      <w:color w:val="auto"/>
                      <w:vertAlign w:val="baseline"/>
                      <w:lang w:val="en-US" w:eastAsia="zh-CN"/>
                    </w:rPr>
                  </w:pPr>
                  <w:r>
                    <w:rPr>
                      <w:rFonts w:hint="eastAsia"/>
                      <w:color w:val="auto"/>
                      <w:vertAlign w:val="baseline"/>
                      <w:lang w:val="en-US" w:eastAsia="zh-CN"/>
                    </w:rPr>
                    <w:t>0.45</w:t>
                  </w:r>
                </w:p>
              </w:tc>
            </w:tr>
            <w:tr w14:paraId="5FB42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8" w:type="pct"/>
                </w:tcPr>
                <w:p w14:paraId="1F7603DD">
                  <w:pPr>
                    <w:pStyle w:val="17"/>
                    <w:rPr>
                      <w:rFonts w:hint="default"/>
                      <w:color w:val="auto"/>
                      <w:vertAlign w:val="baseline"/>
                      <w:lang w:val="en-US" w:eastAsia="zh-CN"/>
                    </w:rPr>
                  </w:pPr>
                  <w:r>
                    <w:rPr>
                      <w:rFonts w:hint="eastAsia"/>
                      <w:color w:val="auto"/>
                      <w:vertAlign w:val="baseline"/>
                      <w:lang w:val="en-US" w:eastAsia="zh-CN"/>
                    </w:rPr>
                    <w:t>干砌砖石和碎石路面</w:t>
                  </w:r>
                </w:p>
              </w:tc>
              <w:tc>
                <w:tcPr>
                  <w:tcW w:w="1101" w:type="pct"/>
                </w:tcPr>
                <w:p w14:paraId="564EE7DF">
                  <w:pPr>
                    <w:pStyle w:val="17"/>
                    <w:rPr>
                      <w:rFonts w:hint="default"/>
                      <w:color w:val="auto"/>
                      <w:vertAlign w:val="baseline"/>
                      <w:lang w:val="en-US" w:eastAsia="zh-CN"/>
                    </w:rPr>
                  </w:pPr>
                  <w:r>
                    <w:rPr>
                      <w:rFonts w:hint="eastAsia"/>
                      <w:color w:val="auto"/>
                      <w:vertAlign w:val="baseline"/>
                      <w:lang w:val="en-US" w:eastAsia="zh-CN"/>
                    </w:rPr>
                    <w:t>0.40</w:t>
                  </w:r>
                </w:p>
              </w:tc>
            </w:tr>
            <w:tr w14:paraId="05D45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8" w:type="pct"/>
                </w:tcPr>
                <w:p w14:paraId="0537B8AB">
                  <w:pPr>
                    <w:pStyle w:val="17"/>
                    <w:rPr>
                      <w:rFonts w:hint="default"/>
                      <w:color w:val="auto"/>
                      <w:vertAlign w:val="baseline"/>
                      <w:lang w:val="en-US" w:eastAsia="zh-CN"/>
                    </w:rPr>
                  </w:pPr>
                  <w:r>
                    <w:rPr>
                      <w:rFonts w:hint="eastAsia"/>
                      <w:color w:val="auto"/>
                      <w:vertAlign w:val="baseline"/>
                      <w:lang w:val="en-US" w:eastAsia="zh-CN"/>
                    </w:rPr>
                    <w:t>非铺砌土地面</w:t>
                  </w:r>
                </w:p>
              </w:tc>
              <w:tc>
                <w:tcPr>
                  <w:tcW w:w="1101" w:type="pct"/>
                </w:tcPr>
                <w:p w14:paraId="4E7F316F">
                  <w:pPr>
                    <w:pStyle w:val="17"/>
                    <w:rPr>
                      <w:rFonts w:hint="default"/>
                      <w:color w:val="auto"/>
                      <w:vertAlign w:val="baseline"/>
                      <w:lang w:val="en-US" w:eastAsia="zh-CN"/>
                    </w:rPr>
                  </w:pPr>
                  <w:r>
                    <w:rPr>
                      <w:rFonts w:hint="eastAsia"/>
                      <w:color w:val="auto"/>
                      <w:vertAlign w:val="baseline"/>
                      <w:lang w:val="en-US" w:eastAsia="zh-CN"/>
                    </w:rPr>
                    <w:t>0.30</w:t>
                  </w:r>
                </w:p>
              </w:tc>
            </w:tr>
            <w:tr w14:paraId="05C57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8" w:type="pct"/>
                </w:tcPr>
                <w:p w14:paraId="7D48A8AC">
                  <w:pPr>
                    <w:pStyle w:val="17"/>
                    <w:rPr>
                      <w:rFonts w:hint="default"/>
                      <w:color w:val="auto"/>
                      <w:vertAlign w:val="baseline"/>
                      <w:lang w:val="en-US" w:eastAsia="zh-CN"/>
                    </w:rPr>
                  </w:pPr>
                  <w:r>
                    <w:rPr>
                      <w:rFonts w:hint="eastAsia"/>
                      <w:color w:val="auto"/>
                      <w:vertAlign w:val="baseline"/>
                      <w:lang w:val="en-US" w:eastAsia="zh-CN"/>
                    </w:rPr>
                    <w:t>绿地和草地</w:t>
                  </w:r>
                </w:p>
              </w:tc>
              <w:tc>
                <w:tcPr>
                  <w:tcW w:w="1101" w:type="pct"/>
                </w:tcPr>
                <w:p w14:paraId="33C22B37">
                  <w:pPr>
                    <w:pStyle w:val="17"/>
                    <w:rPr>
                      <w:rFonts w:hint="default"/>
                      <w:color w:val="auto"/>
                      <w:vertAlign w:val="baseline"/>
                      <w:lang w:val="en-US" w:eastAsia="zh-CN"/>
                    </w:rPr>
                  </w:pPr>
                  <w:r>
                    <w:rPr>
                      <w:rFonts w:hint="eastAsia"/>
                      <w:color w:val="auto"/>
                      <w:vertAlign w:val="baseline"/>
                      <w:lang w:val="en-US" w:eastAsia="zh-CN"/>
                    </w:rPr>
                    <w:t>0.15</w:t>
                  </w:r>
                </w:p>
              </w:tc>
            </w:tr>
          </w:tbl>
          <w:p w14:paraId="6CD320BF">
            <w:pPr>
              <w:bidi w:val="0"/>
              <w:rPr>
                <w:rFonts w:hint="default"/>
                <w:color w:val="auto"/>
                <w:lang w:val="en-US" w:eastAsia="zh-CN"/>
              </w:rPr>
            </w:pPr>
            <w:r>
              <w:rPr>
                <w:rFonts w:hint="eastAsia"/>
                <w:color w:val="auto"/>
                <w:lang w:val="en-US" w:eastAsia="zh-CN"/>
              </w:rPr>
              <w:t>本项目地貌类型属于</w:t>
            </w:r>
            <w:r>
              <w:rPr>
                <w:rFonts w:hint="eastAsia"/>
                <w:color w:val="auto"/>
                <w:vertAlign w:val="baseline"/>
                <w:lang w:val="en-US" w:eastAsia="zh-CN"/>
              </w:rPr>
              <w:t>各种屋面、混凝土和沥青路面，故径流系数</w:t>
            </w:r>
            <w:r>
              <w:rPr>
                <w:rFonts w:hint="default" w:ascii="Times New Roman" w:hAnsi="Times New Roman" w:eastAsia="宋体" w:cs="Times New Roman"/>
                <w:color w:val="auto"/>
                <w:lang w:val="en-US" w:eastAsia="zh-CN"/>
              </w:rPr>
              <w:t>ψ</w:t>
            </w:r>
            <w:r>
              <w:rPr>
                <w:rFonts w:hint="eastAsia" w:ascii="Times New Roman" w:hAnsi="Times New Roman" w:eastAsia="宋体" w:cs="Times New Roman"/>
                <w:color w:val="auto"/>
                <w:lang w:val="en-US" w:eastAsia="zh-CN"/>
              </w:rPr>
              <w:t>取0.90。</w:t>
            </w:r>
          </w:p>
          <w:p w14:paraId="37BFA4E1">
            <w:pPr>
              <w:bidi w:val="0"/>
              <w:rPr>
                <w:rFonts w:hint="default"/>
                <w:color w:val="auto"/>
                <w:lang w:val="en-US" w:eastAsia="zh-CN"/>
              </w:rPr>
            </w:pPr>
            <w:r>
              <w:rPr>
                <w:rFonts w:hint="eastAsia"/>
                <w:color w:val="auto"/>
                <w:lang w:val="en-US" w:eastAsia="zh-CN"/>
              </w:rPr>
              <w:t>计算得暴雨量为190.54L/s·ha，则雨水流量为198.58L/s，15min的汇水时间，初期雨水量为178.722m</w:t>
            </w:r>
            <w:r>
              <w:rPr>
                <w:rFonts w:hint="eastAsia"/>
                <w:color w:val="auto"/>
                <w:vertAlign w:val="superscript"/>
                <w:lang w:val="en-US" w:eastAsia="zh-CN"/>
              </w:rPr>
              <w:t>3</w:t>
            </w:r>
            <w:r>
              <w:rPr>
                <w:rFonts w:hint="eastAsia"/>
                <w:color w:val="auto"/>
                <w:lang w:val="en-US" w:eastAsia="zh-CN"/>
              </w:rPr>
              <w:t>/次，年暴雨次数取20，则雨水总量为3574.44m</w:t>
            </w:r>
            <w:r>
              <w:rPr>
                <w:rFonts w:hint="eastAsia"/>
                <w:color w:val="auto"/>
                <w:vertAlign w:val="superscript"/>
                <w:lang w:val="en-US" w:eastAsia="zh-CN"/>
              </w:rPr>
              <w:t>3</w:t>
            </w:r>
            <w:r>
              <w:rPr>
                <w:rFonts w:hint="eastAsia"/>
                <w:color w:val="auto"/>
                <w:lang w:val="en-US" w:eastAsia="zh-CN"/>
              </w:rPr>
              <w:t>/a。初期雨水的污染因子主要有SS，产生浓度为600mg/L。需对收集的雨水进行强化絮凝沉淀处理，初期雨水池容积为178.722m</w:t>
            </w:r>
            <w:r>
              <w:rPr>
                <w:rFonts w:hint="eastAsia"/>
                <w:color w:val="auto"/>
                <w:vertAlign w:val="superscript"/>
                <w:lang w:val="en-US" w:eastAsia="zh-CN"/>
              </w:rPr>
              <w:t>3</w:t>
            </w:r>
            <w:r>
              <w:rPr>
                <w:rFonts w:hint="eastAsia"/>
                <w:color w:val="auto"/>
                <w:lang w:val="en-US" w:eastAsia="zh-CN"/>
              </w:rPr>
              <w:t>，考虑到1.1的安全系数，初期雨水池容积需大于200m</w:t>
            </w:r>
            <w:r>
              <w:rPr>
                <w:rFonts w:hint="eastAsia"/>
                <w:color w:val="auto"/>
                <w:vertAlign w:val="superscript"/>
                <w:lang w:val="en-US" w:eastAsia="zh-CN"/>
              </w:rPr>
              <w:t>3</w:t>
            </w:r>
            <w:r>
              <w:rPr>
                <w:rFonts w:hint="eastAsia"/>
                <w:color w:val="auto"/>
                <w:lang w:val="en-US" w:eastAsia="zh-CN"/>
              </w:rPr>
              <w:t>。本项目厂区西面已设置初期雨水池1座，容积200m</w:t>
            </w:r>
            <w:r>
              <w:rPr>
                <w:rFonts w:hint="eastAsia"/>
                <w:color w:val="auto"/>
                <w:vertAlign w:val="superscript"/>
                <w:lang w:val="en-US" w:eastAsia="zh-CN"/>
              </w:rPr>
              <w:t>3</w:t>
            </w:r>
            <w:r>
              <w:rPr>
                <w:rFonts w:hint="eastAsia"/>
                <w:color w:val="auto"/>
                <w:lang w:val="en-US" w:eastAsia="zh-CN"/>
              </w:rPr>
              <w:t>，可满足厂区初期雨水收集需求。</w:t>
            </w:r>
            <w:r>
              <w:rPr>
                <w:bCs/>
                <w:color w:val="auto"/>
                <w:sz w:val="24"/>
                <w:u w:val="none"/>
              </w:rPr>
              <w:t>项目厂区四周（包含作业区、原料堆场、成品堆场等）设置环形截水排水沟，厂区西侧最低位处配套设置</w:t>
            </w:r>
            <w:r>
              <w:rPr>
                <w:rFonts w:hint="eastAsia"/>
                <w:bCs/>
                <w:color w:val="auto"/>
                <w:sz w:val="24"/>
                <w:u w:val="none"/>
              </w:rPr>
              <w:t>初期雨水池</w:t>
            </w:r>
            <w:r>
              <w:rPr>
                <w:bCs/>
                <w:color w:val="auto"/>
                <w:sz w:val="24"/>
                <w:u w:val="none"/>
              </w:rPr>
              <w:t>，初期雨水经收集沉淀后经专用回用水泵将上清液抽至配套回用水池暂存，用于</w:t>
            </w:r>
            <w:r>
              <w:rPr>
                <w:rFonts w:hint="eastAsia"/>
                <w:bCs/>
                <w:color w:val="auto"/>
                <w:sz w:val="24"/>
                <w:u w:val="none"/>
                <w:lang w:val="en-US" w:eastAsia="zh-CN"/>
              </w:rPr>
              <w:t>洒水降尘</w:t>
            </w:r>
            <w:r>
              <w:rPr>
                <w:bCs/>
                <w:color w:val="auto"/>
                <w:sz w:val="24"/>
                <w:u w:val="none"/>
              </w:rPr>
              <w:t>，不外排。</w:t>
            </w:r>
          </w:p>
          <w:p w14:paraId="6821CCA2">
            <w:pPr>
              <w:rPr>
                <w:rFonts w:hint="eastAsia"/>
                <w:color w:val="auto"/>
                <w:lang w:val="en-US" w:eastAsia="zh-CN"/>
              </w:rPr>
            </w:pPr>
            <w:r>
              <w:rPr>
                <w:rFonts w:hint="eastAsia"/>
                <w:color w:val="auto"/>
                <w:lang w:val="en-US" w:eastAsia="zh-CN"/>
              </w:rPr>
              <w:t>综上，本项目给排水量情况详见表2-6，水平衡图详见图2-1。</w:t>
            </w:r>
          </w:p>
          <w:p w14:paraId="041E3562">
            <w:pPr>
              <w:pStyle w:val="18"/>
              <w:bidi w:val="0"/>
              <w:rPr>
                <w:rFonts w:hint="eastAsia"/>
                <w:color w:val="auto"/>
                <w:lang w:val="en-US" w:eastAsia="zh-CN"/>
              </w:rPr>
            </w:pPr>
            <w:r>
              <w:rPr>
                <w:rFonts w:hint="eastAsia"/>
                <w:color w:val="auto"/>
                <w:lang w:val="en-US" w:eastAsia="zh-CN"/>
              </w:rPr>
              <w:t>表2-6 项目给排水量一览表</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5"/>
              <w:gridCol w:w="900"/>
              <w:gridCol w:w="938"/>
              <w:gridCol w:w="918"/>
              <w:gridCol w:w="938"/>
              <w:gridCol w:w="999"/>
              <w:gridCol w:w="2602"/>
            </w:tblGrid>
            <w:tr w14:paraId="70933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47" w:type="pct"/>
                  <w:noWrap w:val="0"/>
                  <w:vAlign w:val="center"/>
                </w:tcPr>
                <w:p w14:paraId="2E204204">
                  <w:pPr>
                    <w:pStyle w:val="17"/>
                    <w:jc w:val="center"/>
                    <w:rPr>
                      <w:rFonts w:hint="default"/>
                      <w:color w:val="auto"/>
                      <w:vertAlign w:val="baseline"/>
                      <w:lang w:val="en-US" w:eastAsia="zh-CN"/>
                    </w:rPr>
                  </w:pPr>
                  <w:r>
                    <w:rPr>
                      <w:rFonts w:hint="eastAsia"/>
                      <w:color w:val="auto"/>
                      <w:vertAlign w:val="baseline"/>
                      <w:lang w:val="en-US" w:eastAsia="zh-CN"/>
                    </w:rPr>
                    <w:t>用水工序</w:t>
                  </w:r>
                </w:p>
              </w:tc>
              <w:tc>
                <w:tcPr>
                  <w:tcW w:w="536" w:type="pct"/>
                  <w:noWrap w:val="0"/>
                  <w:vAlign w:val="center"/>
                </w:tcPr>
                <w:p w14:paraId="203DA1C2">
                  <w:pPr>
                    <w:pStyle w:val="17"/>
                    <w:jc w:val="center"/>
                    <w:rPr>
                      <w:rFonts w:hint="default"/>
                      <w:color w:val="auto"/>
                      <w:vertAlign w:val="baseline"/>
                      <w:lang w:val="en-US" w:eastAsia="zh-CN"/>
                    </w:rPr>
                  </w:pPr>
                  <w:r>
                    <w:rPr>
                      <w:rFonts w:hint="eastAsia"/>
                      <w:color w:val="auto"/>
                      <w:vertAlign w:val="baseline"/>
                      <w:lang w:val="en-US" w:eastAsia="zh-CN"/>
                    </w:rPr>
                    <w:t>总用水量</w:t>
                  </w:r>
                </w:p>
              </w:tc>
              <w:tc>
                <w:tcPr>
                  <w:tcW w:w="559" w:type="pct"/>
                  <w:noWrap w:val="0"/>
                  <w:vAlign w:val="center"/>
                </w:tcPr>
                <w:p w14:paraId="36290C45">
                  <w:pPr>
                    <w:pStyle w:val="17"/>
                    <w:jc w:val="center"/>
                    <w:rPr>
                      <w:rFonts w:hint="default"/>
                      <w:color w:val="auto"/>
                      <w:vertAlign w:val="baseline"/>
                      <w:lang w:val="en-US" w:eastAsia="zh-CN"/>
                    </w:rPr>
                  </w:pPr>
                  <w:r>
                    <w:rPr>
                      <w:rFonts w:hint="eastAsia"/>
                      <w:color w:val="auto"/>
                      <w:vertAlign w:val="baseline"/>
                      <w:lang w:val="en-US" w:eastAsia="zh-CN"/>
                    </w:rPr>
                    <w:t>池塘水、井水用量</w:t>
                  </w:r>
                </w:p>
              </w:tc>
              <w:tc>
                <w:tcPr>
                  <w:tcW w:w="547" w:type="pct"/>
                  <w:noWrap w:val="0"/>
                  <w:vAlign w:val="center"/>
                </w:tcPr>
                <w:p w14:paraId="2AE38B07">
                  <w:pPr>
                    <w:pStyle w:val="17"/>
                    <w:jc w:val="center"/>
                    <w:rPr>
                      <w:rFonts w:hint="default"/>
                      <w:color w:val="auto"/>
                      <w:vertAlign w:val="baseline"/>
                      <w:lang w:val="en-US" w:eastAsia="zh-CN"/>
                    </w:rPr>
                  </w:pPr>
                  <w:r>
                    <w:rPr>
                      <w:rFonts w:hint="eastAsia"/>
                      <w:color w:val="auto"/>
                      <w:vertAlign w:val="baseline"/>
                      <w:lang w:val="en-US" w:eastAsia="zh-CN"/>
                    </w:rPr>
                    <w:t>循环水量</w:t>
                  </w:r>
                </w:p>
              </w:tc>
              <w:tc>
                <w:tcPr>
                  <w:tcW w:w="559" w:type="pct"/>
                  <w:noWrap w:val="0"/>
                  <w:vAlign w:val="center"/>
                </w:tcPr>
                <w:p w14:paraId="1535956E">
                  <w:pPr>
                    <w:pStyle w:val="17"/>
                    <w:jc w:val="center"/>
                    <w:rPr>
                      <w:rFonts w:hint="default"/>
                      <w:color w:val="auto"/>
                      <w:vertAlign w:val="baseline"/>
                      <w:lang w:val="en-US" w:eastAsia="zh-CN"/>
                    </w:rPr>
                  </w:pPr>
                  <w:r>
                    <w:rPr>
                      <w:rFonts w:hint="eastAsia"/>
                      <w:color w:val="auto"/>
                      <w:vertAlign w:val="baseline"/>
                      <w:lang w:val="en-US" w:eastAsia="zh-CN"/>
                    </w:rPr>
                    <w:t>损耗量</w:t>
                  </w:r>
                </w:p>
              </w:tc>
              <w:tc>
                <w:tcPr>
                  <w:tcW w:w="596" w:type="pct"/>
                  <w:noWrap w:val="0"/>
                  <w:vAlign w:val="center"/>
                </w:tcPr>
                <w:p w14:paraId="51834BC8">
                  <w:pPr>
                    <w:pStyle w:val="17"/>
                    <w:jc w:val="center"/>
                    <w:rPr>
                      <w:rFonts w:hint="default"/>
                      <w:color w:val="auto"/>
                      <w:vertAlign w:val="baseline"/>
                      <w:lang w:val="en-US" w:eastAsia="zh-CN"/>
                    </w:rPr>
                  </w:pPr>
                  <w:r>
                    <w:rPr>
                      <w:rFonts w:hint="eastAsia"/>
                      <w:color w:val="auto"/>
                      <w:vertAlign w:val="baseline"/>
                      <w:lang w:val="en-US" w:eastAsia="zh-CN"/>
                    </w:rPr>
                    <w:t>用作农肥</w:t>
                  </w:r>
                </w:p>
              </w:tc>
              <w:tc>
                <w:tcPr>
                  <w:tcW w:w="1552" w:type="pct"/>
                  <w:noWrap w:val="0"/>
                  <w:vAlign w:val="center"/>
                </w:tcPr>
                <w:p w14:paraId="28DF93CF">
                  <w:pPr>
                    <w:pStyle w:val="17"/>
                    <w:jc w:val="center"/>
                    <w:rPr>
                      <w:rFonts w:hint="default"/>
                      <w:color w:val="auto"/>
                      <w:vertAlign w:val="baseline"/>
                      <w:lang w:val="en-US" w:eastAsia="zh-CN"/>
                    </w:rPr>
                  </w:pPr>
                  <w:r>
                    <w:rPr>
                      <w:rFonts w:hint="eastAsia"/>
                      <w:color w:val="auto"/>
                      <w:vertAlign w:val="baseline"/>
                      <w:lang w:val="en-US" w:eastAsia="zh-CN"/>
                    </w:rPr>
                    <w:t>去向</w:t>
                  </w:r>
                </w:p>
              </w:tc>
            </w:tr>
            <w:tr w14:paraId="3EC01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47" w:type="pct"/>
                  <w:noWrap w:val="0"/>
                  <w:vAlign w:val="center"/>
                </w:tcPr>
                <w:p w14:paraId="5C307991">
                  <w:pPr>
                    <w:pStyle w:val="17"/>
                    <w:jc w:val="center"/>
                    <w:rPr>
                      <w:rFonts w:hint="default"/>
                      <w:color w:val="auto"/>
                      <w:vertAlign w:val="baseline"/>
                      <w:lang w:val="en-US" w:eastAsia="zh-CN"/>
                    </w:rPr>
                  </w:pPr>
                  <w:r>
                    <w:rPr>
                      <w:rFonts w:hint="eastAsia"/>
                      <w:color w:val="auto"/>
                      <w:vertAlign w:val="baseline"/>
                      <w:lang w:val="en-US" w:eastAsia="zh-CN"/>
                    </w:rPr>
                    <w:t>生活用水</w:t>
                  </w:r>
                </w:p>
              </w:tc>
              <w:tc>
                <w:tcPr>
                  <w:tcW w:w="536" w:type="pct"/>
                  <w:noWrap w:val="0"/>
                  <w:vAlign w:val="center"/>
                </w:tcPr>
                <w:p w14:paraId="0D8B6B1A">
                  <w:pPr>
                    <w:pStyle w:val="17"/>
                    <w:bidi w:val="0"/>
                    <w:rPr>
                      <w:rFonts w:hint="default"/>
                      <w:color w:val="auto"/>
                      <w:lang w:val="en-US" w:eastAsia="zh-CN"/>
                    </w:rPr>
                  </w:pPr>
                  <w:r>
                    <w:rPr>
                      <w:rFonts w:hint="default"/>
                      <w:color w:val="auto"/>
                      <w:lang w:val="en-US" w:eastAsia="zh-CN"/>
                    </w:rPr>
                    <w:t>4.05</w:t>
                  </w:r>
                </w:p>
              </w:tc>
              <w:tc>
                <w:tcPr>
                  <w:tcW w:w="559" w:type="pct"/>
                  <w:noWrap w:val="0"/>
                  <w:vAlign w:val="center"/>
                </w:tcPr>
                <w:p w14:paraId="23CCBB75">
                  <w:pPr>
                    <w:pStyle w:val="17"/>
                    <w:bidi w:val="0"/>
                    <w:rPr>
                      <w:rFonts w:hint="default"/>
                      <w:color w:val="auto"/>
                      <w:lang w:val="en-US" w:eastAsia="zh-CN"/>
                    </w:rPr>
                  </w:pPr>
                  <w:r>
                    <w:rPr>
                      <w:rFonts w:hint="default"/>
                      <w:color w:val="auto"/>
                      <w:lang w:val="en-US" w:eastAsia="zh-CN"/>
                    </w:rPr>
                    <w:t>4.05</w:t>
                  </w:r>
                </w:p>
              </w:tc>
              <w:tc>
                <w:tcPr>
                  <w:tcW w:w="547" w:type="pct"/>
                  <w:noWrap w:val="0"/>
                  <w:vAlign w:val="center"/>
                </w:tcPr>
                <w:p w14:paraId="345BEF99">
                  <w:pPr>
                    <w:pStyle w:val="17"/>
                    <w:bidi w:val="0"/>
                    <w:rPr>
                      <w:rFonts w:hint="default"/>
                      <w:color w:val="auto"/>
                      <w:lang w:val="en-US" w:eastAsia="zh-CN"/>
                    </w:rPr>
                  </w:pPr>
                  <w:r>
                    <w:rPr>
                      <w:rFonts w:hint="default"/>
                      <w:color w:val="auto"/>
                      <w:lang w:val="en-US" w:eastAsia="zh-CN"/>
                    </w:rPr>
                    <w:t>0</w:t>
                  </w:r>
                </w:p>
              </w:tc>
              <w:tc>
                <w:tcPr>
                  <w:tcW w:w="559" w:type="pct"/>
                  <w:noWrap w:val="0"/>
                  <w:vAlign w:val="center"/>
                </w:tcPr>
                <w:p w14:paraId="56A6EB30">
                  <w:pPr>
                    <w:pStyle w:val="17"/>
                    <w:bidi w:val="0"/>
                    <w:rPr>
                      <w:rFonts w:hint="default"/>
                      <w:color w:val="auto"/>
                      <w:lang w:val="en-US" w:eastAsia="zh-CN"/>
                    </w:rPr>
                  </w:pPr>
                  <w:r>
                    <w:rPr>
                      <w:rFonts w:hint="default"/>
                      <w:color w:val="auto"/>
                      <w:lang w:val="en-US" w:eastAsia="zh-CN"/>
                    </w:rPr>
                    <w:t>0.81</w:t>
                  </w:r>
                </w:p>
              </w:tc>
              <w:tc>
                <w:tcPr>
                  <w:tcW w:w="596" w:type="pct"/>
                  <w:noWrap w:val="0"/>
                  <w:vAlign w:val="center"/>
                </w:tcPr>
                <w:p w14:paraId="52F107EE">
                  <w:pPr>
                    <w:pStyle w:val="17"/>
                    <w:bidi w:val="0"/>
                    <w:rPr>
                      <w:rFonts w:hint="default"/>
                      <w:color w:val="auto"/>
                      <w:lang w:val="en-US" w:eastAsia="zh-CN"/>
                    </w:rPr>
                  </w:pPr>
                  <w:r>
                    <w:rPr>
                      <w:rFonts w:hint="default"/>
                      <w:color w:val="auto"/>
                      <w:lang w:val="en-US" w:eastAsia="zh-CN"/>
                    </w:rPr>
                    <w:t>3.24</w:t>
                  </w:r>
                </w:p>
              </w:tc>
              <w:tc>
                <w:tcPr>
                  <w:tcW w:w="1552" w:type="pct"/>
                  <w:noWrap w:val="0"/>
                  <w:vAlign w:val="center"/>
                </w:tcPr>
                <w:p w14:paraId="5368D638">
                  <w:pPr>
                    <w:pStyle w:val="17"/>
                    <w:jc w:val="center"/>
                    <w:rPr>
                      <w:rFonts w:hint="default"/>
                      <w:color w:val="auto"/>
                      <w:vertAlign w:val="baseline"/>
                      <w:lang w:val="en-US" w:eastAsia="zh-CN"/>
                    </w:rPr>
                  </w:pPr>
                  <w:r>
                    <w:rPr>
                      <w:rFonts w:hint="eastAsia"/>
                      <w:color w:val="auto"/>
                      <w:vertAlign w:val="baseline"/>
                      <w:lang w:val="en-US" w:eastAsia="zh-CN"/>
                    </w:rPr>
                    <w:t>经化粪池熟化后用于农肥</w:t>
                  </w:r>
                </w:p>
              </w:tc>
            </w:tr>
            <w:tr w14:paraId="791DF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47" w:type="pct"/>
                  <w:noWrap w:val="0"/>
                  <w:vAlign w:val="center"/>
                </w:tcPr>
                <w:p w14:paraId="77A58E69">
                  <w:pPr>
                    <w:pStyle w:val="17"/>
                    <w:jc w:val="center"/>
                    <w:rPr>
                      <w:rFonts w:hint="default"/>
                      <w:color w:val="auto"/>
                      <w:vertAlign w:val="baseline"/>
                      <w:lang w:val="en-US" w:eastAsia="zh-CN"/>
                    </w:rPr>
                  </w:pPr>
                  <w:r>
                    <w:rPr>
                      <w:rFonts w:hint="eastAsia"/>
                      <w:color w:val="auto"/>
                      <w:vertAlign w:val="baseline"/>
                      <w:lang w:val="en-US" w:eastAsia="zh-CN"/>
                    </w:rPr>
                    <w:t>堆场抑尘</w:t>
                  </w:r>
                </w:p>
              </w:tc>
              <w:tc>
                <w:tcPr>
                  <w:tcW w:w="536" w:type="pct"/>
                  <w:noWrap w:val="0"/>
                  <w:vAlign w:val="center"/>
                </w:tcPr>
                <w:p w14:paraId="770FCC56">
                  <w:pPr>
                    <w:pStyle w:val="17"/>
                    <w:bidi w:val="0"/>
                    <w:rPr>
                      <w:rFonts w:hint="default"/>
                      <w:color w:val="auto"/>
                      <w:lang w:val="en-US" w:eastAsia="zh-CN"/>
                    </w:rPr>
                  </w:pPr>
                  <w:r>
                    <w:rPr>
                      <w:rFonts w:hint="default"/>
                      <w:color w:val="auto"/>
                      <w:lang w:val="en-US" w:eastAsia="zh-CN"/>
                    </w:rPr>
                    <w:t>5.3</w:t>
                  </w:r>
                </w:p>
              </w:tc>
              <w:tc>
                <w:tcPr>
                  <w:tcW w:w="559" w:type="pct"/>
                  <w:noWrap w:val="0"/>
                  <w:vAlign w:val="center"/>
                </w:tcPr>
                <w:p w14:paraId="22BABFEE">
                  <w:pPr>
                    <w:pStyle w:val="17"/>
                    <w:bidi w:val="0"/>
                    <w:rPr>
                      <w:rFonts w:hint="default"/>
                      <w:color w:val="auto"/>
                      <w:lang w:val="en-US" w:eastAsia="zh-CN"/>
                    </w:rPr>
                  </w:pPr>
                  <w:r>
                    <w:rPr>
                      <w:rFonts w:hint="default"/>
                      <w:color w:val="auto"/>
                      <w:lang w:val="en-US" w:eastAsia="zh-CN"/>
                    </w:rPr>
                    <w:t>5.3</w:t>
                  </w:r>
                </w:p>
              </w:tc>
              <w:tc>
                <w:tcPr>
                  <w:tcW w:w="547" w:type="pct"/>
                  <w:noWrap w:val="0"/>
                  <w:vAlign w:val="center"/>
                </w:tcPr>
                <w:p w14:paraId="438B6662">
                  <w:pPr>
                    <w:pStyle w:val="17"/>
                    <w:bidi w:val="0"/>
                    <w:rPr>
                      <w:rFonts w:hint="default"/>
                      <w:color w:val="auto"/>
                      <w:lang w:val="en-US" w:eastAsia="zh-CN"/>
                    </w:rPr>
                  </w:pPr>
                  <w:r>
                    <w:rPr>
                      <w:rFonts w:hint="default"/>
                      <w:color w:val="auto"/>
                      <w:lang w:val="en-US" w:eastAsia="zh-CN"/>
                    </w:rPr>
                    <w:t>0</w:t>
                  </w:r>
                </w:p>
              </w:tc>
              <w:tc>
                <w:tcPr>
                  <w:tcW w:w="559" w:type="pct"/>
                  <w:noWrap w:val="0"/>
                  <w:vAlign w:val="center"/>
                </w:tcPr>
                <w:p w14:paraId="51D14022">
                  <w:pPr>
                    <w:pStyle w:val="17"/>
                    <w:bidi w:val="0"/>
                    <w:rPr>
                      <w:rFonts w:hint="default"/>
                      <w:color w:val="auto"/>
                      <w:lang w:val="en-US" w:eastAsia="zh-CN"/>
                    </w:rPr>
                  </w:pPr>
                  <w:r>
                    <w:rPr>
                      <w:rFonts w:hint="default"/>
                      <w:color w:val="auto"/>
                      <w:lang w:val="en-US" w:eastAsia="zh-CN"/>
                    </w:rPr>
                    <w:t>5.3</w:t>
                  </w:r>
                </w:p>
              </w:tc>
              <w:tc>
                <w:tcPr>
                  <w:tcW w:w="596" w:type="pct"/>
                  <w:noWrap w:val="0"/>
                  <w:vAlign w:val="center"/>
                </w:tcPr>
                <w:p w14:paraId="3424337A">
                  <w:pPr>
                    <w:pStyle w:val="17"/>
                    <w:bidi w:val="0"/>
                    <w:rPr>
                      <w:rFonts w:hint="default"/>
                      <w:color w:val="auto"/>
                      <w:lang w:val="en-US" w:eastAsia="zh-CN"/>
                    </w:rPr>
                  </w:pPr>
                  <w:r>
                    <w:rPr>
                      <w:rFonts w:hint="default"/>
                      <w:color w:val="auto"/>
                      <w:lang w:val="en-US" w:eastAsia="zh-CN"/>
                    </w:rPr>
                    <w:t>0</w:t>
                  </w:r>
                </w:p>
              </w:tc>
              <w:tc>
                <w:tcPr>
                  <w:tcW w:w="1552" w:type="pct"/>
                  <w:vMerge w:val="restart"/>
                  <w:noWrap w:val="0"/>
                  <w:vAlign w:val="center"/>
                </w:tcPr>
                <w:p w14:paraId="448D1D7E">
                  <w:pPr>
                    <w:pStyle w:val="17"/>
                    <w:jc w:val="center"/>
                    <w:rPr>
                      <w:rFonts w:hint="default"/>
                      <w:color w:val="auto"/>
                      <w:vertAlign w:val="baseline"/>
                      <w:lang w:val="en-US" w:eastAsia="zh-CN"/>
                    </w:rPr>
                  </w:pPr>
                  <w:r>
                    <w:rPr>
                      <w:rFonts w:hint="eastAsia"/>
                      <w:color w:val="auto"/>
                      <w:vertAlign w:val="baseline"/>
                      <w:lang w:val="en-US" w:eastAsia="zh-CN"/>
                    </w:rPr>
                    <w:t>全部</w:t>
                  </w:r>
                  <w:r>
                    <w:rPr>
                      <w:rFonts w:hint="eastAsia"/>
                      <w:color w:val="auto"/>
                      <w:lang w:val="en-US" w:eastAsia="zh-CN"/>
                    </w:rPr>
                    <w:t>蒸发消耗或进入产品</w:t>
                  </w:r>
                </w:p>
              </w:tc>
            </w:tr>
            <w:tr w14:paraId="3F738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47" w:type="pct"/>
                  <w:noWrap w:val="0"/>
                  <w:vAlign w:val="center"/>
                </w:tcPr>
                <w:p w14:paraId="4B930655">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洒水降尘</w:t>
                  </w:r>
                </w:p>
              </w:tc>
              <w:tc>
                <w:tcPr>
                  <w:tcW w:w="536" w:type="pct"/>
                  <w:noWrap w:val="0"/>
                  <w:vAlign w:val="center"/>
                </w:tcPr>
                <w:p w14:paraId="5EDBEB6C">
                  <w:pPr>
                    <w:pStyle w:val="17"/>
                    <w:bidi w:val="0"/>
                    <w:rPr>
                      <w:rFonts w:hint="default"/>
                      <w:color w:val="auto"/>
                      <w:lang w:val="en-US" w:eastAsia="zh-CN"/>
                    </w:rPr>
                  </w:pPr>
                  <w:r>
                    <w:rPr>
                      <w:rFonts w:hint="default"/>
                      <w:color w:val="auto"/>
                      <w:lang w:val="en-US" w:eastAsia="zh-CN"/>
                    </w:rPr>
                    <w:t>5</w:t>
                  </w:r>
                </w:p>
              </w:tc>
              <w:tc>
                <w:tcPr>
                  <w:tcW w:w="559" w:type="pct"/>
                  <w:noWrap w:val="0"/>
                  <w:vAlign w:val="center"/>
                </w:tcPr>
                <w:p w14:paraId="357EC85D">
                  <w:pPr>
                    <w:pStyle w:val="17"/>
                    <w:bidi w:val="0"/>
                    <w:rPr>
                      <w:rFonts w:hint="default"/>
                      <w:color w:val="auto"/>
                      <w:lang w:val="en-US" w:eastAsia="zh-CN"/>
                    </w:rPr>
                  </w:pPr>
                  <w:r>
                    <w:rPr>
                      <w:rFonts w:hint="default"/>
                      <w:color w:val="auto"/>
                      <w:lang w:val="en-US" w:eastAsia="zh-CN"/>
                    </w:rPr>
                    <w:t>5</w:t>
                  </w:r>
                </w:p>
              </w:tc>
              <w:tc>
                <w:tcPr>
                  <w:tcW w:w="547" w:type="pct"/>
                  <w:noWrap w:val="0"/>
                  <w:vAlign w:val="center"/>
                </w:tcPr>
                <w:p w14:paraId="772B57CA">
                  <w:pPr>
                    <w:pStyle w:val="17"/>
                    <w:bidi w:val="0"/>
                    <w:rPr>
                      <w:rFonts w:hint="default"/>
                      <w:color w:val="auto"/>
                      <w:lang w:val="en-US" w:eastAsia="zh-CN"/>
                    </w:rPr>
                  </w:pPr>
                  <w:r>
                    <w:rPr>
                      <w:rFonts w:hint="default"/>
                      <w:color w:val="auto"/>
                      <w:lang w:val="en-US" w:eastAsia="zh-CN"/>
                    </w:rPr>
                    <w:t>0</w:t>
                  </w:r>
                </w:p>
              </w:tc>
              <w:tc>
                <w:tcPr>
                  <w:tcW w:w="559" w:type="pct"/>
                  <w:noWrap w:val="0"/>
                  <w:vAlign w:val="center"/>
                </w:tcPr>
                <w:p w14:paraId="31692346">
                  <w:pPr>
                    <w:pStyle w:val="17"/>
                    <w:bidi w:val="0"/>
                    <w:rPr>
                      <w:rFonts w:hint="default"/>
                      <w:color w:val="auto"/>
                      <w:lang w:val="en-US" w:eastAsia="zh-CN"/>
                    </w:rPr>
                  </w:pPr>
                  <w:r>
                    <w:rPr>
                      <w:rFonts w:hint="default"/>
                      <w:color w:val="auto"/>
                      <w:lang w:val="en-US" w:eastAsia="zh-CN"/>
                    </w:rPr>
                    <w:t>5</w:t>
                  </w:r>
                </w:p>
              </w:tc>
              <w:tc>
                <w:tcPr>
                  <w:tcW w:w="596" w:type="pct"/>
                  <w:noWrap w:val="0"/>
                  <w:vAlign w:val="center"/>
                </w:tcPr>
                <w:p w14:paraId="403D6981">
                  <w:pPr>
                    <w:pStyle w:val="17"/>
                    <w:bidi w:val="0"/>
                    <w:rPr>
                      <w:rFonts w:hint="default"/>
                      <w:color w:val="auto"/>
                      <w:lang w:val="en-US" w:eastAsia="zh-CN"/>
                    </w:rPr>
                  </w:pPr>
                  <w:r>
                    <w:rPr>
                      <w:rFonts w:hint="default"/>
                      <w:color w:val="auto"/>
                      <w:lang w:val="en-US" w:eastAsia="zh-CN"/>
                    </w:rPr>
                    <w:t>0</w:t>
                  </w:r>
                </w:p>
              </w:tc>
              <w:tc>
                <w:tcPr>
                  <w:tcW w:w="1552" w:type="pct"/>
                  <w:vMerge w:val="continue"/>
                  <w:noWrap w:val="0"/>
                  <w:vAlign w:val="center"/>
                </w:tcPr>
                <w:p w14:paraId="7C94C4F7">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p>
              </w:tc>
            </w:tr>
            <w:tr w14:paraId="315D1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47" w:type="pct"/>
                  <w:noWrap w:val="0"/>
                  <w:vAlign w:val="center"/>
                </w:tcPr>
                <w:p w14:paraId="62A407A3">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水稳砂生产</w:t>
                  </w:r>
                </w:p>
              </w:tc>
              <w:tc>
                <w:tcPr>
                  <w:tcW w:w="536" w:type="pct"/>
                  <w:noWrap w:val="0"/>
                  <w:vAlign w:val="center"/>
                </w:tcPr>
                <w:p w14:paraId="1BF52F08">
                  <w:pPr>
                    <w:pStyle w:val="17"/>
                    <w:bidi w:val="0"/>
                    <w:rPr>
                      <w:rFonts w:hint="default"/>
                      <w:color w:val="auto"/>
                      <w:lang w:val="en-US" w:eastAsia="zh-CN"/>
                    </w:rPr>
                  </w:pPr>
                  <w:r>
                    <w:rPr>
                      <w:rFonts w:hint="default"/>
                      <w:color w:val="auto"/>
                      <w:lang w:val="en-US" w:eastAsia="zh-CN"/>
                    </w:rPr>
                    <w:t>24.5</w:t>
                  </w:r>
                </w:p>
              </w:tc>
              <w:tc>
                <w:tcPr>
                  <w:tcW w:w="559" w:type="pct"/>
                  <w:noWrap w:val="0"/>
                  <w:vAlign w:val="center"/>
                </w:tcPr>
                <w:p w14:paraId="4CEBBE08">
                  <w:pPr>
                    <w:pStyle w:val="17"/>
                    <w:bidi w:val="0"/>
                    <w:rPr>
                      <w:rFonts w:hint="default"/>
                      <w:color w:val="auto"/>
                      <w:lang w:val="en-US" w:eastAsia="zh-CN"/>
                    </w:rPr>
                  </w:pPr>
                  <w:r>
                    <w:rPr>
                      <w:rFonts w:hint="default"/>
                      <w:color w:val="auto"/>
                      <w:lang w:val="en-US" w:eastAsia="zh-CN"/>
                    </w:rPr>
                    <w:t>24.5</w:t>
                  </w:r>
                </w:p>
              </w:tc>
              <w:tc>
                <w:tcPr>
                  <w:tcW w:w="547" w:type="pct"/>
                  <w:noWrap w:val="0"/>
                  <w:vAlign w:val="center"/>
                </w:tcPr>
                <w:p w14:paraId="16D5DD97">
                  <w:pPr>
                    <w:pStyle w:val="17"/>
                    <w:bidi w:val="0"/>
                    <w:rPr>
                      <w:rFonts w:hint="default"/>
                      <w:color w:val="auto"/>
                      <w:lang w:val="en-US" w:eastAsia="zh-CN"/>
                    </w:rPr>
                  </w:pPr>
                  <w:r>
                    <w:rPr>
                      <w:rFonts w:hint="default"/>
                      <w:color w:val="auto"/>
                      <w:lang w:val="en-US" w:eastAsia="zh-CN"/>
                    </w:rPr>
                    <w:t>0</w:t>
                  </w:r>
                </w:p>
              </w:tc>
              <w:tc>
                <w:tcPr>
                  <w:tcW w:w="559" w:type="pct"/>
                  <w:noWrap w:val="0"/>
                  <w:vAlign w:val="center"/>
                </w:tcPr>
                <w:p w14:paraId="52554D9B">
                  <w:pPr>
                    <w:pStyle w:val="17"/>
                    <w:bidi w:val="0"/>
                    <w:rPr>
                      <w:rFonts w:hint="default"/>
                      <w:color w:val="auto"/>
                      <w:lang w:val="en-US" w:eastAsia="zh-CN"/>
                    </w:rPr>
                  </w:pPr>
                  <w:r>
                    <w:rPr>
                      <w:rFonts w:hint="default"/>
                      <w:color w:val="auto"/>
                      <w:lang w:val="en-US" w:eastAsia="zh-CN"/>
                    </w:rPr>
                    <w:t>24.5</w:t>
                  </w:r>
                </w:p>
              </w:tc>
              <w:tc>
                <w:tcPr>
                  <w:tcW w:w="596" w:type="pct"/>
                  <w:noWrap w:val="0"/>
                  <w:vAlign w:val="center"/>
                </w:tcPr>
                <w:p w14:paraId="26F2CAE8">
                  <w:pPr>
                    <w:pStyle w:val="17"/>
                    <w:bidi w:val="0"/>
                    <w:rPr>
                      <w:rFonts w:hint="default"/>
                      <w:color w:val="auto"/>
                      <w:lang w:val="en-US" w:eastAsia="zh-CN"/>
                    </w:rPr>
                  </w:pPr>
                  <w:r>
                    <w:rPr>
                      <w:rFonts w:hint="default"/>
                      <w:color w:val="auto"/>
                      <w:lang w:val="en-US" w:eastAsia="zh-CN"/>
                    </w:rPr>
                    <w:t>0</w:t>
                  </w:r>
                </w:p>
              </w:tc>
              <w:tc>
                <w:tcPr>
                  <w:tcW w:w="1552" w:type="pct"/>
                  <w:vMerge w:val="continue"/>
                  <w:noWrap w:val="0"/>
                  <w:vAlign w:val="center"/>
                </w:tcPr>
                <w:p w14:paraId="745A3BFF">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p>
              </w:tc>
            </w:tr>
            <w:tr w14:paraId="11D52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47" w:type="pct"/>
                  <w:noWrap w:val="0"/>
                  <w:vAlign w:val="center"/>
                </w:tcPr>
                <w:p w14:paraId="307AEC35">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制砖生产</w:t>
                  </w:r>
                </w:p>
              </w:tc>
              <w:tc>
                <w:tcPr>
                  <w:tcW w:w="536" w:type="pct"/>
                  <w:noWrap w:val="0"/>
                  <w:vAlign w:val="center"/>
                </w:tcPr>
                <w:p w14:paraId="5CEC9202">
                  <w:pPr>
                    <w:pStyle w:val="17"/>
                    <w:bidi w:val="0"/>
                    <w:rPr>
                      <w:rFonts w:hint="default"/>
                      <w:color w:val="auto"/>
                      <w:lang w:val="en-US" w:eastAsia="zh-CN"/>
                    </w:rPr>
                  </w:pPr>
                  <w:r>
                    <w:rPr>
                      <w:rFonts w:hint="default"/>
                      <w:color w:val="auto"/>
                      <w:lang w:val="en-US" w:eastAsia="zh-CN"/>
                    </w:rPr>
                    <w:t>12.25</w:t>
                  </w:r>
                </w:p>
              </w:tc>
              <w:tc>
                <w:tcPr>
                  <w:tcW w:w="559" w:type="pct"/>
                  <w:noWrap w:val="0"/>
                  <w:vAlign w:val="center"/>
                </w:tcPr>
                <w:p w14:paraId="66FF5150">
                  <w:pPr>
                    <w:pStyle w:val="17"/>
                    <w:bidi w:val="0"/>
                    <w:rPr>
                      <w:rFonts w:hint="default"/>
                      <w:color w:val="auto"/>
                      <w:lang w:val="en-US" w:eastAsia="zh-CN"/>
                    </w:rPr>
                  </w:pPr>
                  <w:r>
                    <w:rPr>
                      <w:rFonts w:hint="default"/>
                      <w:color w:val="auto"/>
                      <w:lang w:val="en-US" w:eastAsia="zh-CN"/>
                    </w:rPr>
                    <w:t>12.25</w:t>
                  </w:r>
                </w:p>
              </w:tc>
              <w:tc>
                <w:tcPr>
                  <w:tcW w:w="547" w:type="pct"/>
                  <w:noWrap w:val="0"/>
                  <w:vAlign w:val="center"/>
                </w:tcPr>
                <w:p w14:paraId="26D3B685">
                  <w:pPr>
                    <w:pStyle w:val="17"/>
                    <w:bidi w:val="0"/>
                    <w:rPr>
                      <w:rFonts w:hint="default"/>
                      <w:color w:val="auto"/>
                      <w:lang w:val="en-US" w:eastAsia="zh-CN"/>
                    </w:rPr>
                  </w:pPr>
                  <w:r>
                    <w:rPr>
                      <w:rFonts w:hint="default"/>
                      <w:color w:val="auto"/>
                      <w:lang w:val="en-US" w:eastAsia="zh-CN"/>
                    </w:rPr>
                    <w:t>0</w:t>
                  </w:r>
                </w:p>
              </w:tc>
              <w:tc>
                <w:tcPr>
                  <w:tcW w:w="559" w:type="pct"/>
                  <w:noWrap w:val="0"/>
                  <w:vAlign w:val="center"/>
                </w:tcPr>
                <w:p w14:paraId="6D3E3EA8">
                  <w:pPr>
                    <w:pStyle w:val="17"/>
                    <w:bidi w:val="0"/>
                    <w:rPr>
                      <w:rFonts w:hint="default"/>
                      <w:color w:val="auto"/>
                      <w:lang w:val="en-US" w:eastAsia="zh-CN"/>
                    </w:rPr>
                  </w:pPr>
                  <w:r>
                    <w:rPr>
                      <w:rFonts w:hint="default"/>
                      <w:color w:val="auto"/>
                      <w:lang w:val="en-US" w:eastAsia="zh-CN"/>
                    </w:rPr>
                    <w:t>12.25</w:t>
                  </w:r>
                </w:p>
              </w:tc>
              <w:tc>
                <w:tcPr>
                  <w:tcW w:w="596" w:type="pct"/>
                  <w:noWrap w:val="0"/>
                  <w:vAlign w:val="center"/>
                </w:tcPr>
                <w:p w14:paraId="12601C5C">
                  <w:pPr>
                    <w:pStyle w:val="17"/>
                    <w:bidi w:val="0"/>
                    <w:rPr>
                      <w:rFonts w:hint="default"/>
                      <w:color w:val="auto"/>
                      <w:lang w:val="en-US" w:eastAsia="zh-CN"/>
                    </w:rPr>
                  </w:pPr>
                  <w:r>
                    <w:rPr>
                      <w:rFonts w:hint="default"/>
                      <w:color w:val="auto"/>
                      <w:lang w:val="en-US" w:eastAsia="zh-CN"/>
                    </w:rPr>
                    <w:t>0</w:t>
                  </w:r>
                </w:p>
              </w:tc>
              <w:tc>
                <w:tcPr>
                  <w:tcW w:w="1552" w:type="pct"/>
                  <w:vMerge w:val="continue"/>
                  <w:noWrap w:val="0"/>
                  <w:vAlign w:val="center"/>
                </w:tcPr>
                <w:p w14:paraId="7BBECEB0">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p>
              </w:tc>
            </w:tr>
            <w:tr w14:paraId="20DA3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47" w:type="pct"/>
                  <w:noWrap w:val="0"/>
                  <w:vAlign w:val="center"/>
                </w:tcPr>
                <w:p w14:paraId="4020B08E">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免烧砖养护</w:t>
                  </w:r>
                </w:p>
              </w:tc>
              <w:tc>
                <w:tcPr>
                  <w:tcW w:w="536" w:type="pct"/>
                  <w:noWrap w:val="0"/>
                  <w:vAlign w:val="center"/>
                </w:tcPr>
                <w:p w14:paraId="3A7BDE88">
                  <w:pPr>
                    <w:pStyle w:val="17"/>
                    <w:bidi w:val="0"/>
                    <w:rPr>
                      <w:rFonts w:hint="default"/>
                      <w:color w:val="auto"/>
                      <w:lang w:val="en-US" w:eastAsia="zh-CN"/>
                    </w:rPr>
                  </w:pPr>
                  <w:r>
                    <w:rPr>
                      <w:rFonts w:hint="default"/>
                      <w:color w:val="auto"/>
                      <w:lang w:val="en-US" w:eastAsia="zh-CN"/>
                    </w:rPr>
                    <w:t>0.1</w:t>
                  </w:r>
                </w:p>
              </w:tc>
              <w:tc>
                <w:tcPr>
                  <w:tcW w:w="559" w:type="pct"/>
                  <w:noWrap w:val="0"/>
                  <w:vAlign w:val="center"/>
                </w:tcPr>
                <w:p w14:paraId="0F4E5F9D">
                  <w:pPr>
                    <w:pStyle w:val="17"/>
                    <w:bidi w:val="0"/>
                    <w:rPr>
                      <w:rFonts w:hint="default"/>
                      <w:color w:val="auto"/>
                      <w:lang w:val="en-US" w:eastAsia="zh-CN"/>
                    </w:rPr>
                  </w:pPr>
                  <w:r>
                    <w:rPr>
                      <w:rFonts w:hint="default"/>
                      <w:color w:val="auto"/>
                      <w:lang w:val="en-US" w:eastAsia="zh-CN"/>
                    </w:rPr>
                    <w:t>0.1</w:t>
                  </w:r>
                </w:p>
              </w:tc>
              <w:tc>
                <w:tcPr>
                  <w:tcW w:w="547" w:type="pct"/>
                  <w:noWrap w:val="0"/>
                  <w:vAlign w:val="center"/>
                </w:tcPr>
                <w:p w14:paraId="13A830CA">
                  <w:pPr>
                    <w:pStyle w:val="17"/>
                    <w:bidi w:val="0"/>
                    <w:rPr>
                      <w:rFonts w:hint="default"/>
                      <w:color w:val="auto"/>
                      <w:lang w:val="en-US" w:eastAsia="zh-CN"/>
                    </w:rPr>
                  </w:pPr>
                  <w:r>
                    <w:rPr>
                      <w:rFonts w:hint="default"/>
                      <w:color w:val="auto"/>
                      <w:lang w:val="en-US" w:eastAsia="zh-CN"/>
                    </w:rPr>
                    <w:t>0</w:t>
                  </w:r>
                </w:p>
              </w:tc>
              <w:tc>
                <w:tcPr>
                  <w:tcW w:w="559" w:type="pct"/>
                  <w:noWrap w:val="0"/>
                  <w:vAlign w:val="center"/>
                </w:tcPr>
                <w:p w14:paraId="7C03ECC8">
                  <w:pPr>
                    <w:pStyle w:val="17"/>
                    <w:bidi w:val="0"/>
                    <w:rPr>
                      <w:rFonts w:hint="default"/>
                      <w:color w:val="auto"/>
                      <w:lang w:val="en-US" w:eastAsia="zh-CN"/>
                    </w:rPr>
                  </w:pPr>
                  <w:r>
                    <w:rPr>
                      <w:rFonts w:hint="default"/>
                      <w:color w:val="auto"/>
                      <w:lang w:val="en-US" w:eastAsia="zh-CN"/>
                    </w:rPr>
                    <w:t>0.1</w:t>
                  </w:r>
                </w:p>
              </w:tc>
              <w:tc>
                <w:tcPr>
                  <w:tcW w:w="596" w:type="pct"/>
                  <w:noWrap w:val="0"/>
                  <w:vAlign w:val="center"/>
                </w:tcPr>
                <w:p w14:paraId="710921B5">
                  <w:pPr>
                    <w:pStyle w:val="17"/>
                    <w:bidi w:val="0"/>
                    <w:rPr>
                      <w:rFonts w:hint="default"/>
                      <w:color w:val="auto"/>
                      <w:lang w:val="en-US" w:eastAsia="zh-CN"/>
                    </w:rPr>
                  </w:pPr>
                  <w:r>
                    <w:rPr>
                      <w:rFonts w:hint="default"/>
                      <w:color w:val="auto"/>
                      <w:lang w:val="en-US" w:eastAsia="zh-CN"/>
                    </w:rPr>
                    <w:t>0</w:t>
                  </w:r>
                </w:p>
              </w:tc>
              <w:tc>
                <w:tcPr>
                  <w:tcW w:w="1552" w:type="pct"/>
                  <w:vMerge w:val="continue"/>
                  <w:noWrap w:val="0"/>
                  <w:vAlign w:val="center"/>
                </w:tcPr>
                <w:p w14:paraId="4413BB76">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p>
              </w:tc>
            </w:tr>
            <w:tr w14:paraId="126A0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47" w:type="pct"/>
                  <w:noWrap w:val="0"/>
                  <w:vAlign w:val="center"/>
                </w:tcPr>
                <w:p w14:paraId="0825FCEC">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道路冲洗</w:t>
                  </w:r>
                </w:p>
              </w:tc>
              <w:tc>
                <w:tcPr>
                  <w:tcW w:w="536" w:type="pct"/>
                  <w:noWrap w:val="0"/>
                  <w:vAlign w:val="center"/>
                </w:tcPr>
                <w:p w14:paraId="47DF310E">
                  <w:pPr>
                    <w:pStyle w:val="17"/>
                    <w:bidi w:val="0"/>
                    <w:rPr>
                      <w:rFonts w:hint="default"/>
                      <w:color w:val="auto"/>
                      <w:lang w:val="en-US" w:eastAsia="zh-CN"/>
                    </w:rPr>
                  </w:pPr>
                  <w:r>
                    <w:rPr>
                      <w:rFonts w:hint="default"/>
                      <w:color w:val="auto"/>
                      <w:lang w:val="en-US" w:eastAsia="zh-CN"/>
                    </w:rPr>
                    <w:t>6.4</w:t>
                  </w:r>
                </w:p>
              </w:tc>
              <w:tc>
                <w:tcPr>
                  <w:tcW w:w="559" w:type="pct"/>
                  <w:noWrap w:val="0"/>
                  <w:vAlign w:val="center"/>
                </w:tcPr>
                <w:p w14:paraId="58861247">
                  <w:pPr>
                    <w:pStyle w:val="17"/>
                    <w:bidi w:val="0"/>
                    <w:rPr>
                      <w:rFonts w:hint="default"/>
                      <w:color w:val="auto"/>
                      <w:lang w:val="en-US" w:eastAsia="zh-CN"/>
                    </w:rPr>
                  </w:pPr>
                  <w:r>
                    <w:rPr>
                      <w:rFonts w:hint="default"/>
                      <w:color w:val="auto"/>
                      <w:lang w:val="en-US" w:eastAsia="zh-CN"/>
                    </w:rPr>
                    <w:t>6.4</w:t>
                  </w:r>
                </w:p>
              </w:tc>
              <w:tc>
                <w:tcPr>
                  <w:tcW w:w="547" w:type="pct"/>
                  <w:noWrap w:val="0"/>
                  <w:vAlign w:val="center"/>
                </w:tcPr>
                <w:p w14:paraId="6C73E981">
                  <w:pPr>
                    <w:pStyle w:val="17"/>
                    <w:bidi w:val="0"/>
                    <w:rPr>
                      <w:rFonts w:hint="default"/>
                      <w:color w:val="auto"/>
                      <w:lang w:val="en-US" w:eastAsia="zh-CN"/>
                    </w:rPr>
                  </w:pPr>
                  <w:r>
                    <w:rPr>
                      <w:rFonts w:hint="default"/>
                      <w:color w:val="auto"/>
                      <w:lang w:val="en-US" w:eastAsia="zh-CN"/>
                    </w:rPr>
                    <w:t>0</w:t>
                  </w:r>
                </w:p>
              </w:tc>
              <w:tc>
                <w:tcPr>
                  <w:tcW w:w="559" w:type="pct"/>
                  <w:noWrap w:val="0"/>
                  <w:vAlign w:val="center"/>
                </w:tcPr>
                <w:p w14:paraId="1022FD01">
                  <w:pPr>
                    <w:pStyle w:val="17"/>
                    <w:bidi w:val="0"/>
                    <w:rPr>
                      <w:rFonts w:hint="default"/>
                      <w:color w:val="auto"/>
                      <w:lang w:val="en-US" w:eastAsia="zh-CN"/>
                    </w:rPr>
                  </w:pPr>
                  <w:r>
                    <w:rPr>
                      <w:rFonts w:hint="default"/>
                      <w:color w:val="auto"/>
                      <w:lang w:val="en-US" w:eastAsia="zh-CN"/>
                    </w:rPr>
                    <w:t>6.4</w:t>
                  </w:r>
                </w:p>
              </w:tc>
              <w:tc>
                <w:tcPr>
                  <w:tcW w:w="596" w:type="pct"/>
                  <w:noWrap w:val="0"/>
                  <w:vAlign w:val="center"/>
                </w:tcPr>
                <w:p w14:paraId="122CC6F2">
                  <w:pPr>
                    <w:pStyle w:val="17"/>
                    <w:bidi w:val="0"/>
                    <w:rPr>
                      <w:rFonts w:hint="default"/>
                      <w:color w:val="auto"/>
                      <w:lang w:val="en-US" w:eastAsia="zh-CN"/>
                    </w:rPr>
                  </w:pPr>
                  <w:r>
                    <w:rPr>
                      <w:rFonts w:hint="default"/>
                      <w:color w:val="auto"/>
                      <w:lang w:val="en-US" w:eastAsia="zh-CN"/>
                    </w:rPr>
                    <w:t>0</w:t>
                  </w:r>
                </w:p>
              </w:tc>
              <w:tc>
                <w:tcPr>
                  <w:tcW w:w="1552" w:type="pct"/>
                  <w:vMerge w:val="restart"/>
                  <w:noWrap w:val="0"/>
                  <w:vAlign w:val="center"/>
                </w:tcPr>
                <w:p w14:paraId="5D46D7E9">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全部蒸发消耗</w:t>
                  </w:r>
                </w:p>
              </w:tc>
            </w:tr>
            <w:tr w14:paraId="481FA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47" w:type="pct"/>
                  <w:noWrap w:val="0"/>
                  <w:vAlign w:val="center"/>
                </w:tcPr>
                <w:p w14:paraId="1DA36A2D">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s="Times New Roman"/>
                      <w:color w:val="auto"/>
                      <w:kern w:val="0"/>
                      <w:sz w:val="21"/>
                      <w:szCs w:val="21"/>
                      <w:vertAlign w:val="baseline"/>
                      <w:lang w:val="en-US" w:eastAsia="zh-CN" w:bidi="ar-SA"/>
                    </w:rPr>
                    <w:t>搅拌机冲洗</w:t>
                  </w:r>
                </w:p>
              </w:tc>
              <w:tc>
                <w:tcPr>
                  <w:tcW w:w="536" w:type="pct"/>
                  <w:noWrap w:val="0"/>
                  <w:vAlign w:val="center"/>
                </w:tcPr>
                <w:p w14:paraId="5891041B">
                  <w:pPr>
                    <w:pStyle w:val="17"/>
                    <w:bidi w:val="0"/>
                    <w:ind w:firstLine="0" w:firstLineChars="0"/>
                    <w:rPr>
                      <w:rFonts w:hint="default" w:ascii="Times New Roman" w:hAnsi="Times New Roman" w:eastAsia="宋体" w:cs="Times New Roman"/>
                      <w:color w:val="auto"/>
                      <w:kern w:val="0"/>
                      <w:sz w:val="21"/>
                      <w:szCs w:val="21"/>
                      <w:lang w:val="en-US" w:eastAsia="zh-CN" w:bidi="ar-SA"/>
                    </w:rPr>
                  </w:pPr>
                  <w:r>
                    <w:rPr>
                      <w:rFonts w:hint="default"/>
                      <w:color w:val="auto"/>
                      <w:lang w:val="en-US" w:eastAsia="zh-CN"/>
                    </w:rPr>
                    <w:t>7.5</w:t>
                  </w:r>
                </w:p>
              </w:tc>
              <w:tc>
                <w:tcPr>
                  <w:tcW w:w="559" w:type="pct"/>
                  <w:noWrap w:val="0"/>
                  <w:vAlign w:val="center"/>
                </w:tcPr>
                <w:p w14:paraId="4E42963E">
                  <w:pPr>
                    <w:pStyle w:val="17"/>
                    <w:bidi w:val="0"/>
                    <w:ind w:firstLine="0" w:firstLineChars="0"/>
                    <w:rPr>
                      <w:rFonts w:hint="default" w:ascii="Times New Roman" w:hAnsi="Times New Roman" w:eastAsia="宋体" w:cs="Times New Roman"/>
                      <w:color w:val="auto"/>
                      <w:kern w:val="0"/>
                      <w:sz w:val="21"/>
                      <w:szCs w:val="21"/>
                      <w:lang w:val="en-US" w:eastAsia="zh-CN" w:bidi="ar-SA"/>
                    </w:rPr>
                  </w:pPr>
                  <w:r>
                    <w:rPr>
                      <w:rFonts w:hint="default"/>
                      <w:color w:val="auto"/>
                      <w:lang w:val="en-US" w:eastAsia="zh-CN"/>
                    </w:rPr>
                    <w:t>7.5</w:t>
                  </w:r>
                </w:p>
              </w:tc>
              <w:tc>
                <w:tcPr>
                  <w:tcW w:w="547" w:type="pct"/>
                  <w:noWrap w:val="0"/>
                  <w:vAlign w:val="center"/>
                </w:tcPr>
                <w:p w14:paraId="22D4643F">
                  <w:pPr>
                    <w:pStyle w:val="17"/>
                    <w:bidi w:val="0"/>
                    <w:ind w:firstLine="0" w:firstLineChars="0"/>
                    <w:rPr>
                      <w:rFonts w:hint="default" w:ascii="Times New Roman" w:hAnsi="Times New Roman" w:eastAsia="宋体" w:cs="Times New Roman"/>
                      <w:color w:val="auto"/>
                      <w:kern w:val="0"/>
                      <w:sz w:val="21"/>
                      <w:szCs w:val="21"/>
                      <w:lang w:val="en-US" w:eastAsia="zh-CN" w:bidi="ar-SA"/>
                    </w:rPr>
                  </w:pPr>
                  <w:r>
                    <w:rPr>
                      <w:rFonts w:hint="default"/>
                      <w:color w:val="auto"/>
                      <w:lang w:val="en-US" w:eastAsia="zh-CN"/>
                    </w:rPr>
                    <w:t>0</w:t>
                  </w:r>
                </w:p>
              </w:tc>
              <w:tc>
                <w:tcPr>
                  <w:tcW w:w="559" w:type="pct"/>
                  <w:noWrap w:val="0"/>
                  <w:vAlign w:val="center"/>
                </w:tcPr>
                <w:p w14:paraId="488F37D1">
                  <w:pPr>
                    <w:pStyle w:val="17"/>
                    <w:bidi w:val="0"/>
                    <w:ind w:firstLine="0" w:firstLineChars="0"/>
                    <w:rPr>
                      <w:rFonts w:hint="default" w:ascii="Times New Roman" w:hAnsi="Times New Roman" w:eastAsia="宋体" w:cs="Times New Roman"/>
                      <w:color w:val="auto"/>
                      <w:kern w:val="0"/>
                      <w:sz w:val="21"/>
                      <w:szCs w:val="21"/>
                      <w:lang w:val="en-US" w:eastAsia="zh-CN" w:bidi="ar-SA"/>
                    </w:rPr>
                  </w:pPr>
                  <w:r>
                    <w:rPr>
                      <w:rFonts w:hint="default"/>
                      <w:color w:val="auto"/>
                      <w:lang w:val="en-US" w:eastAsia="zh-CN"/>
                    </w:rPr>
                    <w:t>7.5</w:t>
                  </w:r>
                </w:p>
              </w:tc>
              <w:tc>
                <w:tcPr>
                  <w:tcW w:w="596" w:type="pct"/>
                  <w:noWrap w:val="0"/>
                  <w:vAlign w:val="center"/>
                </w:tcPr>
                <w:p w14:paraId="6E240444">
                  <w:pPr>
                    <w:pStyle w:val="17"/>
                    <w:bidi w:val="0"/>
                    <w:ind w:firstLine="0" w:firstLineChars="0"/>
                    <w:rPr>
                      <w:rFonts w:hint="default" w:ascii="Times New Roman" w:hAnsi="Times New Roman" w:eastAsia="宋体" w:cs="Times New Roman"/>
                      <w:color w:val="auto"/>
                      <w:kern w:val="0"/>
                      <w:sz w:val="21"/>
                      <w:szCs w:val="21"/>
                      <w:lang w:val="en-US" w:eastAsia="zh-CN" w:bidi="ar-SA"/>
                    </w:rPr>
                  </w:pPr>
                  <w:r>
                    <w:rPr>
                      <w:rFonts w:hint="default"/>
                      <w:color w:val="auto"/>
                      <w:lang w:val="en-US" w:eastAsia="zh-CN"/>
                    </w:rPr>
                    <w:t>0</w:t>
                  </w:r>
                </w:p>
              </w:tc>
              <w:tc>
                <w:tcPr>
                  <w:tcW w:w="1552" w:type="pct"/>
                  <w:vMerge w:val="continue"/>
                  <w:noWrap w:val="0"/>
                  <w:vAlign w:val="center"/>
                </w:tcPr>
                <w:p w14:paraId="7BDF6AC0">
                  <w:pPr>
                    <w:pStyle w:val="17"/>
                    <w:ind w:firstLine="0" w:firstLineChars="0"/>
                    <w:jc w:val="center"/>
                    <w:rPr>
                      <w:rFonts w:hint="eastAsia"/>
                      <w:color w:val="auto"/>
                      <w:vertAlign w:val="baseline"/>
                      <w:lang w:val="en-US" w:eastAsia="zh-CN"/>
                    </w:rPr>
                  </w:pPr>
                </w:p>
              </w:tc>
            </w:tr>
            <w:tr w14:paraId="5A325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47" w:type="pct"/>
                  <w:noWrap w:val="0"/>
                  <w:vAlign w:val="center"/>
                </w:tcPr>
                <w:p w14:paraId="3F840252">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车辆冲洗</w:t>
                  </w:r>
                </w:p>
              </w:tc>
              <w:tc>
                <w:tcPr>
                  <w:tcW w:w="536" w:type="pct"/>
                  <w:noWrap w:val="0"/>
                  <w:vAlign w:val="center"/>
                </w:tcPr>
                <w:p w14:paraId="141DD2E8">
                  <w:pPr>
                    <w:pStyle w:val="17"/>
                    <w:bidi w:val="0"/>
                    <w:ind w:firstLine="0" w:firstLineChars="0"/>
                    <w:rPr>
                      <w:rFonts w:hint="default" w:ascii="Times New Roman" w:hAnsi="Times New Roman" w:eastAsia="宋体" w:cs="Times New Roman"/>
                      <w:color w:val="auto"/>
                      <w:kern w:val="0"/>
                      <w:sz w:val="21"/>
                      <w:szCs w:val="21"/>
                      <w:lang w:val="en-US" w:eastAsia="zh-CN" w:bidi="ar-SA"/>
                    </w:rPr>
                  </w:pPr>
                  <w:r>
                    <w:rPr>
                      <w:rFonts w:hint="default"/>
                      <w:color w:val="auto"/>
                      <w:lang w:val="en-US" w:eastAsia="zh-CN"/>
                    </w:rPr>
                    <w:t>2.1056</w:t>
                  </w:r>
                </w:p>
              </w:tc>
              <w:tc>
                <w:tcPr>
                  <w:tcW w:w="559" w:type="pct"/>
                  <w:noWrap w:val="0"/>
                  <w:vAlign w:val="center"/>
                </w:tcPr>
                <w:p w14:paraId="413B0763">
                  <w:pPr>
                    <w:pStyle w:val="17"/>
                    <w:bidi w:val="0"/>
                    <w:ind w:firstLine="0" w:firstLineChars="0"/>
                    <w:rPr>
                      <w:rFonts w:hint="default" w:ascii="Times New Roman" w:hAnsi="Times New Roman" w:eastAsia="宋体" w:cs="Times New Roman"/>
                      <w:color w:val="auto"/>
                      <w:kern w:val="0"/>
                      <w:sz w:val="21"/>
                      <w:szCs w:val="21"/>
                      <w:lang w:val="en-US" w:eastAsia="zh-CN" w:bidi="ar-SA"/>
                    </w:rPr>
                  </w:pPr>
                  <w:r>
                    <w:rPr>
                      <w:rFonts w:hint="default"/>
                      <w:color w:val="auto"/>
                      <w:lang w:val="en-US" w:eastAsia="zh-CN"/>
                    </w:rPr>
                    <w:t>0.4211</w:t>
                  </w:r>
                </w:p>
              </w:tc>
              <w:tc>
                <w:tcPr>
                  <w:tcW w:w="547" w:type="pct"/>
                  <w:noWrap w:val="0"/>
                  <w:vAlign w:val="center"/>
                </w:tcPr>
                <w:p w14:paraId="0992B232">
                  <w:pPr>
                    <w:pStyle w:val="17"/>
                    <w:bidi w:val="0"/>
                    <w:ind w:firstLine="0" w:firstLineChars="0"/>
                    <w:rPr>
                      <w:rFonts w:hint="default" w:ascii="Times New Roman" w:hAnsi="Times New Roman" w:eastAsia="宋体" w:cs="Times New Roman"/>
                      <w:color w:val="auto"/>
                      <w:kern w:val="0"/>
                      <w:sz w:val="21"/>
                      <w:szCs w:val="21"/>
                      <w:lang w:val="en-US" w:eastAsia="zh-CN" w:bidi="ar-SA"/>
                    </w:rPr>
                  </w:pPr>
                  <w:r>
                    <w:rPr>
                      <w:rFonts w:hint="default"/>
                      <w:color w:val="auto"/>
                      <w:lang w:val="en-US" w:eastAsia="zh-CN"/>
                    </w:rPr>
                    <w:t>1.6845</w:t>
                  </w:r>
                </w:p>
              </w:tc>
              <w:tc>
                <w:tcPr>
                  <w:tcW w:w="559" w:type="pct"/>
                  <w:noWrap w:val="0"/>
                  <w:vAlign w:val="center"/>
                </w:tcPr>
                <w:p w14:paraId="19D2626D">
                  <w:pPr>
                    <w:pStyle w:val="17"/>
                    <w:bidi w:val="0"/>
                    <w:ind w:firstLine="0" w:firstLineChars="0"/>
                    <w:rPr>
                      <w:rFonts w:hint="default" w:ascii="Times New Roman" w:hAnsi="Times New Roman" w:eastAsia="宋体" w:cs="Times New Roman"/>
                      <w:color w:val="auto"/>
                      <w:kern w:val="0"/>
                      <w:sz w:val="21"/>
                      <w:szCs w:val="21"/>
                      <w:lang w:val="en-US" w:eastAsia="zh-CN" w:bidi="ar-SA"/>
                    </w:rPr>
                  </w:pPr>
                  <w:r>
                    <w:rPr>
                      <w:rFonts w:hint="default"/>
                      <w:color w:val="auto"/>
                      <w:lang w:val="en-US" w:eastAsia="zh-CN"/>
                    </w:rPr>
                    <w:t>0.4211</w:t>
                  </w:r>
                </w:p>
              </w:tc>
              <w:tc>
                <w:tcPr>
                  <w:tcW w:w="596" w:type="pct"/>
                  <w:noWrap w:val="0"/>
                  <w:vAlign w:val="center"/>
                </w:tcPr>
                <w:p w14:paraId="6D188E04">
                  <w:pPr>
                    <w:pStyle w:val="17"/>
                    <w:bidi w:val="0"/>
                    <w:ind w:firstLine="0" w:firstLineChars="0"/>
                    <w:rPr>
                      <w:rFonts w:hint="default" w:ascii="Times New Roman" w:hAnsi="Times New Roman" w:eastAsia="宋体" w:cs="Times New Roman"/>
                      <w:color w:val="auto"/>
                      <w:kern w:val="0"/>
                      <w:sz w:val="21"/>
                      <w:szCs w:val="21"/>
                      <w:lang w:val="en-US" w:eastAsia="zh-CN" w:bidi="ar-SA"/>
                    </w:rPr>
                  </w:pPr>
                  <w:r>
                    <w:rPr>
                      <w:rFonts w:hint="default"/>
                      <w:color w:val="auto"/>
                      <w:lang w:val="en-US" w:eastAsia="zh-CN"/>
                    </w:rPr>
                    <w:t>0</w:t>
                  </w:r>
                </w:p>
              </w:tc>
              <w:tc>
                <w:tcPr>
                  <w:tcW w:w="1552" w:type="pct"/>
                  <w:noWrap w:val="0"/>
                  <w:vAlign w:val="center"/>
                </w:tcPr>
                <w:p w14:paraId="06D501EB">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经隔油池、沉淀池处理后回用于车辆冲洗</w:t>
                  </w:r>
                </w:p>
              </w:tc>
            </w:tr>
            <w:tr w14:paraId="49BD1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47" w:type="pct"/>
                  <w:noWrap w:val="0"/>
                  <w:vAlign w:val="center"/>
                </w:tcPr>
                <w:p w14:paraId="209E2D8B">
                  <w:pPr>
                    <w:pStyle w:val="17"/>
                    <w:jc w:val="center"/>
                    <w:rPr>
                      <w:rFonts w:hint="default"/>
                      <w:color w:val="auto"/>
                      <w:vertAlign w:val="baseline"/>
                      <w:lang w:val="en-US" w:eastAsia="zh-CN"/>
                    </w:rPr>
                  </w:pPr>
                  <w:r>
                    <w:rPr>
                      <w:rFonts w:hint="eastAsia"/>
                      <w:color w:val="auto"/>
                      <w:vertAlign w:val="baseline"/>
                      <w:lang w:val="en-US" w:eastAsia="zh-CN"/>
                    </w:rPr>
                    <w:t>合计</w:t>
                  </w:r>
                </w:p>
              </w:tc>
              <w:tc>
                <w:tcPr>
                  <w:tcW w:w="536" w:type="pct"/>
                  <w:noWrap w:val="0"/>
                  <w:vAlign w:val="center"/>
                </w:tcPr>
                <w:p w14:paraId="56F1220C">
                  <w:pPr>
                    <w:pStyle w:val="17"/>
                    <w:bidi w:val="0"/>
                    <w:rPr>
                      <w:rFonts w:hint="default"/>
                      <w:color w:val="auto"/>
                      <w:lang w:val="en-US" w:eastAsia="zh-CN"/>
                    </w:rPr>
                  </w:pPr>
                  <w:r>
                    <w:rPr>
                      <w:rFonts w:hint="default"/>
                      <w:color w:val="auto"/>
                      <w:lang w:val="en-US" w:eastAsia="zh-CN"/>
                    </w:rPr>
                    <w:t>67.2056</w:t>
                  </w:r>
                </w:p>
              </w:tc>
              <w:tc>
                <w:tcPr>
                  <w:tcW w:w="559" w:type="pct"/>
                  <w:noWrap w:val="0"/>
                  <w:vAlign w:val="center"/>
                </w:tcPr>
                <w:p w14:paraId="40ED9C09">
                  <w:pPr>
                    <w:pStyle w:val="17"/>
                    <w:bidi w:val="0"/>
                    <w:rPr>
                      <w:rFonts w:hint="default"/>
                      <w:color w:val="auto"/>
                      <w:lang w:val="en-US" w:eastAsia="zh-CN"/>
                    </w:rPr>
                  </w:pPr>
                  <w:r>
                    <w:rPr>
                      <w:rFonts w:hint="default"/>
                      <w:color w:val="auto"/>
                      <w:lang w:val="en-US" w:eastAsia="zh-CN"/>
                    </w:rPr>
                    <w:t>65.5211</w:t>
                  </w:r>
                </w:p>
              </w:tc>
              <w:tc>
                <w:tcPr>
                  <w:tcW w:w="547" w:type="pct"/>
                  <w:noWrap w:val="0"/>
                  <w:vAlign w:val="center"/>
                </w:tcPr>
                <w:p w14:paraId="3BBB4133">
                  <w:pPr>
                    <w:pStyle w:val="17"/>
                    <w:bidi w:val="0"/>
                    <w:rPr>
                      <w:rFonts w:hint="default"/>
                      <w:color w:val="auto"/>
                      <w:lang w:val="en-US" w:eastAsia="zh-CN"/>
                    </w:rPr>
                  </w:pPr>
                  <w:r>
                    <w:rPr>
                      <w:rFonts w:hint="default"/>
                      <w:color w:val="auto"/>
                      <w:lang w:val="en-US" w:eastAsia="zh-CN"/>
                    </w:rPr>
                    <w:t>1.6845</w:t>
                  </w:r>
                </w:p>
              </w:tc>
              <w:tc>
                <w:tcPr>
                  <w:tcW w:w="559" w:type="pct"/>
                  <w:noWrap w:val="0"/>
                  <w:vAlign w:val="center"/>
                </w:tcPr>
                <w:p w14:paraId="4D109693">
                  <w:pPr>
                    <w:pStyle w:val="17"/>
                    <w:bidi w:val="0"/>
                    <w:rPr>
                      <w:rFonts w:hint="default"/>
                      <w:color w:val="auto"/>
                      <w:lang w:val="en-US" w:eastAsia="zh-CN"/>
                    </w:rPr>
                  </w:pPr>
                  <w:r>
                    <w:rPr>
                      <w:rFonts w:hint="default"/>
                      <w:color w:val="auto"/>
                      <w:lang w:val="en-US" w:eastAsia="zh-CN"/>
                    </w:rPr>
                    <w:t>62.2811</w:t>
                  </w:r>
                </w:p>
              </w:tc>
              <w:tc>
                <w:tcPr>
                  <w:tcW w:w="596" w:type="pct"/>
                  <w:noWrap w:val="0"/>
                  <w:vAlign w:val="center"/>
                </w:tcPr>
                <w:p w14:paraId="138455B0">
                  <w:pPr>
                    <w:pStyle w:val="17"/>
                    <w:bidi w:val="0"/>
                    <w:rPr>
                      <w:rFonts w:hint="default"/>
                      <w:color w:val="auto"/>
                      <w:lang w:val="en-US" w:eastAsia="zh-CN"/>
                    </w:rPr>
                  </w:pPr>
                  <w:r>
                    <w:rPr>
                      <w:rFonts w:hint="default"/>
                      <w:color w:val="auto"/>
                      <w:lang w:val="en-US" w:eastAsia="zh-CN"/>
                    </w:rPr>
                    <w:t>3.24</w:t>
                  </w:r>
                </w:p>
              </w:tc>
              <w:tc>
                <w:tcPr>
                  <w:tcW w:w="1552" w:type="pct"/>
                  <w:noWrap w:val="0"/>
                  <w:vAlign w:val="center"/>
                </w:tcPr>
                <w:p w14:paraId="4E2150C4">
                  <w:pPr>
                    <w:pStyle w:val="17"/>
                    <w:jc w:val="center"/>
                    <w:rPr>
                      <w:rFonts w:hint="default"/>
                      <w:color w:val="auto"/>
                      <w:vertAlign w:val="baseline"/>
                      <w:lang w:val="en-US" w:eastAsia="zh-CN"/>
                    </w:rPr>
                  </w:pPr>
                  <w:r>
                    <w:rPr>
                      <w:rFonts w:hint="eastAsia"/>
                      <w:color w:val="auto"/>
                      <w:vertAlign w:val="baseline"/>
                      <w:lang w:val="en-US" w:eastAsia="zh-CN"/>
                    </w:rPr>
                    <w:t>/</w:t>
                  </w:r>
                </w:p>
              </w:tc>
            </w:tr>
          </w:tbl>
          <w:p w14:paraId="2E4098FB">
            <w:pPr>
              <w:pStyle w:val="17"/>
              <w:rPr>
                <w:rFonts w:hint="default"/>
                <w:color w:val="auto"/>
                <w:lang w:val="en-US" w:eastAsia="zh-CN"/>
              </w:rPr>
            </w:pPr>
            <w:r>
              <w:rPr>
                <w:rFonts w:hint="default"/>
                <w:color w:val="auto"/>
                <w:lang w:val="en-US" w:eastAsia="zh-CN"/>
              </w:rPr>
              <w:object>
                <v:shape id="_x0000_i1027" o:spt="75" type="#_x0000_t75" style="height:486pt;width:386.25pt;" o:ole="t" filled="f" o:preferrelative="t" stroked="f" coordsize="21600,21600">
                  <v:path/>
                  <v:fill on="f" focussize="0,0"/>
                  <v:stroke on="f"/>
                  <v:imagedata r:id="rId14" o:title=""/>
                  <o:lock v:ext="edit" aspectratio="f"/>
                  <w10:wrap type="none"/>
                  <w10:anchorlock/>
                </v:shape>
                <o:OLEObject Type="Embed" ProgID="Visio.Drawing.11" ShapeID="_x0000_i1027" DrawAspect="Content" ObjectID="_1468075727" r:id="rId13">
                  <o:LockedField>false</o:LockedField>
                </o:OLEObject>
              </w:object>
            </w:r>
          </w:p>
          <w:p w14:paraId="0DA23725">
            <w:pPr>
              <w:pStyle w:val="18"/>
              <w:bidi w:val="0"/>
              <w:rPr>
                <w:rFonts w:hint="eastAsia"/>
                <w:color w:val="auto"/>
                <w:lang w:val="en-US" w:eastAsia="zh-CN"/>
              </w:rPr>
            </w:pPr>
            <w:r>
              <w:rPr>
                <w:rFonts w:hint="eastAsia"/>
                <w:color w:val="auto"/>
                <w:lang w:val="en-US" w:eastAsia="zh-CN"/>
              </w:rPr>
              <w:t>图2-1 项目水平衡图（单位：m</w:t>
            </w:r>
            <w:r>
              <w:rPr>
                <w:rFonts w:hint="eastAsia"/>
                <w:color w:val="auto"/>
                <w:vertAlign w:val="superscript"/>
                <w:lang w:val="en-US" w:eastAsia="zh-CN"/>
              </w:rPr>
              <w:t>3</w:t>
            </w:r>
            <w:r>
              <w:rPr>
                <w:rFonts w:hint="eastAsia"/>
                <w:color w:val="auto"/>
                <w:lang w:val="en-US" w:eastAsia="zh-CN"/>
              </w:rPr>
              <w:t>/d）</w:t>
            </w:r>
          </w:p>
          <w:p w14:paraId="003BB51B">
            <w:pPr>
              <w:pStyle w:val="5"/>
              <w:bidi w:val="0"/>
              <w:rPr>
                <w:rFonts w:hint="eastAsia"/>
                <w:color w:val="auto"/>
                <w:lang w:val="en-US" w:eastAsia="zh-CN"/>
              </w:rPr>
            </w:pPr>
            <w:bookmarkStart w:id="187" w:name="_Toc11747"/>
            <w:bookmarkStart w:id="188" w:name="_Toc22226"/>
            <w:bookmarkStart w:id="189" w:name="_Toc32146"/>
            <w:bookmarkStart w:id="190" w:name="_Toc20240"/>
            <w:bookmarkStart w:id="191" w:name="_Toc30882"/>
            <w:r>
              <w:rPr>
                <w:rFonts w:hint="eastAsia"/>
                <w:color w:val="auto"/>
                <w:lang w:val="en-US" w:eastAsia="zh-CN"/>
              </w:rPr>
              <w:t>9.4 供电</w:t>
            </w:r>
            <w:bookmarkEnd w:id="187"/>
            <w:bookmarkEnd w:id="188"/>
            <w:bookmarkEnd w:id="189"/>
            <w:bookmarkEnd w:id="190"/>
            <w:bookmarkEnd w:id="191"/>
          </w:p>
          <w:p w14:paraId="211A3A70">
            <w:pPr>
              <w:rPr>
                <w:rFonts w:hint="eastAsia"/>
                <w:color w:val="auto"/>
                <w:lang w:val="en-US" w:eastAsia="zh-CN"/>
              </w:rPr>
            </w:pPr>
            <w:r>
              <w:rPr>
                <w:rFonts w:hint="eastAsia"/>
                <w:color w:val="auto"/>
                <w:lang w:val="en-US" w:eastAsia="zh-CN"/>
              </w:rPr>
              <w:t>本项目用电使用乡镇电网供电。</w:t>
            </w:r>
          </w:p>
          <w:p w14:paraId="6CC08676">
            <w:pPr>
              <w:pStyle w:val="4"/>
              <w:bidi w:val="0"/>
              <w:rPr>
                <w:rFonts w:hint="eastAsia"/>
                <w:color w:val="auto"/>
                <w:lang w:val="en-US" w:eastAsia="zh-CN"/>
              </w:rPr>
            </w:pPr>
            <w:bookmarkStart w:id="192" w:name="_Toc979"/>
            <w:bookmarkStart w:id="193" w:name="_Toc11221"/>
            <w:bookmarkStart w:id="194" w:name="_Toc31247"/>
            <w:bookmarkStart w:id="195" w:name="_Toc25431"/>
            <w:bookmarkStart w:id="196" w:name="_Toc29760"/>
            <w:r>
              <w:rPr>
                <w:rFonts w:hint="eastAsia"/>
                <w:color w:val="auto"/>
                <w:lang w:val="en-US" w:eastAsia="zh-CN"/>
              </w:rPr>
              <w:t>10、总平面布置</w:t>
            </w:r>
            <w:bookmarkEnd w:id="192"/>
            <w:bookmarkEnd w:id="193"/>
            <w:bookmarkEnd w:id="194"/>
            <w:bookmarkEnd w:id="195"/>
            <w:bookmarkEnd w:id="196"/>
          </w:p>
          <w:p w14:paraId="5729C825">
            <w:pPr>
              <w:rPr>
                <w:rFonts w:hint="eastAsia"/>
                <w:color w:val="auto"/>
                <w:lang w:val="en-US" w:eastAsia="zh-CN"/>
              </w:rPr>
            </w:pPr>
            <w:r>
              <w:rPr>
                <w:rFonts w:hint="eastAsia"/>
                <w:color w:val="auto"/>
                <w:lang w:val="en-US" w:eastAsia="zh-CN"/>
              </w:rPr>
              <w:t>本项目位于湖南省衡阳市蒸湘区呆鹰岭镇振兴村江家塘组，现有工程厂区出入口设置在厂区西面，办公区设置在厂区西面；厂区内设有一条东西向主干道，主干道以北为生产厂房1#；主干道以南为原料堆场和成品堆场，原料堆场位于成品堆场东部，改建后新建生产厂房2#位于生产厂房1#北部，生产厂房2#东部新增一处原料堆场。</w:t>
            </w:r>
          </w:p>
          <w:p w14:paraId="32D80E03">
            <w:pPr>
              <w:rPr>
                <w:rFonts w:hint="eastAsia"/>
                <w:color w:val="auto"/>
                <w:lang w:val="en-US" w:eastAsia="zh-CN"/>
              </w:rPr>
            </w:pPr>
            <w:r>
              <w:rPr>
                <w:rFonts w:hint="eastAsia"/>
                <w:color w:val="auto"/>
                <w:lang w:val="en-US" w:eastAsia="zh-CN"/>
              </w:rPr>
              <w:t>本项目厂区平面布置图详见附图2。</w:t>
            </w:r>
          </w:p>
          <w:p w14:paraId="3C77910C">
            <w:pP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本项目总平面布置充分考虑生产及物流要求，生产车间均按照工艺流程合理紧凑地布置生产设备，平面布置基本合理。</w:t>
            </w:r>
          </w:p>
          <w:p w14:paraId="59E9AC7E">
            <w:pPr>
              <w:pStyle w:val="4"/>
              <w:bidi w:val="0"/>
              <w:rPr>
                <w:rFonts w:hint="eastAsia"/>
                <w:color w:val="auto"/>
                <w:lang w:val="en-US" w:eastAsia="zh-CN"/>
              </w:rPr>
            </w:pPr>
            <w:r>
              <w:rPr>
                <w:rFonts w:hint="eastAsia"/>
                <w:color w:val="auto"/>
                <w:lang w:val="en-US" w:eastAsia="zh-CN"/>
              </w:rPr>
              <w:t>11、物料平衡</w:t>
            </w:r>
          </w:p>
          <w:p w14:paraId="30C74E5E">
            <w:pPr>
              <w:rPr>
                <w:rFonts w:hint="eastAsia"/>
                <w:color w:val="auto"/>
                <w:lang w:val="en-US" w:eastAsia="zh-CN"/>
              </w:rPr>
            </w:pPr>
            <w:r>
              <w:rPr>
                <w:rFonts w:hint="eastAsia"/>
                <w:color w:val="auto"/>
                <w:lang w:val="en-US" w:eastAsia="zh-CN"/>
              </w:rPr>
              <w:t>本项目年处理建筑垃圾、装修垃圾、一般工业固体废物24万吨，投加水泥0.875万吨，年生产粉料1万吨、细骨料2万吨、粗骨料2万吨、砖3.675万吨、水稳砂14.7万吨。项目物料平衡详见表2-7。</w:t>
            </w:r>
          </w:p>
          <w:p w14:paraId="60F5F639">
            <w:pPr>
              <w:pStyle w:val="18"/>
              <w:bidi w:val="0"/>
              <w:rPr>
                <w:rFonts w:hint="eastAsia"/>
                <w:color w:val="auto"/>
                <w:lang w:val="en-US" w:eastAsia="zh-CN"/>
              </w:rPr>
            </w:pPr>
            <w:r>
              <w:rPr>
                <w:rFonts w:hint="eastAsia"/>
                <w:color w:val="auto"/>
                <w:lang w:val="en-US" w:eastAsia="zh-CN"/>
              </w:rPr>
              <w:t>表2-7 项目物料平衡表</w:t>
            </w:r>
          </w:p>
          <w:tbl>
            <w:tblPr>
              <w:tblStyle w:val="13"/>
              <w:tblW w:w="8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7"/>
              <w:gridCol w:w="2097"/>
              <w:gridCol w:w="2098"/>
              <w:gridCol w:w="2098"/>
            </w:tblGrid>
            <w:tr w14:paraId="5282C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4" w:type="dxa"/>
                  <w:gridSpan w:val="2"/>
                </w:tcPr>
                <w:p w14:paraId="000979FE">
                  <w:pPr>
                    <w:pStyle w:val="17"/>
                    <w:rPr>
                      <w:rFonts w:hint="default"/>
                      <w:color w:val="auto"/>
                      <w:vertAlign w:val="baseline"/>
                      <w:lang w:val="en-US" w:eastAsia="zh-CN"/>
                    </w:rPr>
                  </w:pPr>
                  <w:r>
                    <w:rPr>
                      <w:rFonts w:hint="eastAsia"/>
                      <w:color w:val="auto"/>
                      <w:vertAlign w:val="baseline"/>
                      <w:lang w:val="en-US" w:eastAsia="zh-CN"/>
                    </w:rPr>
                    <w:t>投入</w:t>
                  </w:r>
                </w:p>
              </w:tc>
              <w:tc>
                <w:tcPr>
                  <w:tcW w:w="4196" w:type="dxa"/>
                  <w:gridSpan w:val="2"/>
                </w:tcPr>
                <w:p w14:paraId="3FC6807A">
                  <w:pPr>
                    <w:pStyle w:val="17"/>
                    <w:rPr>
                      <w:rFonts w:hint="default"/>
                      <w:color w:val="auto"/>
                      <w:vertAlign w:val="baseline"/>
                      <w:lang w:val="en-US" w:eastAsia="zh-CN"/>
                    </w:rPr>
                  </w:pPr>
                  <w:r>
                    <w:rPr>
                      <w:rFonts w:hint="eastAsia"/>
                      <w:color w:val="auto"/>
                      <w:vertAlign w:val="baseline"/>
                      <w:lang w:val="en-US" w:eastAsia="zh-CN"/>
                    </w:rPr>
                    <w:t>产出</w:t>
                  </w:r>
                </w:p>
              </w:tc>
            </w:tr>
            <w:tr w14:paraId="24880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14:paraId="46C5F77E">
                  <w:pPr>
                    <w:pStyle w:val="17"/>
                    <w:rPr>
                      <w:rFonts w:hint="default"/>
                      <w:color w:val="auto"/>
                      <w:vertAlign w:val="baseline"/>
                      <w:lang w:val="en-US" w:eastAsia="zh-CN"/>
                    </w:rPr>
                  </w:pPr>
                  <w:r>
                    <w:rPr>
                      <w:rFonts w:hint="eastAsia"/>
                      <w:color w:val="auto"/>
                      <w:vertAlign w:val="baseline"/>
                      <w:lang w:val="en-US" w:eastAsia="zh-CN"/>
                    </w:rPr>
                    <w:t>物料名称</w:t>
                  </w:r>
                </w:p>
              </w:tc>
              <w:tc>
                <w:tcPr>
                  <w:tcW w:w="2097" w:type="dxa"/>
                </w:tcPr>
                <w:p w14:paraId="11A26B43">
                  <w:pPr>
                    <w:pStyle w:val="17"/>
                    <w:rPr>
                      <w:rFonts w:hint="default"/>
                      <w:color w:val="auto"/>
                      <w:vertAlign w:val="baseline"/>
                      <w:lang w:val="en-US" w:eastAsia="zh-CN"/>
                    </w:rPr>
                  </w:pPr>
                  <w:r>
                    <w:rPr>
                      <w:rFonts w:hint="eastAsia"/>
                      <w:color w:val="auto"/>
                      <w:vertAlign w:val="baseline"/>
                      <w:lang w:val="en-US" w:eastAsia="zh-CN"/>
                    </w:rPr>
                    <w:t>消耗量（万t/a）</w:t>
                  </w:r>
                </w:p>
              </w:tc>
              <w:tc>
                <w:tcPr>
                  <w:tcW w:w="2098" w:type="dxa"/>
                </w:tcPr>
                <w:p w14:paraId="335A61A2">
                  <w:pPr>
                    <w:pStyle w:val="17"/>
                    <w:rPr>
                      <w:rFonts w:hint="default"/>
                      <w:color w:val="auto"/>
                      <w:vertAlign w:val="baseline"/>
                      <w:lang w:val="en-US" w:eastAsia="zh-CN"/>
                    </w:rPr>
                  </w:pPr>
                  <w:r>
                    <w:rPr>
                      <w:rFonts w:hint="eastAsia"/>
                      <w:color w:val="auto"/>
                      <w:vertAlign w:val="baseline"/>
                      <w:lang w:val="en-US" w:eastAsia="zh-CN"/>
                    </w:rPr>
                    <w:t>物料名称</w:t>
                  </w:r>
                </w:p>
              </w:tc>
              <w:tc>
                <w:tcPr>
                  <w:tcW w:w="2098" w:type="dxa"/>
                </w:tcPr>
                <w:p w14:paraId="6323EF7F">
                  <w:pPr>
                    <w:pStyle w:val="17"/>
                    <w:rPr>
                      <w:rFonts w:hint="default"/>
                      <w:color w:val="auto"/>
                      <w:vertAlign w:val="baseline"/>
                      <w:lang w:val="en-US" w:eastAsia="zh-CN"/>
                    </w:rPr>
                  </w:pPr>
                  <w:r>
                    <w:rPr>
                      <w:rFonts w:hint="eastAsia"/>
                      <w:color w:val="auto"/>
                      <w:vertAlign w:val="baseline"/>
                      <w:lang w:val="en-US" w:eastAsia="zh-CN"/>
                    </w:rPr>
                    <w:t>产生量（t/a）</w:t>
                  </w:r>
                </w:p>
              </w:tc>
            </w:tr>
            <w:tr w14:paraId="5DBF5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14:paraId="5CA1776A">
                  <w:pPr>
                    <w:pStyle w:val="17"/>
                    <w:rPr>
                      <w:rFonts w:hint="default"/>
                      <w:color w:val="auto"/>
                      <w:vertAlign w:val="baseline"/>
                      <w:lang w:val="en-US" w:eastAsia="zh-CN"/>
                    </w:rPr>
                  </w:pPr>
                  <w:r>
                    <w:rPr>
                      <w:rFonts w:hint="eastAsia"/>
                      <w:color w:val="auto"/>
                      <w:vertAlign w:val="baseline"/>
                      <w:lang w:val="en-US" w:eastAsia="zh-CN"/>
                    </w:rPr>
                    <w:t>建筑垃圾</w:t>
                  </w:r>
                </w:p>
              </w:tc>
              <w:tc>
                <w:tcPr>
                  <w:tcW w:w="2097" w:type="dxa"/>
                </w:tcPr>
                <w:p w14:paraId="60A6CF82">
                  <w:pPr>
                    <w:pStyle w:val="17"/>
                    <w:rPr>
                      <w:rFonts w:hint="default"/>
                      <w:color w:val="auto"/>
                      <w:vertAlign w:val="baseline"/>
                      <w:lang w:val="en-US" w:eastAsia="zh-CN"/>
                    </w:rPr>
                  </w:pPr>
                  <w:r>
                    <w:rPr>
                      <w:rFonts w:hint="eastAsia"/>
                      <w:color w:val="auto"/>
                      <w:vertAlign w:val="baseline"/>
                      <w:lang w:val="en-US" w:eastAsia="zh-CN"/>
                    </w:rPr>
                    <w:t>100000</w:t>
                  </w:r>
                </w:p>
              </w:tc>
              <w:tc>
                <w:tcPr>
                  <w:tcW w:w="2098" w:type="dxa"/>
                </w:tcPr>
                <w:p w14:paraId="0AF43EBA">
                  <w:pPr>
                    <w:pStyle w:val="17"/>
                    <w:rPr>
                      <w:rFonts w:hint="default"/>
                      <w:color w:val="auto"/>
                      <w:vertAlign w:val="baseline"/>
                      <w:lang w:val="en-US" w:eastAsia="zh-CN"/>
                    </w:rPr>
                  </w:pPr>
                  <w:r>
                    <w:rPr>
                      <w:rFonts w:hint="eastAsia"/>
                      <w:color w:val="auto"/>
                      <w:vertAlign w:val="baseline"/>
                      <w:lang w:val="en-US" w:eastAsia="zh-CN"/>
                    </w:rPr>
                    <w:t>粉料</w:t>
                  </w:r>
                </w:p>
              </w:tc>
              <w:tc>
                <w:tcPr>
                  <w:tcW w:w="2098" w:type="dxa"/>
                </w:tcPr>
                <w:p w14:paraId="51DFD8C5">
                  <w:pPr>
                    <w:pStyle w:val="17"/>
                    <w:rPr>
                      <w:rFonts w:hint="default"/>
                      <w:color w:val="auto"/>
                      <w:vertAlign w:val="baseline"/>
                      <w:lang w:val="en-US" w:eastAsia="zh-CN"/>
                    </w:rPr>
                  </w:pPr>
                  <w:r>
                    <w:rPr>
                      <w:rFonts w:hint="eastAsia"/>
                      <w:color w:val="auto"/>
                      <w:vertAlign w:val="baseline"/>
                      <w:lang w:val="en-US" w:eastAsia="zh-CN"/>
                    </w:rPr>
                    <w:t>10000</w:t>
                  </w:r>
                </w:p>
              </w:tc>
            </w:tr>
            <w:tr w14:paraId="69F7D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14:paraId="37F2B70B">
                  <w:pPr>
                    <w:pStyle w:val="17"/>
                    <w:rPr>
                      <w:rFonts w:hint="default"/>
                      <w:color w:val="auto"/>
                      <w:vertAlign w:val="baseline"/>
                      <w:lang w:val="en-US" w:eastAsia="zh-CN"/>
                    </w:rPr>
                  </w:pPr>
                  <w:r>
                    <w:rPr>
                      <w:rFonts w:hint="eastAsia"/>
                      <w:color w:val="auto"/>
                      <w:vertAlign w:val="baseline"/>
                      <w:lang w:val="en-US" w:eastAsia="zh-CN"/>
                    </w:rPr>
                    <w:t>装修垃圾</w:t>
                  </w:r>
                </w:p>
              </w:tc>
              <w:tc>
                <w:tcPr>
                  <w:tcW w:w="2097" w:type="dxa"/>
                </w:tcPr>
                <w:p w14:paraId="5CF40452">
                  <w:pPr>
                    <w:pStyle w:val="17"/>
                    <w:rPr>
                      <w:rFonts w:hint="default"/>
                      <w:color w:val="auto"/>
                      <w:vertAlign w:val="baseline"/>
                      <w:lang w:val="en-US" w:eastAsia="zh-CN"/>
                    </w:rPr>
                  </w:pPr>
                  <w:r>
                    <w:rPr>
                      <w:rFonts w:hint="eastAsia"/>
                      <w:color w:val="auto"/>
                      <w:vertAlign w:val="baseline"/>
                      <w:lang w:val="en-US" w:eastAsia="zh-CN"/>
                    </w:rPr>
                    <w:t>40000</w:t>
                  </w:r>
                </w:p>
              </w:tc>
              <w:tc>
                <w:tcPr>
                  <w:tcW w:w="2098" w:type="dxa"/>
                </w:tcPr>
                <w:p w14:paraId="464B3A10">
                  <w:pPr>
                    <w:pStyle w:val="17"/>
                    <w:rPr>
                      <w:rFonts w:hint="default"/>
                      <w:color w:val="auto"/>
                      <w:vertAlign w:val="baseline"/>
                      <w:lang w:val="en-US" w:eastAsia="zh-CN"/>
                    </w:rPr>
                  </w:pPr>
                  <w:r>
                    <w:rPr>
                      <w:rFonts w:hint="eastAsia"/>
                      <w:color w:val="auto"/>
                      <w:vertAlign w:val="baseline"/>
                      <w:lang w:val="en-US" w:eastAsia="zh-CN"/>
                    </w:rPr>
                    <w:t>细骨料</w:t>
                  </w:r>
                </w:p>
              </w:tc>
              <w:tc>
                <w:tcPr>
                  <w:tcW w:w="2098" w:type="dxa"/>
                </w:tcPr>
                <w:p w14:paraId="5B8EFB0A">
                  <w:pPr>
                    <w:pStyle w:val="17"/>
                    <w:rPr>
                      <w:rFonts w:hint="default"/>
                      <w:color w:val="auto"/>
                      <w:vertAlign w:val="baseline"/>
                      <w:lang w:val="en-US" w:eastAsia="zh-CN"/>
                    </w:rPr>
                  </w:pPr>
                  <w:r>
                    <w:rPr>
                      <w:rFonts w:hint="eastAsia"/>
                      <w:color w:val="auto"/>
                      <w:vertAlign w:val="baseline"/>
                      <w:lang w:val="en-US" w:eastAsia="zh-CN"/>
                    </w:rPr>
                    <w:t>20000</w:t>
                  </w:r>
                </w:p>
              </w:tc>
            </w:tr>
            <w:tr w14:paraId="78A19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14:paraId="332DC37B">
                  <w:pPr>
                    <w:pStyle w:val="17"/>
                    <w:rPr>
                      <w:rFonts w:hint="default"/>
                      <w:color w:val="auto"/>
                      <w:vertAlign w:val="baseline"/>
                      <w:lang w:val="en-US" w:eastAsia="zh-CN"/>
                    </w:rPr>
                  </w:pPr>
                  <w:r>
                    <w:rPr>
                      <w:rFonts w:hint="eastAsia"/>
                      <w:color w:val="auto"/>
                      <w:vertAlign w:val="baseline"/>
                      <w:lang w:val="en-US" w:eastAsia="zh-CN"/>
                    </w:rPr>
                    <w:t>一般工业固体废物</w:t>
                  </w:r>
                </w:p>
              </w:tc>
              <w:tc>
                <w:tcPr>
                  <w:tcW w:w="2097" w:type="dxa"/>
                </w:tcPr>
                <w:p w14:paraId="5F39E782">
                  <w:pPr>
                    <w:pStyle w:val="17"/>
                    <w:rPr>
                      <w:rFonts w:hint="default"/>
                      <w:color w:val="auto"/>
                      <w:vertAlign w:val="baseline"/>
                      <w:lang w:val="en-US" w:eastAsia="zh-CN"/>
                    </w:rPr>
                  </w:pPr>
                  <w:r>
                    <w:rPr>
                      <w:rFonts w:hint="eastAsia"/>
                      <w:color w:val="auto"/>
                      <w:vertAlign w:val="baseline"/>
                      <w:lang w:val="en-US" w:eastAsia="zh-CN"/>
                    </w:rPr>
                    <w:t>100000</w:t>
                  </w:r>
                </w:p>
              </w:tc>
              <w:tc>
                <w:tcPr>
                  <w:tcW w:w="2098" w:type="dxa"/>
                </w:tcPr>
                <w:p w14:paraId="2D66A73B">
                  <w:pPr>
                    <w:pStyle w:val="17"/>
                    <w:rPr>
                      <w:rFonts w:hint="default"/>
                      <w:color w:val="auto"/>
                      <w:vertAlign w:val="baseline"/>
                      <w:lang w:val="en-US" w:eastAsia="zh-CN"/>
                    </w:rPr>
                  </w:pPr>
                  <w:r>
                    <w:rPr>
                      <w:rFonts w:hint="eastAsia"/>
                      <w:color w:val="auto"/>
                      <w:vertAlign w:val="baseline"/>
                      <w:lang w:val="en-US" w:eastAsia="zh-CN"/>
                    </w:rPr>
                    <w:t>粗骨料</w:t>
                  </w:r>
                </w:p>
              </w:tc>
              <w:tc>
                <w:tcPr>
                  <w:tcW w:w="2098" w:type="dxa"/>
                </w:tcPr>
                <w:p w14:paraId="12499BFB">
                  <w:pPr>
                    <w:pStyle w:val="17"/>
                    <w:rPr>
                      <w:rFonts w:hint="default"/>
                      <w:color w:val="auto"/>
                      <w:vertAlign w:val="baseline"/>
                      <w:lang w:val="en-US" w:eastAsia="zh-CN"/>
                    </w:rPr>
                  </w:pPr>
                  <w:r>
                    <w:rPr>
                      <w:rFonts w:hint="eastAsia"/>
                      <w:color w:val="auto"/>
                      <w:vertAlign w:val="baseline"/>
                      <w:lang w:val="en-US" w:eastAsia="zh-CN"/>
                    </w:rPr>
                    <w:t>20000</w:t>
                  </w:r>
                </w:p>
              </w:tc>
            </w:tr>
            <w:tr w14:paraId="69621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14:paraId="05097B56">
                  <w:pPr>
                    <w:pStyle w:val="17"/>
                    <w:rPr>
                      <w:rFonts w:hint="default"/>
                      <w:color w:val="auto"/>
                      <w:vertAlign w:val="baseline"/>
                      <w:lang w:val="en-US" w:eastAsia="zh-CN"/>
                    </w:rPr>
                  </w:pPr>
                  <w:r>
                    <w:rPr>
                      <w:rFonts w:hint="eastAsia"/>
                      <w:color w:val="auto"/>
                      <w:vertAlign w:val="baseline"/>
                      <w:lang w:val="en-US" w:eastAsia="zh-CN"/>
                    </w:rPr>
                    <w:t>水泥</w:t>
                  </w:r>
                </w:p>
              </w:tc>
              <w:tc>
                <w:tcPr>
                  <w:tcW w:w="2097" w:type="dxa"/>
                </w:tcPr>
                <w:p w14:paraId="03CE8B9C">
                  <w:pPr>
                    <w:pStyle w:val="17"/>
                    <w:rPr>
                      <w:rFonts w:hint="default"/>
                      <w:color w:val="auto"/>
                      <w:vertAlign w:val="baseline"/>
                      <w:lang w:val="en-US" w:eastAsia="zh-CN"/>
                    </w:rPr>
                  </w:pPr>
                  <w:r>
                    <w:rPr>
                      <w:rFonts w:hint="eastAsia"/>
                      <w:color w:val="auto"/>
                      <w:vertAlign w:val="baseline"/>
                      <w:lang w:val="en-US" w:eastAsia="zh-CN"/>
                    </w:rPr>
                    <w:t>8750</w:t>
                  </w:r>
                </w:p>
              </w:tc>
              <w:tc>
                <w:tcPr>
                  <w:tcW w:w="2098" w:type="dxa"/>
                </w:tcPr>
                <w:p w14:paraId="2A1EB974">
                  <w:pPr>
                    <w:pStyle w:val="17"/>
                    <w:rPr>
                      <w:rFonts w:hint="default"/>
                      <w:color w:val="auto"/>
                      <w:vertAlign w:val="baseline"/>
                      <w:lang w:val="en-US" w:eastAsia="zh-CN"/>
                    </w:rPr>
                  </w:pPr>
                  <w:r>
                    <w:rPr>
                      <w:rFonts w:hint="eastAsia"/>
                      <w:color w:val="auto"/>
                      <w:vertAlign w:val="baseline"/>
                      <w:lang w:val="en-US" w:eastAsia="zh-CN"/>
                    </w:rPr>
                    <w:t>砖</w:t>
                  </w:r>
                </w:p>
              </w:tc>
              <w:tc>
                <w:tcPr>
                  <w:tcW w:w="2098" w:type="dxa"/>
                </w:tcPr>
                <w:p w14:paraId="742FCD5C">
                  <w:pPr>
                    <w:pStyle w:val="17"/>
                    <w:rPr>
                      <w:rFonts w:hint="default"/>
                      <w:color w:val="auto"/>
                      <w:vertAlign w:val="baseline"/>
                      <w:lang w:val="en-US" w:eastAsia="zh-CN"/>
                    </w:rPr>
                  </w:pPr>
                  <w:r>
                    <w:rPr>
                      <w:rFonts w:hint="eastAsia"/>
                      <w:color w:val="auto"/>
                      <w:vertAlign w:val="baseline"/>
                      <w:lang w:val="en-US" w:eastAsia="zh-CN"/>
                    </w:rPr>
                    <w:t>36750</w:t>
                  </w:r>
                </w:p>
              </w:tc>
            </w:tr>
            <w:tr w14:paraId="41EFB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14:paraId="18EBC99B">
                  <w:pPr>
                    <w:pStyle w:val="17"/>
                    <w:rPr>
                      <w:rFonts w:hint="eastAsia"/>
                      <w:color w:val="auto"/>
                      <w:vertAlign w:val="baseline"/>
                      <w:lang w:val="en-US" w:eastAsia="zh-CN"/>
                    </w:rPr>
                  </w:pPr>
                </w:p>
              </w:tc>
              <w:tc>
                <w:tcPr>
                  <w:tcW w:w="2097" w:type="dxa"/>
                </w:tcPr>
                <w:p w14:paraId="1583C60E">
                  <w:pPr>
                    <w:pStyle w:val="17"/>
                    <w:rPr>
                      <w:rFonts w:hint="eastAsia"/>
                      <w:color w:val="auto"/>
                      <w:vertAlign w:val="baseline"/>
                      <w:lang w:val="en-US" w:eastAsia="zh-CN"/>
                    </w:rPr>
                  </w:pPr>
                </w:p>
              </w:tc>
              <w:tc>
                <w:tcPr>
                  <w:tcW w:w="2098" w:type="dxa"/>
                </w:tcPr>
                <w:p w14:paraId="7B6094C3">
                  <w:pPr>
                    <w:pStyle w:val="17"/>
                    <w:rPr>
                      <w:rFonts w:hint="default"/>
                      <w:color w:val="auto"/>
                      <w:vertAlign w:val="baseline"/>
                      <w:lang w:val="en-US" w:eastAsia="zh-CN"/>
                    </w:rPr>
                  </w:pPr>
                  <w:r>
                    <w:rPr>
                      <w:rFonts w:hint="eastAsia"/>
                      <w:color w:val="auto"/>
                      <w:vertAlign w:val="baseline"/>
                      <w:lang w:val="en-US" w:eastAsia="zh-CN"/>
                    </w:rPr>
                    <w:t>水稳砂</w:t>
                  </w:r>
                </w:p>
              </w:tc>
              <w:tc>
                <w:tcPr>
                  <w:tcW w:w="2098" w:type="dxa"/>
                </w:tcPr>
                <w:p w14:paraId="364D8CE4">
                  <w:pPr>
                    <w:pStyle w:val="17"/>
                    <w:rPr>
                      <w:rFonts w:hint="default"/>
                      <w:color w:val="auto"/>
                      <w:vertAlign w:val="baseline"/>
                      <w:lang w:val="en-US" w:eastAsia="zh-CN"/>
                    </w:rPr>
                  </w:pPr>
                  <w:r>
                    <w:rPr>
                      <w:rFonts w:hint="eastAsia"/>
                      <w:color w:val="auto"/>
                      <w:vertAlign w:val="baseline"/>
                      <w:lang w:val="en-US" w:eastAsia="zh-CN"/>
                    </w:rPr>
                    <w:t>147000</w:t>
                  </w:r>
                </w:p>
              </w:tc>
            </w:tr>
            <w:tr w14:paraId="73B7D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14:paraId="2A4B9DDF">
                  <w:pPr>
                    <w:pStyle w:val="17"/>
                    <w:rPr>
                      <w:rFonts w:hint="eastAsia"/>
                      <w:color w:val="auto"/>
                      <w:vertAlign w:val="baseline"/>
                      <w:lang w:val="en-US" w:eastAsia="zh-CN"/>
                    </w:rPr>
                  </w:pPr>
                </w:p>
              </w:tc>
              <w:tc>
                <w:tcPr>
                  <w:tcW w:w="2097" w:type="dxa"/>
                </w:tcPr>
                <w:p w14:paraId="188B4E2E">
                  <w:pPr>
                    <w:pStyle w:val="17"/>
                    <w:rPr>
                      <w:rFonts w:hint="eastAsia"/>
                      <w:color w:val="auto"/>
                      <w:vertAlign w:val="baseline"/>
                      <w:lang w:val="en-US" w:eastAsia="zh-CN"/>
                    </w:rPr>
                  </w:pPr>
                </w:p>
              </w:tc>
              <w:tc>
                <w:tcPr>
                  <w:tcW w:w="2098" w:type="dxa"/>
                </w:tcPr>
                <w:p w14:paraId="573E287D">
                  <w:pPr>
                    <w:pStyle w:val="17"/>
                    <w:rPr>
                      <w:rFonts w:hint="default"/>
                      <w:color w:val="auto"/>
                      <w:vertAlign w:val="baseline"/>
                      <w:lang w:val="en-US" w:eastAsia="zh-CN"/>
                    </w:rPr>
                  </w:pPr>
                  <w:r>
                    <w:rPr>
                      <w:rFonts w:hint="eastAsia"/>
                      <w:color w:val="auto"/>
                      <w:vertAlign w:val="baseline"/>
                      <w:lang w:val="en-US" w:eastAsia="zh-CN"/>
                    </w:rPr>
                    <w:t>破碎筛分废气排放</w:t>
                  </w:r>
                </w:p>
              </w:tc>
              <w:tc>
                <w:tcPr>
                  <w:tcW w:w="2098" w:type="dxa"/>
                </w:tcPr>
                <w:p w14:paraId="62BC174E">
                  <w:pPr>
                    <w:pStyle w:val="17"/>
                    <w:rPr>
                      <w:rFonts w:hint="default"/>
                      <w:color w:val="auto"/>
                      <w:vertAlign w:val="baseline"/>
                      <w:lang w:val="en-US" w:eastAsia="zh-CN"/>
                    </w:rPr>
                  </w:pPr>
                  <w:r>
                    <w:rPr>
                      <w:rFonts w:hint="eastAsia"/>
                      <w:color w:val="auto"/>
                      <w:vertAlign w:val="baseline"/>
                      <w:lang w:val="en-US" w:eastAsia="zh-CN"/>
                    </w:rPr>
                    <w:t>1.467</w:t>
                  </w:r>
                </w:p>
              </w:tc>
            </w:tr>
            <w:tr w14:paraId="3F7D9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14:paraId="36B2B87F">
                  <w:pPr>
                    <w:pStyle w:val="17"/>
                    <w:rPr>
                      <w:rFonts w:hint="eastAsia"/>
                      <w:color w:val="auto"/>
                      <w:vertAlign w:val="baseline"/>
                      <w:lang w:val="en-US" w:eastAsia="zh-CN"/>
                    </w:rPr>
                  </w:pPr>
                </w:p>
              </w:tc>
              <w:tc>
                <w:tcPr>
                  <w:tcW w:w="2097" w:type="dxa"/>
                </w:tcPr>
                <w:p w14:paraId="4F6A1ECA">
                  <w:pPr>
                    <w:pStyle w:val="17"/>
                    <w:rPr>
                      <w:rFonts w:hint="eastAsia"/>
                      <w:color w:val="auto"/>
                      <w:vertAlign w:val="baseline"/>
                      <w:lang w:val="en-US" w:eastAsia="zh-CN"/>
                    </w:rPr>
                  </w:pPr>
                </w:p>
              </w:tc>
              <w:tc>
                <w:tcPr>
                  <w:tcW w:w="2098" w:type="dxa"/>
                </w:tcPr>
                <w:p w14:paraId="036D08E8">
                  <w:pPr>
                    <w:pStyle w:val="17"/>
                    <w:rPr>
                      <w:rFonts w:hint="default"/>
                      <w:color w:val="auto"/>
                      <w:vertAlign w:val="baseline"/>
                      <w:lang w:val="en-US" w:eastAsia="zh-CN"/>
                    </w:rPr>
                  </w:pPr>
                  <w:r>
                    <w:rPr>
                      <w:rFonts w:hint="eastAsia"/>
                      <w:color w:val="auto"/>
                      <w:vertAlign w:val="baseline"/>
                      <w:lang w:val="en-US" w:eastAsia="zh-CN"/>
                    </w:rPr>
                    <w:t>输送废气排放</w:t>
                  </w:r>
                </w:p>
              </w:tc>
              <w:tc>
                <w:tcPr>
                  <w:tcW w:w="2098" w:type="dxa"/>
                </w:tcPr>
                <w:p w14:paraId="1D06A9DD">
                  <w:pPr>
                    <w:pStyle w:val="17"/>
                    <w:rPr>
                      <w:rFonts w:hint="default"/>
                      <w:color w:val="auto"/>
                      <w:vertAlign w:val="baseline"/>
                      <w:lang w:val="en-US" w:eastAsia="zh-CN"/>
                    </w:rPr>
                  </w:pPr>
                  <w:r>
                    <w:rPr>
                      <w:rFonts w:hint="eastAsia"/>
                      <w:color w:val="auto"/>
                      <w:vertAlign w:val="baseline"/>
                      <w:lang w:val="en-US" w:eastAsia="zh-CN"/>
                    </w:rPr>
                    <w:t>0.12</w:t>
                  </w:r>
                </w:p>
              </w:tc>
            </w:tr>
            <w:tr w14:paraId="081C7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14:paraId="316F113A">
                  <w:pPr>
                    <w:pStyle w:val="17"/>
                    <w:rPr>
                      <w:rFonts w:hint="eastAsia"/>
                      <w:color w:val="auto"/>
                      <w:vertAlign w:val="baseline"/>
                      <w:lang w:val="en-US" w:eastAsia="zh-CN"/>
                    </w:rPr>
                  </w:pPr>
                </w:p>
              </w:tc>
              <w:tc>
                <w:tcPr>
                  <w:tcW w:w="2097" w:type="dxa"/>
                </w:tcPr>
                <w:p w14:paraId="6736EAC9">
                  <w:pPr>
                    <w:pStyle w:val="17"/>
                    <w:rPr>
                      <w:rFonts w:hint="eastAsia"/>
                      <w:color w:val="auto"/>
                      <w:vertAlign w:val="baseline"/>
                      <w:lang w:val="en-US" w:eastAsia="zh-CN"/>
                    </w:rPr>
                  </w:pPr>
                </w:p>
              </w:tc>
              <w:tc>
                <w:tcPr>
                  <w:tcW w:w="2098" w:type="dxa"/>
                </w:tcPr>
                <w:p w14:paraId="686B2900">
                  <w:pPr>
                    <w:pStyle w:val="17"/>
                    <w:rPr>
                      <w:rFonts w:hint="default"/>
                      <w:color w:val="auto"/>
                      <w:vertAlign w:val="baseline"/>
                      <w:lang w:val="en-US" w:eastAsia="zh-CN"/>
                    </w:rPr>
                  </w:pPr>
                  <w:r>
                    <w:rPr>
                      <w:rFonts w:hint="eastAsia"/>
                      <w:color w:val="auto"/>
                      <w:vertAlign w:val="baseline"/>
                      <w:lang w:val="en-US" w:eastAsia="zh-CN"/>
                    </w:rPr>
                    <w:t>搅拌废气排放</w:t>
                  </w:r>
                </w:p>
              </w:tc>
              <w:tc>
                <w:tcPr>
                  <w:tcW w:w="2098" w:type="dxa"/>
                </w:tcPr>
                <w:p w14:paraId="4E052A8F">
                  <w:pPr>
                    <w:pStyle w:val="17"/>
                    <w:rPr>
                      <w:rFonts w:hint="default"/>
                      <w:color w:val="auto"/>
                      <w:vertAlign w:val="baseline"/>
                      <w:lang w:val="en-US" w:eastAsia="zh-CN"/>
                    </w:rPr>
                  </w:pPr>
                  <w:r>
                    <w:rPr>
                      <w:rFonts w:hint="eastAsia"/>
                      <w:color w:val="auto"/>
                      <w:vertAlign w:val="baseline"/>
                      <w:lang w:val="en-US" w:eastAsia="zh-CN"/>
                    </w:rPr>
                    <w:t>0.2883</w:t>
                  </w:r>
                </w:p>
              </w:tc>
            </w:tr>
            <w:tr w14:paraId="463EE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14:paraId="17BEA5A1">
                  <w:pPr>
                    <w:pStyle w:val="17"/>
                    <w:rPr>
                      <w:rFonts w:hint="eastAsia"/>
                      <w:color w:val="auto"/>
                      <w:vertAlign w:val="baseline"/>
                      <w:lang w:val="en-US" w:eastAsia="zh-CN"/>
                    </w:rPr>
                  </w:pPr>
                </w:p>
              </w:tc>
              <w:tc>
                <w:tcPr>
                  <w:tcW w:w="2097" w:type="dxa"/>
                </w:tcPr>
                <w:p w14:paraId="582302D2">
                  <w:pPr>
                    <w:pStyle w:val="17"/>
                    <w:rPr>
                      <w:rFonts w:hint="eastAsia"/>
                      <w:color w:val="auto"/>
                      <w:vertAlign w:val="baseline"/>
                      <w:lang w:val="en-US" w:eastAsia="zh-CN"/>
                    </w:rPr>
                  </w:pPr>
                </w:p>
              </w:tc>
              <w:tc>
                <w:tcPr>
                  <w:tcW w:w="2098" w:type="dxa"/>
                </w:tcPr>
                <w:p w14:paraId="45828305">
                  <w:pPr>
                    <w:pStyle w:val="17"/>
                    <w:rPr>
                      <w:rFonts w:hint="default"/>
                      <w:color w:val="auto"/>
                      <w:vertAlign w:val="baseline"/>
                      <w:lang w:val="en-US" w:eastAsia="zh-CN"/>
                    </w:rPr>
                  </w:pPr>
                  <w:r>
                    <w:rPr>
                      <w:rFonts w:hint="eastAsia"/>
                      <w:color w:val="auto"/>
                      <w:vertAlign w:val="baseline"/>
                      <w:lang w:val="en-US" w:eastAsia="zh-CN"/>
                    </w:rPr>
                    <w:t>钢筋、木块、废塑料等</w:t>
                  </w:r>
                </w:p>
              </w:tc>
              <w:tc>
                <w:tcPr>
                  <w:tcW w:w="2098" w:type="dxa"/>
                </w:tcPr>
                <w:p w14:paraId="2EFCC195">
                  <w:pPr>
                    <w:pStyle w:val="17"/>
                    <w:rPr>
                      <w:rFonts w:hint="default"/>
                      <w:color w:val="auto"/>
                      <w:vertAlign w:val="baseline"/>
                      <w:lang w:val="en-US" w:eastAsia="zh-CN"/>
                    </w:rPr>
                  </w:pPr>
                  <w:r>
                    <w:rPr>
                      <w:rFonts w:hint="eastAsia"/>
                      <w:color w:val="auto"/>
                      <w:vertAlign w:val="baseline"/>
                      <w:lang w:val="en-US" w:eastAsia="zh-CN"/>
                    </w:rPr>
                    <w:t>2400</w:t>
                  </w:r>
                </w:p>
              </w:tc>
            </w:tr>
            <w:tr w14:paraId="5CE7A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14:paraId="58AB6E56">
                  <w:pPr>
                    <w:pStyle w:val="17"/>
                    <w:rPr>
                      <w:rFonts w:hint="eastAsia"/>
                      <w:color w:val="auto"/>
                      <w:vertAlign w:val="baseline"/>
                      <w:lang w:val="en-US" w:eastAsia="zh-CN"/>
                    </w:rPr>
                  </w:pPr>
                </w:p>
              </w:tc>
              <w:tc>
                <w:tcPr>
                  <w:tcW w:w="2097" w:type="dxa"/>
                </w:tcPr>
                <w:p w14:paraId="33DF239F">
                  <w:pPr>
                    <w:pStyle w:val="17"/>
                    <w:rPr>
                      <w:rFonts w:hint="eastAsia"/>
                      <w:color w:val="auto"/>
                      <w:vertAlign w:val="baseline"/>
                      <w:lang w:val="en-US" w:eastAsia="zh-CN"/>
                    </w:rPr>
                  </w:pPr>
                </w:p>
              </w:tc>
              <w:tc>
                <w:tcPr>
                  <w:tcW w:w="2098" w:type="dxa"/>
                </w:tcPr>
                <w:p w14:paraId="516C3907">
                  <w:pPr>
                    <w:pStyle w:val="17"/>
                    <w:rPr>
                      <w:rFonts w:hint="default"/>
                      <w:color w:val="auto"/>
                      <w:vertAlign w:val="baseline"/>
                      <w:lang w:val="en-US" w:eastAsia="zh-CN"/>
                    </w:rPr>
                  </w:pPr>
                  <w:r>
                    <w:rPr>
                      <w:rFonts w:hint="eastAsia"/>
                      <w:color w:val="auto"/>
                      <w:vertAlign w:val="baseline"/>
                      <w:lang w:val="en-US" w:eastAsia="zh-CN"/>
                    </w:rPr>
                    <w:t>除尘器粉尘</w:t>
                  </w:r>
                </w:p>
              </w:tc>
              <w:tc>
                <w:tcPr>
                  <w:tcW w:w="2098" w:type="dxa"/>
                </w:tcPr>
                <w:p w14:paraId="5C2B86DE">
                  <w:pPr>
                    <w:pStyle w:val="17"/>
                    <w:rPr>
                      <w:rFonts w:hint="default"/>
                      <w:color w:val="auto"/>
                      <w:vertAlign w:val="baseline"/>
                      <w:lang w:val="en-US" w:eastAsia="zh-CN"/>
                    </w:rPr>
                  </w:pPr>
                  <w:r>
                    <w:rPr>
                      <w:rFonts w:hint="eastAsia"/>
                      <w:color w:val="auto"/>
                      <w:vertAlign w:val="baseline"/>
                      <w:lang w:val="en-US" w:eastAsia="zh-CN"/>
                    </w:rPr>
                    <w:t>292.0538</w:t>
                  </w:r>
                </w:p>
              </w:tc>
            </w:tr>
            <w:tr w14:paraId="3EB12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14:paraId="7C0FE15D">
                  <w:pPr>
                    <w:pStyle w:val="17"/>
                    <w:rPr>
                      <w:rFonts w:hint="eastAsia"/>
                      <w:color w:val="auto"/>
                      <w:vertAlign w:val="baseline"/>
                      <w:lang w:val="en-US" w:eastAsia="zh-CN"/>
                    </w:rPr>
                  </w:pPr>
                </w:p>
              </w:tc>
              <w:tc>
                <w:tcPr>
                  <w:tcW w:w="2097" w:type="dxa"/>
                </w:tcPr>
                <w:p w14:paraId="71C672FE">
                  <w:pPr>
                    <w:pStyle w:val="17"/>
                    <w:rPr>
                      <w:rFonts w:hint="eastAsia"/>
                      <w:color w:val="auto"/>
                      <w:vertAlign w:val="baseline"/>
                      <w:lang w:val="en-US" w:eastAsia="zh-CN"/>
                    </w:rPr>
                  </w:pPr>
                </w:p>
              </w:tc>
              <w:tc>
                <w:tcPr>
                  <w:tcW w:w="2098" w:type="dxa"/>
                </w:tcPr>
                <w:p w14:paraId="68B65378">
                  <w:pPr>
                    <w:pStyle w:val="17"/>
                    <w:rPr>
                      <w:rFonts w:hint="default"/>
                      <w:color w:val="auto"/>
                      <w:vertAlign w:val="baseline"/>
                      <w:lang w:val="en-US" w:eastAsia="zh-CN"/>
                    </w:rPr>
                  </w:pPr>
                  <w:r>
                    <w:rPr>
                      <w:rFonts w:hint="eastAsia"/>
                      <w:color w:val="auto"/>
                      <w:vertAlign w:val="baseline"/>
                      <w:lang w:val="en-US" w:eastAsia="zh-CN"/>
                    </w:rPr>
                    <w:t>成型养护固废</w:t>
                  </w:r>
                </w:p>
              </w:tc>
              <w:tc>
                <w:tcPr>
                  <w:tcW w:w="2098" w:type="dxa"/>
                </w:tcPr>
                <w:p w14:paraId="32FCD7EF">
                  <w:pPr>
                    <w:pStyle w:val="17"/>
                    <w:rPr>
                      <w:rFonts w:hint="default"/>
                      <w:color w:val="auto"/>
                      <w:vertAlign w:val="baseline"/>
                      <w:lang w:val="en-US" w:eastAsia="zh-CN"/>
                    </w:rPr>
                  </w:pPr>
                  <w:r>
                    <w:rPr>
                      <w:rFonts w:hint="eastAsia"/>
                      <w:color w:val="auto"/>
                      <w:vertAlign w:val="baseline"/>
                      <w:lang w:val="en-US" w:eastAsia="zh-CN"/>
                    </w:rPr>
                    <w:t>16.5375</w:t>
                  </w:r>
                </w:p>
              </w:tc>
            </w:tr>
            <w:tr w14:paraId="785E5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14:paraId="17EE462B">
                  <w:pPr>
                    <w:pStyle w:val="17"/>
                    <w:rPr>
                      <w:rFonts w:hint="default"/>
                      <w:color w:val="auto"/>
                      <w:vertAlign w:val="baseline"/>
                      <w:lang w:val="en-US" w:eastAsia="zh-CN"/>
                    </w:rPr>
                  </w:pPr>
                </w:p>
              </w:tc>
              <w:tc>
                <w:tcPr>
                  <w:tcW w:w="2097" w:type="dxa"/>
                </w:tcPr>
                <w:p w14:paraId="3B430D60">
                  <w:pPr>
                    <w:pStyle w:val="17"/>
                    <w:rPr>
                      <w:rFonts w:hint="default"/>
                      <w:color w:val="auto"/>
                      <w:vertAlign w:val="baseline"/>
                      <w:lang w:val="en-US" w:eastAsia="zh-CN"/>
                    </w:rPr>
                  </w:pPr>
                </w:p>
              </w:tc>
              <w:tc>
                <w:tcPr>
                  <w:tcW w:w="2098" w:type="dxa"/>
                </w:tcPr>
                <w:p w14:paraId="72DDEAC7">
                  <w:pPr>
                    <w:pStyle w:val="17"/>
                    <w:rPr>
                      <w:rFonts w:hint="default"/>
                      <w:color w:val="auto"/>
                      <w:vertAlign w:val="baseline"/>
                      <w:lang w:val="en-US" w:eastAsia="zh-CN"/>
                    </w:rPr>
                  </w:pPr>
                  <w:r>
                    <w:rPr>
                      <w:rFonts w:hint="eastAsia"/>
                      <w:color w:val="auto"/>
                      <w:vertAlign w:val="baseline"/>
                      <w:lang w:val="en-US" w:eastAsia="zh-CN"/>
                    </w:rPr>
                    <w:t>损耗</w:t>
                  </w:r>
                </w:p>
              </w:tc>
              <w:tc>
                <w:tcPr>
                  <w:tcW w:w="2098" w:type="dxa"/>
                </w:tcPr>
                <w:p w14:paraId="6B90CFA6">
                  <w:pPr>
                    <w:pStyle w:val="17"/>
                    <w:rPr>
                      <w:rFonts w:hint="eastAsia"/>
                      <w:color w:val="auto"/>
                      <w:vertAlign w:val="baseline"/>
                      <w:lang w:val="en-US" w:eastAsia="zh-CN"/>
                    </w:rPr>
                  </w:pPr>
                  <w:r>
                    <w:rPr>
                      <w:rFonts w:hint="eastAsia"/>
                      <w:color w:val="auto"/>
                      <w:vertAlign w:val="baseline"/>
                      <w:lang w:val="en-US" w:eastAsia="zh-CN"/>
                    </w:rPr>
                    <w:t>12289.5334</w:t>
                  </w:r>
                </w:p>
              </w:tc>
            </w:tr>
            <w:tr w14:paraId="39DAC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vAlign w:val="top"/>
                </w:tcPr>
                <w:p w14:paraId="680DCC82">
                  <w:pPr>
                    <w:pStyle w:val="17"/>
                    <w:ind w:firstLine="0" w:firstLineChars="0"/>
                    <w:rPr>
                      <w:rFonts w:hint="eastAsia"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合计</w:t>
                  </w:r>
                </w:p>
              </w:tc>
              <w:tc>
                <w:tcPr>
                  <w:tcW w:w="2097" w:type="dxa"/>
                  <w:vAlign w:val="top"/>
                </w:tcPr>
                <w:p w14:paraId="44686491">
                  <w:pPr>
                    <w:pStyle w:val="17"/>
                    <w:ind w:firstLine="0" w:firstLineChars="0"/>
                    <w:rPr>
                      <w:rFonts w:hint="eastAsia"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248750</w:t>
                  </w:r>
                </w:p>
              </w:tc>
              <w:tc>
                <w:tcPr>
                  <w:tcW w:w="2098" w:type="dxa"/>
                </w:tcPr>
                <w:p w14:paraId="16C0685D">
                  <w:pPr>
                    <w:pStyle w:val="17"/>
                    <w:rPr>
                      <w:rFonts w:hint="default"/>
                      <w:color w:val="auto"/>
                      <w:vertAlign w:val="baseline"/>
                      <w:lang w:val="en-US" w:eastAsia="zh-CN"/>
                    </w:rPr>
                  </w:pPr>
                  <w:r>
                    <w:rPr>
                      <w:rFonts w:hint="eastAsia"/>
                      <w:color w:val="auto"/>
                      <w:vertAlign w:val="baseline"/>
                      <w:lang w:val="en-US" w:eastAsia="zh-CN"/>
                    </w:rPr>
                    <w:t>合计</w:t>
                  </w:r>
                </w:p>
              </w:tc>
              <w:tc>
                <w:tcPr>
                  <w:tcW w:w="2098" w:type="dxa"/>
                </w:tcPr>
                <w:p w14:paraId="4A64B1BE">
                  <w:pPr>
                    <w:pStyle w:val="17"/>
                    <w:rPr>
                      <w:rFonts w:hint="default"/>
                      <w:color w:val="auto"/>
                      <w:vertAlign w:val="baseline"/>
                      <w:lang w:val="en-US" w:eastAsia="zh-CN"/>
                    </w:rPr>
                  </w:pPr>
                  <w:r>
                    <w:rPr>
                      <w:rFonts w:hint="eastAsia"/>
                      <w:color w:val="auto"/>
                      <w:vertAlign w:val="baseline"/>
                      <w:lang w:val="en-US" w:eastAsia="zh-CN"/>
                    </w:rPr>
                    <w:t>248750</w:t>
                  </w:r>
                </w:p>
              </w:tc>
            </w:tr>
          </w:tbl>
          <w:p w14:paraId="75A60A8D">
            <w:pPr>
              <w:pStyle w:val="17"/>
              <w:rPr>
                <w:rFonts w:hint="default"/>
                <w:color w:val="auto"/>
                <w:lang w:val="en-US" w:eastAsia="zh-CN"/>
              </w:rPr>
            </w:pPr>
          </w:p>
        </w:tc>
      </w:tr>
      <w:tr w14:paraId="3E1D44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4" w:type="dxa"/>
            <w:noWrap w:val="0"/>
            <w:vAlign w:val="center"/>
          </w:tcPr>
          <w:p w14:paraId="77ABB49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color w:val="auto"/>
              </w:rPr>
            </w:pPr>
            <w:r>
              <w:rPr>
                <w:rFonts w:hint="eastAsia"/>
                <w:color w:val="auto"/>
              </w:rPr>
              <w:t>工艺流程和产排污环节</w:t>
            </w:r>
          </w:p>
        </w:tc>
        <w:tc>
          <w:tcPr>
            <w:tcW w:w="8605" w:type="dxa"/>
            <w:noWrap w:val="0"/>
            <w:vAlign w:val="top"/>
          </w:tcPr>
          <w:p w14:paraId="55C15D44">
            <w:pPr>
              <w:pStyle w:val="4"/>
              <w:bidi w:val="0"/>
              <w:rPr>
                <w:rFonts w:hint="eastAsia"/>
                <w:color w:val="auto"/>
              </w:rPr>
            </w:pPr>
            <w:bookmarkStart w:id="197" w:name="_Toc15967"/>
            <w:bookmarkStart w:id="198" w:name="_Toc25368"/>
            <w:bookmarkStart w:id="199" w:name="_Toc1927"/>
            <w:bookmarkStart w:id="200" w:name="_Toc26935"/>
            <w:bookmarkStart w:id="201" w:name="_Toc23830"/>
            <w:r>
              <w:rPr>
                <w:rFonts w:hint="eastAsia"/>
                <w:color w:val="auto"/>
              </w:rPr>
              <w:t>1、施工期工艺流程及产污环节</w:t>
            </w:r>
            <w:bookmarkEnd w:id="197"/>
            <w:bookmarkEnd w:id="198"/>
            <w:bookmarkEnd w:id="199"/>
            <w:bookmarkEnd w:id="200"/>
            <w:bookmarkEnd w:id="201"/>
          </w:p>
          <w:p w14:paraId="6D6346B8">
            <w:pPr>
              <w:pStyle w:val="5"/>
              <w:bidi w:val="0"/>
              <w:rPr>
                <w:rFonts w:hint="eastAsia"/>
                <w:color w:val="auto"/>
              </w:rPr>
            </w:pPr>
            <w:bookmarkStart w:id="202" w:name="_Toc8855"/>
            <w:bookmarkStart w:id="203" w:name="_Toc3183"/>
            <w:bookmarkStart w:id="204" w:name="_Toc23370"/>
            <w:bookmarkStart w:id="205" w:name="_Toc11201"/>
            <w:bookmarkStart w:id="206" w:name="_Toc28475"/>
            <w:r>
              <w:rPr>
                <w:rFonts w:hint="eastAsia"/>
                <w:color w:val="auto"/>
              </w:rPr>
              <w:t>1.1 工艺流程</w:t>
            </w:r>
            <w:bookmarkEnd w:id="202"/>
            <w:bookmarkEnd w:id="203"/>
            <w:bookmarkEnd w:id="204"/>
            <w:bookmarkEnd w:id="205"/>
            <w:bookmarkEnd w:id="206"/>
          </w:p>
          <w:p w14:paraId="55B87E1C">
            <w:pPr>
              <w:bidi w:val="0"/>
              <w:rPr>
                <w:rFonts w:hint="eastAsia"/>
                <w:color w:val="auto"/>
              </w:rPr>
            </w:pPr>
            <w:r>
              <w:rPr>
                <w:rFonts w:hint="eastAsia"/>
                <w:color w:val="auto"/>
              </w:rPr>
              <w:t>本项目</w:t>
            </w:r>
            <w:r>
              <w:rPr>
                <w:rFonts w:hint="eastAsia"/>
                <w:color w:val="auto"/>
                <w:lang w:val="en-US" w:eastAsia="zh-CN"/>
              </w:rPr>
              <w:t>拟新建一间生产厂房2#</w:t>
            </w:r>
            <w:r>
              <w:rPr>
                <w:rFonts w:hint="eastAsia"/>
                <w:color w:val="auto"/>
              </w:rPr>
              <w:t>用于生产</w:t>
            </w:r>
            <w:r>
              <w:rPr>
                <w:rFonts w:hint="eastAsia"/>
                <w:color w:val="auto"/>
                <w:lang w:val="en-US" w:eastAsia="zh-CN"/>
              </w:rPr>
              <w:t>砖和水稳砂</w:t>
            </w:r>
            <w:r>
              <w:rPr>
                <w:rFonts w:hint="eastAsia"/>
                <w:color w:val="auto"/>
              </w:rPr>
              <w:t>，施工期间无土方开挖。本项目施工期间主要进行相关生产设备安装以及配套设施的建设，不可避免的将对项目所在地周围环境产生一定的影响。</w:t>
            </w:r>
          </w:p>
          <w:p w14:paraId="14E75D72">
            <w:pPr>
              <w:rPr>
                <w:rFonts w:hint="default"/>
                <w:color w:val="auto"/>
                <w:lang w:val="en-US" w:eastAsia="zh-CN"/>
              </w:rPr>
            </w:pPr>
            <w:r>
              <w:rPr>
                <w:rFonts w:hint="eastAsia"/>
                <w:color w:val="auto"/>
                <w:lang w:val="en-US" w:eastAsia="zh-CN"/>
              </w:rPr>
              <w:t>施工期的工程内容主要为：平整土地、建筑施工、管线铺设、设备安装，主要影响范围为项目场区区域，施工过程将产生施工扬尘、施工废水、施工噪声、施工固废及生活垃圾，主要环境影响因子包括环境空气、水环境、声环境、人群健康、生态环境等，并伴随少量水土流失。施工期工艺流程图如图2-2所示。</w:t>
            </w:r>
          </w:p>
          <w:p w14:paraId="1E1137EB">
            <w:pPr>
              <w:pStyle w:val="18"/>
              <w:bidi w:val="0"/>
              <w:rPr>
                <w:rFonts w:hint="default"/>
                <w:color w:val="auto"/>
                <w:lang w:val="en-US" w:eastAsia="zh-CN"/>
              </w:rPr>
            </w:pPr>
            <w:r>
              <w:rPr>
                <w:rFonts w:hint="default"/>
                <w:color w:val="auto"/>
                <w:lang w:val="en-US" w:eastAsia="zh-CN"/>
              </w:rPr>
              <w:object>
                <v:shape id="_x0000_i1028" o:spt="75" type="#_x0000_t75" style="height:100.5pt;width:421.75pt;" o:ole="t" filled="f" o:preferrelative="t" stroked="f" coordsize="21600,21600">
                  <v:path/>
                  <v:fill on="f" focussize="0,0"/>
                  <v:stroke on="f"/>
                  <v:imagedata r:id="rId16" o:title=""/>
                  <o:lock v:ext="edit" aspectratio="f"/>
                  <w10:wrap type="none"/>
                  <w10:anchorlock/>
                </v:shape>
                <o:OLEObject Type="Embed" ProgID="Visio.Drawing.11" ShapeID="_x0000_i1028" DrawAspect="Content" ObjectID="_1468075728" r:id="rId15">
                  <o:LockedField>false</o:LockedField>
                </o:OLEObject>
              </w:object>
            </w:r>
            <w:r>
              <w:rPr>
                <w:rFonts w:hint="eastAsia"/>
                <w:color w:val="auto"/>
                <w:lang w:val="en-US" w:eastAsia="zh-CN"/>
              </w:rPr>
              <w:t>图2-2 施工期工艺流程图</w:t>
            </w:r>
          </w:p>
          <w:p w14:paraId="1B7296AD">
            <w:pPr>
              <w:bidi w:val="0"/>
              <w:rPr>
                <w:rFonts w:hint="default"/>
                <w:color w:val="auto"/>
                <w:lang w:val="en-US" w:eastAsia="zh-CN"/>
              </w:rPr>
            </w:pPr>
            <w:r>
              <w:rPr>
                <w:rFonts w:hint="default"/>
                <w:color w:val="auto"/>
                <w:lang w:val="en-US" w:eastAsia="zh-CN"/>
              </w:rPr>
              <w:t>（1）基础工程施工</w:t>
            </w:r>
          </w:p>
          <w:p w14:paraId="65E2364B">
            <w:pPr>
              <w:bidi w:val="0"/>
              <w:rPr>
                <w:rFonts w:hint="default"/>
                <w:color w:val="auto"/>
                <w:lang w:val="en-US" w:eastAsia="zh-CN"/>
              </w:rPr>
            </w:pPr>
            <w:r>
              <w:rPr>
                <w:rFonts w:hint="default"/>
                <w:color w:val="auto"/>
                <w:lang w:val="en-US" w:eastAsia="zh-CN"/>
              </w:rPr>
              <w:t>场地清理主要包括清除地面的植物和其他障碍物，项目基础工程施工主要包括地基处理工作。基础工程施工过程中以人工施工为主，配备部分机械施工相结合的方式，在进行场地处理和地基处理施工过程中会产生扬尘、施工废水、噪声和水土流失。</w:t>
            </w:r>
          </w:p>
          <w:p w14:paraId="7E90DCF0">
            <w:pPr>
              <w:bidi w:val="0"/>
              <w:rPr>
                <w:rFonts w:hint="default"/>
                <w:color w:val="auto"/>
                <w:lang w:val="en-US" w:eastAsia="zh-CN"/>
              </w:rPr>
            </w:pPr>
            <w:r>
              <w:rPr>
                <w:rFonts w:hint="default"/>
                <w:color w:val="auto"/>
                <w:lang w:val="en-US" w:eastAsia="zh-CN"/>
              </w:rPr>
              <w:t>（2）主体建筑施工</w:t>
            </w:r>
          </w:p>
          <w:p w14:paraId="01024D44">
            <w:pPr>
              <w:bidi w:val="0"/>
              <w:rPr>
                <w:rFonts w:hint="default"/>
                <w:color w:val="auto"/>
                <w:lang w:val="en-US" w:eastAsia="zh-CN"/>
              </w:rPr>
            </w:pPr>
            <w:r>
              <w:rPr>
                <w:rFonts w:hint="default"/>
                <w:color w:val="auto"/>
                <w:lang w:val="en-US" w:eastAsia="zh-CN"/>
              </w:rPr>
              <w:t>施工过程采用人工施工为主，配有少量的机械施工相结合的方式。噪声影响较小，施工方式合理。项目主体建筑施工过程中会产生扬尘、噪声和建筑垃圾。</w:t>
            </w:r>
          </w:p>
          <w:p w14:paraId="60A0251C">
            <w:pPr>
              <w:bidi w:val="0"/>
              <w:rPr>
                <w:rFonts w:hint="default"/>
                <w:color w:val="auto"/>
                <w:lang w:val="en-US" w:eastAsia="zh-CN"/>
              </w:rPr>
            </w:pPr>
            <w:r>
              <w:rPr>
                <w:rFonts w:hint="default"/>
                <w:color w:val="auto"/>
                <w:lang w:val="en-US" w:eastAsia="zh-CN"/>
              </w:rPr>
              <w:t>（3）装修、设备安装</w:t>
            </w:r>
          </w:p>
          <w:p w14:paraId="705978EA">
            <w:pPr>
              <w:bidi w:val="0"/>
              <w:rPr>
                <w:rFonts w:hint="default"/>
                <w:color w:val="auto"/>
                <w:lang w:val="en-US" w:eastAsia="zh-CN"/>
              </w:rPr>
            </w:pPr>
            <w:r>
              <w:rPr>
                <w:rFonts w:hint="default"/>
                <w:color w:val="auto"/>
                <w:lang w:val="en-US" w:eastAsia="zh-CN"/>
              </w:rPr>
              <w:t>基础工程和主体建筑施工完毕后，进行装修及设备安装，此过程会产生噪声及粉尘，完毕后随即消失。</w:t>
            </w:r>
          </w:p>
          <w:p w14:paraId="149CF600">
            <w:pPr>
              <w:pStyle w:val="5"/>
              <w:bidi w:val="0"/>
              <w:rPr>
                <w:rFonts w:hint="eastAsia"/>
                <w:color w:val="auto"/>
                <w:lang w:val="en-US" w:eastAsia="zh-CN"/>
              </w:rPr>
            </w:pPr>
            <w:bookmarkStart w:id="207" w:name="_Toc9287"/>
            <w:bookmarkStart w:id="208" w:name="_Toc9027"/>
            <w:bookmarkStart w:id="209" w:name="_Toc30659"/>
            <w:r>
              <w:rPr>
                <w:rFonts w:hint="eastAsia"/>
                <w:color w:val="auto"/>
                <w:lang w:val="en-US" w:eastAsia="zh-CN"/>
              </w:rPr>
              <w:t>1.2 产排污环节</w:t>
            </w:r>
            <w:bookmarkEnd w:id="207"/>
            <w:bookmarkEnd w:id="208"/>
            <w:bookmarkEnd w:id="209"/>
          </w:p>
          <w:p w14:paraId="1C217A5A">
            <w:pPr>
              <w:rPr>
                <w:rFonts w:hint="default"/>
                <w:color w:val="auto"/>
                <w:lang w:val="en-US" w:eastAsia="zh-CN"/>
              </w:rPr>
            </w:pPr>
            <w:r>
              <w:rPr>
                <w:rFonts w:hint="default"/>
                <w:color w:val="auto"/>
                <w:lang w:val="en-US" w:eastAsia="zh-CN"/>
              </w:rPr>
              <w:t>根据施工期工艺流程，本项目施工期主要污染物为设备安装和车辆运输产生的扬尘、汽车尾气、施工人员生活污水、运输车辆噪声、设备安装噪声以及施工人员产生的生活垃圾。</w:t>
            </w:r>
          </w:p>
          <w:p w14:paraId="3652F670">
            <w:pPr>
              <w:pStyle w:val="4"/>
              <w:bidi w:val="0"/>
              <w:rPr>
                <w:rFonts w:hint="eastAsia"/>
                <w:color w:val="auto"/>
                <w:lang w:val="en-US" w:eastAsia="zh-CN"/>
              </w:rPr>
            </w:pPr>
            <w:bookmarkStart w:id="210" w:name="_Toc18561"/>
            <w:bookmarkStart w:id="211" w:name="_Toc10739"/>
            <w:bookmarkStart w:id="212" w:name="_Toc1373"/>
            <w:bookmarkStart w:id="213" w:name="_Toc9646"/>
            <w:bookmarkStart w:id="214" w:name="_Toc10676"/>
            <w:r>
              <w:rPr>
                <w:rFonts w:hint="eastAsia"/>
                <w:color w:val="auto"/>
                <w:lang w:val="en-US" w:eastAsia="zh-CN"/>
              </w:rPr>
              <w:t>2、运营期工艺流程及产污环节</w:t>
            </w:r>
            <w:bookmarkEnd w:id="210"/>
            <w:bookmarkEnd w:id="211"/>
            <w:bookmarkEnd w:id="212"/>
            <w:bookmarkEnd w:id="213"/>
            <w:bookmarkEnd w:id="214"/>
          </w:p>
          <w:p w14:paraId="0D172CAB">
            <w:pPr>
              <w:pStyle w:val="5"/>
              <w:bidi w:val="0"/>
              <w:rPr>
                <w:rFonts w:hint="eastAsia"/>
                <w:color w:val="auto"/>
                <w:lang w:val="en-US" w:eastAsia="zh-CN"/>
              </w:rPr>
            </w:pPr>
            <w:bookmarkStart w:id="215" w:name="_Toc4851"/>
            <w:bookmarkStart w:id="216" w:name="_Toc15901"/>
            <w:bookmarkStart w:id="217" w:name="_Toc32283"/>
            <w:bookmarkStart w:id="218" w:name="_Toc2927"/>
            <w:bookmarkStart w:id="219" w:name="_Toc20475"/>
            <w:r>
              <w:rPr>
                <w:rFonts w:hint="eastAsia"/>
                <w:color w:val="auto"/>
                <w:lang w:val="en-US" w:eastAsia="zh-CN"/>
              </w:rPr>
              <w:t>2.1 工艺流程</w:t>
            </w:r>
            <w:bookmarkEnd w:id="215"/>
            <w:bookmarkEnd w:id="216"/>
            <w:bookmarkEnd w:id="217"/>
            <w:bookmarkEnd w:id="218"/>
            <w:bookmarkEnd w:id="219"/>
          </w:p>
          <w:p w14:paraId="70C0B55D">
            <w:pPr>
              <w:rPr>
                <w:rFonts w:hint="eastAsia"/>
                <w:color w:val="auto"/>
                <w:lang w:val="en-US" w:eastAsia="zh-CN"/>
              </w:rPr>
            </w:pPr>
            <w:r>
              <w:rPr>
                <w:rFonts w:hint="eastAsia"/>
                <w:color w:val="auto"/>
                <w:lang w:val="en-US" w:eastAsia="zh-CN"/>
              </w:rPr>
              <w:t>本项目改建后工艺流程图如图2-3、图2-4、图2-5、图2-6所示。</w:t>
            </w:r>
          </w:p>
          <w:p w14:paraId="6BF17D78">
            <w:pPr>
              <w:pStyle w:val="17"/>
              <w:bidi w:val="0"/>
              <w:rPr>
                <w:rFonts w:hint="eastAsia"/>
                <w:color w:val="auto"/>
                <w:lang w:val="en-US" w:eastAsia="zh-CN"/>
              </w:rPr>
            </w:pPr>
            <w:r>
              <w:rPr>
                <w:rFonts w:hint="eastAsia"/>
                <w:color w:val="auto"/>
                <w:lang w:val="en-US" w:eastAsia="zh-CN"/>
              </w:rPr>
              <w:object>
                <v:shape id="_x0000_i1029" o:spt="75" type="#_x0000_t75" style="height:387pt;width:294.75pt;" o:ole="t" filled="f" o:preferrelative="t" stroked="f" coordsize="21600,21600">
                  <v:path/>
                  <v:fill on="f" focussize="0,0"/>
                  <v:stroke on="f"/>
                  <v:imagedata r:id="rId18" o:title=""/>
                  <o:lock v:ext="edit" aspectratio="f"/>
                  <w10:wrap type="none"/>
                  <w10:anchorlock/>
                </v:shape>
                <o:OLEObject Type="Embed" ProgID="Visio.Drawing.11" ShapeID="_x0000_i1029" DrawAspect="Content" ObjectID="_1468075729" r:id="rId17">
                  <o:LockedField>false</o:LockedField>
                </o:OLEObject>
              </w:object>
            </w:r>
          </w:p>
          <w:p w14:paraId="19189293">
            <w:pPr>
              <w:pStyle w:val="18"/>
              <w:bidi w:val="0"/>
              <w:rPr>
                <w:rFonts w:hint="eastAsia"/>
                <w:color w:val="auto"/>
                <w:lang w:val="en-US" w:eastAsia="zh-CN"/>
              </w:rPr>
            </w:pPr>
            <w:r>
              <w:rPr>
                <w:rFonts w:hint="eastAsia"/>
                <w:color w:val="auto"/>
                <w:lang w:val="en-US" w:eastAsia="zh-CN"/>
              </w:rPr>
              <w:t>图2-3 项目破碎生产线工艺流程及产污环节图</w:t>
            </w:r>
          </w:p>
          <w:p w14:paraId="658FAE66">
            <w:pPr>
              <w:pStyle w:val="18"/>
              <w:bidi w:val="0"/>
              <w:rPr>
                <w:rFonts w:hint="eastAsia"/>
                <w:color w:val="auto"/>
                <w:lang w:val="en-US" w:eastAsia="zh-CN"/>
              </w:rPr>
            </w:pPr>
            <w:r>
              <w:rPr>
                <w:rFonts w:hint="eastAsia"/>
                <w:color w:val="auto"/>
                <w:lang w:val="en-US" w:eastAsia="zh-CN"/>
              </w:rPr>
              <w:t>（G：废气；S：固废；N：噪声）</w:t>
            </w:r>
          </w:p>
          <w:p w14:paraId="4261B70F">
            <w:pPr>
              <w:pStyle w:val="17"/>
              <w:rPr>
                <w:rFonts w:hint="eastAsia"/>
                <w:color w:val="auto"/>
                <w:lang w:val="en-US" w:eastAsia="zh-CN"/>
              </w:rPr>
            </w:pPr>
            <w:r>
              <w:rPr>
                <w:rFonts w:hint="eastAsia"/>
                <w:color w:val="auto"/>
                <w:lang w:val="en-US" w:eastAsia="zh-CN"/>
              </w:rPr>
              <w:object>
                <v:shape id="_x0000_i1030" o:spt="75" type="#_x0000_t75" style="height:84.45pt;width:419.4pt;" o:ole="t" filled="f" o:preferrelative="t" stroked="f" coordsize="21600,21600">
                  <v:path/>
                  <v:fill on="f" focussize="0,0"/>
                  <v:stroke on="f"/>
                  <v:imagedata r:id="rId20" o:title=""/>
                  <o:lock v:ext="edit" aspectratio="f"/>
                  <w10:wrap type="none"/>
                  <w10:anchorlock/>
                </v:shape>
                <o:OLEObject Type="Embed" ProgID="Visio.Drawing.11" ShapeID="_x0000_i1030" DrawAspect="Content" ObjectID="_1468075730" r:id="rId19">
                  <o:LockedField>false</o:LockedField>
                </o:OLEObject>
              </w:object>
            </w:r>
          </w:p>
          <w:p w14:paraId="6BFAFE2B">
            <w:pPr>
              <w:pStyle w:val="18"/>
              <w:bidi w:val="0"/>
              <w:rPr>
                <w:rFonts w:hint="eastAsia"/>
                <w:color w:val="auto"/>
                <w:lang w:val="en-US" w:eastAsia="zh-CN"/>
              </w:rPr>
            </w:pPr>
            <w:r>
              <w:rPr>
                <w:rFonts w:hint="eastAsia"/>
                <w:color w:val="auto"/>
                <w:lang w:val="en-US" w:eastAsia="zh-CN"/>
              </w:rPr>
              <w:t>图2-4 项目制砖生产线工艺流程及产污环节图</w:t>
            </w:r>
          </w:p>
          <w:p w14:paraId="5C09C58B">
            <w:pPr>
              <w:pStyle w:val="18"/>
              <w:bidi w:val="0"/>
              <w:rPr>
                <w:rFonts w:hint="eastAsia"/>
                <w:color w:val="auto"/>
                <w:lang w:val="en-US" w:eastAsia="zh-CN"/>
              </w:rPr>
            </w:pPr>
            <w:r>
              <w:rPr>
                <w:rFonts w:hint="eastAsia"/>
                <w:color w:val="auto"/>
                <w:lang w:val="en-US" w:eastAsia="zh-CN"/>
              </w:rPr>
              <w:t>（G：废气；S：固废；N：噪声）</w:t>
            </w:r>
          </w:p>
          <w:p w14:paraId="1F519CB5">
            <w:pPr>
              <w:pStyle w:val="17"/>
              <w:rPr>
                <w:rFonts w:hint="default"/>
                <w:color w:val="auto"/>
                <w:lang w:val="en-US" w:eastAsia="zh-CN"/>
              </w:rPr>
            </w:pPr>
            <w:r>
              <w:rPr>
                <w:rFonts w:hint="default"/>
                <w:color w:val="auto"/>
                <w:lang w:val="en-US" w:eastAsia="zh-CN"/>
              </w:rPr>
              <w:object>
                <v:shape id="_x0000_i1031" o:spt="75" type="#_x0000_t75" style="height:85.5pt;width:340.5pt;" o:ole="t" filled="f" o:preferrelative="t" stroked="f" coordsize="21600,21600">
                  <v:path/>
                  <v:fill on="f" focussize="0,0"/>
                  <v:stroke on="f"/>
                  <v:imagedata r:id="rId22" o:title=""/>
                  <o:lock v:ext="edit" aspectratio="f"/>
                  <w10:wrap type="none"/>
                  <w10:anchorlock/>
                </v:shape>
                <o:OLEObject Type="Embed" ProgID="Visio.Drawing.11" ShapeID="_x0000_i1031" DrawAspect="Content" ObjectID="_1468075731" r:id="rId21">
                  <o:LockedField>false</o:LockedField>
                </o:OLEObject>
              </w:object>
            </w:r>
          </w:p>
          <w:p w14:paraId="6A215E4D">
            <w:pPr>
              <w:pStyle w:val="18"/>
              <w:bidi w:val="0"/>
              <w:rPr>
                <w:rFonts w:hint="eastAsia"/>
                <w:color w:val="auto"/>
                <w:lang w:val="en-US" w:eastAsia="zh-CN"/>
              </w:rPr>
            </w:pPr>
            <w:r>
              <w:rPr>
                <w:rFonts w:hint="eastAsia"/>
                <w:color w:val="auto"/>
                <w:lang w:val="en-US" w:eastAsia="zh-CN"/>
              </w:rPr>
              <w:t>图2-5 项目水稳砂生产线工艺流程及产污环节图</w:t>
            </w:r>
          </w:p>
          <w:p w14:paraId="4A460D3D">
            <w:pPr>
              <w:pStyle w:val="18"/>
              <w:bidi w:val="0"/>
              <w:rPr>
                <w:rFonts w:hint="eastAsia"/>
                <w:color w:val="auto"/>
                <w:lang w:val="en-US" w:eastAsia="zh-CN"/>
              </w:rPr>
            </w:pPr>
            <w:r>
              <w:rPr>
                <w:rFonts w:hint="eastAsia"/>
                <w:color w:val="auto"/>
                <w:lang w:val="en-US" w:eastAsia="zh-CN"/>
              </w:rPr>
              <w:t>（G：废气；N：噪声）</w:t>
            </w:r>
          </w:p>
          <w:p w14:paraId="3D625B83">
            <w:pPr>
              <w:pStyle w:val="17"/>
              <w:rPr>
                <w:rFonts w:hint="eastAsia"/>
                <w:color w:val="auto"/>
                <w:lang w:val="en-US" w:eastAsia="zh-CN"/>
              </w:rPr>
            </w:pPr>
            <w:r>
              <w:rPr>
                <w:rFonts w:hint="eastAsia"/>
                <w:color w:val="auto"/>
                <w:lang w:val="en-US" w:eastAsia="zh-CN"/>
              </w:rPr>
              <w:object>
                <v:shape id="_x0000_i1032" o:spt="75" type="#_x0000_t75" style="height:171.75pt;width:192pt;" o:ole="t" filled="f" o:preferrelative="t" stroked="f" coordsize="21600,21600">
                  <v:path/>
                  <v:fill on="f" focussize="0,0"/>
                  <v:stroke on="f"/>
                  <v:imagedata r:id="rId24" o:title=""/>
                  <o:lock v:ext="edit" aspectratio="f"/>
                  <w10:wrap type="none"/>
                  <w10:anchorlock/>
                </v:shape>
                <o:OLEObject Type="Embed" ProgID="Visio.Drawing.11" ShapeID="_x0000_i1032" DrawAspect="Content" ObjectID="_1468075732" r:id="rId23">
                  <o:LockedField>false</o:LockedField>
                </o:OLEObject>
              </w:object>
            </w:r>
          </w:p>
          <w:p w14:paraId="28225F1D">
            <w:pPr>
              <w:pStyle w:val="18"/>
              <w:bidi w:val="0"/>
              <w:rPr>
                <w:rFonts w:hint="eastAsia"/>
                <w:color w:val="auto"/>
                <w:lang w:val="en-US" w:eastAsia="zh-CN"/>
              </w:rPr>
            </w:pPr>
            <w:r>
              <w:rPr>
                <w:rFonts w:hint="eastAsia"/>
                <w:color w:val="auto"/>
                <w:lang w:val="en-US" w:eastAsia="zh-CN"/>
              </w:rPr>
              <w:t>图2-6 项目产品装车、外运工艺流程及产污环节图</w:t>
            </w:r>
          </w:p>
          <w:p w14:paraId="7E7299F7">
            <w:pPr>
              <w:pStyle w:val="18"/>
              <w:bidi w:val="0"/>
              <w:rPr>
                <w:rFonts w:hint="eastAsia"/>
                <w:color w:val="auto"/>
                <w:lang w:val="en-US" w:eastAsia="zh-CN"/>
              </w:rPr>
            </w:pPr>
            <w:r>
              <w:rPr>
                <w:rFonts w:hint="eastAsia"/>
                <w:color w:val="auto"/>
                <w:lang w:val="en-US" w:eastAsia="zh-CN"/>
              </w:rPr>
              <w:t>（G：废气；N：噪声）</w:t>
            </w:r>
          </w:p>
          <w:p w14:paraId="3B9EF3B3">
            <w:pPr>
              <w:bidi w:val="0"/>
              <w:rPr>
                <w:rFonts w:hint="default"/>
                <w:color w:val="auto"/>
                <w:lang w:val="en-US" w:eastAsia="zh-CN"/>
              </w:rPr>
            </w:pPr>
            <w:r>
              <w:rPr>
                <w:rFonts w:hint="default"/>
                <w:color w:val="auto"/>
                <w:lang w:val="en-US" w:eastAsia="zh-CN"/>
              </w:rPr>
              <w:t>工艺流程简述：</w:t>
            </w:r>
          </w:p>
          <w:p w14:paraId="4DFCCB2D">
            <w:pPr>
              <w:bidi w:val="0"/>
              <w:rPr>
                <w:rFonts w:hint="default"/>
                <w:b/>
                <w:bCs/>
                <w:color w:val="auto"/>
                <w:lang w:val="en-US" w:eastAsia="zh-CN"/>
              </w:rPr>
            </w:pPr>
            <w:r>
              <w:rPr>
                <w:rFonts w:hint="default" w:ascii="Times New Roman" w:hAnsi="Times New Roman" w:cs="Times New Roman"/>
                <w:b/>
                <w:bCs/>
                <w:color w:val="auto"/>
                <w:lang w:val="en-US" w:eastAsia="zh-CN"/>
              </w:rPr>
              <w:t>Ⅰ</w:t>
            </w:r>
            <w:r>
              <w:rPr>
                <w:rFonts w:hint="eastAsia"/>
                <w:b/>
                <w:bCs/>
                <w:color w:val="auto"/>
                <w:lang w:val="en-US" w:eastAsia="zh-CN"/>
              </w:rPr>
              <w:t>.破碎生产线</w:t>
            </w:r>
          </w:p>
          <w:p w14:paraId="3AE18DAA">
            <w:pPr>
              <w:bidi w:val="0"/>
              <w:rPr>
                <w:rFonts w:hint="default"/>
                <w:color w:val="auto"/>
                <w:lang w:val="en-US" w:eastAsia="zh-CN"/>
              </w:rPr>
            </w:pPr>
            <w:r>
              <w:rPr>
                <w:rFonts w:hint="default"/>
                <w:color w:val="auto"/>
                <w:lang w:val="en-US" w:eastAsia="zh-CN"/>
              </w:rPr>
              <w:t>（1）</w:t>
            </w:r>
            <w:r>
              <w:rPr>
                <w:rFonts w:hint="eastAsia"/>
                <w:color w:val="auto"/>
                <w:lang w:val="en-US" w:eastAsia="zh-CN"/>
              </w:rPr>
              <w:t>车辆运输</w:t>
            </w:r>
          </w:p>
          <w:p w14:paraId="15B306AE">
            <w:pPr>
              <w:bidi w:val="0"/>
              <w:rPr>
                <w:rFonts w:hint="eastAsia"/>
                <w:color w:val="auto"/>
                <w:lang w:val="en-US" w:eastAsia="zh-CN"/>
              </w:rPr>
            </w:pPr>
            <w:r>
              <w:rPr>
                <w:rFonts w:hint="eastAsia"/>
                <w:color w:val="auto"/>
                <w:lang w:val="en-US" w:eastAsia="zh-CN"/>
              </w:rPr>
              <w:t>建筑垃圾、装修垃圾和一般工业固体废物通过环保渣土车运输至厂内，该过程会产生车辆扬尘（G1）</w:t>
            </w:r>
            <w:r>
              <w:rPr>
                <w:rFonts w:hint="default"/>
                <w:color w:val="auto"/>
                <w:lang w:val="en-US" w:eastAsia="zh-CN"/>
              </w:rPr>
              <w:t>、汽车尾气</w:t>
            </w:r>
            <w:r>
              <w:rPr>
                <w:rFonts w:hint="eastAsia"/>
                <w:color w:val="auto"/>
                <w:lang w:val="en-US" w:eastAsia="zh-CN"/>
              </w:rPr>
              <w:t>（G2）、车辆噪声（N1）。</w:t>
            </w:r>
          </w:p>
          <w:p w14:paraId="307FEBFD">
            <w:pPr>
              <w:bidi w:val="0"/>
              <w:rPr>
                <w:rFonts w:hint="default"/>
                <w:color w:val="auto"/>
                <w:lang w:val="en-US" w:eastAsia="zh-CN"/>
              </w:rPr>
            </w:pPr>
            <w:r>
              <w:rPr>
                <w:rFonts w:hint="eastAsia"/>
                <w:color w:val="auto"/>
                <w:lang w:val="en-US" w:eastAsia="zh-CN"/>
              </w:rPr>
              <w:t>（2）分拣</w:t>
            </w:r>
          </w:p>
          <w:p w14:paraId="0F1C42A7">
            <w:pPr>
              <w:bidi w:val="0"/>
              <w:rPr>
                <w:rFonts w:hint="default"/>
                <w:color w:val="auto"/>
                <w:lang w:val="en-US" w:eastAsia="zh-CN"/>
              </w:rPr>
            </w:pPr>
            <w:r>
              <w:rPr>
                <w:rFonts w:hint="default"/>
                <w:color w:val="auto"/>
                <w:lang w:val="en-US" w:eastAsia="zh-CN"/>
              </w:rPr>
              <w:t>建筑垃圾进厂后，堆放至建筑垃圾堆场，并由铲车运输堆高，以便充分利用堆场。同时铲车将一部分建筑垃圾倾倒在分选场地，通过人工分选进行分拣，人工将建筑垃圾中含废铁、废木块、废塑料等分选出进行分选出来，并堆置杂物堆存区分类堆存。经过分选的建筑垃圾由铲车运至破碎系统，并加入给料斗。此工序</w:t>
            </w:r>
            <w:r>
              <w:rPr>
                <w:rFonts w:hint="eastAsia"/>
                <w:color w:val="auto"/>
                <w:lang w:val="en-US" w:eastAsia="zh-CN"/>
              </w:rPr>
              <w:t>会产生一般</w:t>
            </w:r>
            <w:r>
              <w:rPr>
                <w:rFonts w:hint="default"/>
                <w:color w:val="auto"/>
                <w:lang w:val="en-US" w:eastAsia="zh-CN"/>
              </w:rPr>
              <w:t>固废</w:t>
            </w:r>
            <w:r>
              <w:rPr>
                <w:rFonts w:hint="eastAsia"/>
                <w:color w:val="auto"/>
                <w:lang w:val="en-US" w:eastAsia="zh-CN"/>
              </w:rPr>
              <w:t>（包括废铁、废木块、废塑料，S1）</w:t>
            </w:r>
            <w:r>
              <w:rPr>
                <w:rFonts w:hint="default"/>
                <w:color w:val="auto"/>
                <w:lang w:val="en-US" w:eastAsia="zh-CN"/>
              </w:rPr>
              <w:t>、</w:t>
            </w:r>
            <w:r>
              <w:rPr>
                <w:rFonts w:hint="eastAsia"/>
                <w:color w:val="auto"/>
                <w:lang w:val="en-US" w:eastAsia="zh-CN"/>
              </w:rPr>
              <w:t>堆场扬尘（G3）、分拣噪声（N2）</w:t>
            </w:r>
            <w:r>
              <w:rPr>
                <w:rFonts w:hint="default"/>
                <w:color w:val="auto"/>
                <w:lang w:val="en-US" w:eastAsia="zh-CN"/>
              </w:rPr>
              <w:t>产生。</w:t>
            </w:r>
          </w:p>
          <w:p w14:paraId="0949DC44">
            <w:pPr>
              <w:bidi w:val="0"/>
              <w:rPr>
                <w:rFonts w:hint="default"/>
                <w:color w:val="auto"/>
                <w:lang w:val="en-US" w:eastAsia="zh-CN"/>
              </w:rPr>
            </w:pPr>
            <w:r>
              <w:rPr>
                <w:rFonts w:hint="default"/>
                <w:color w:val="auto"/>
                <w:lang w:val="en-US" w:eastAsia="zh-CN"/>
              </w:rPr>
              <w:t>（</w:t>
            </w:r>
            <w:r>
              <w:rPr>
                <w:rFonts w:hint="eastAsia"/>
                <w:color w:val="auto"/>
                <w:lang w:val="en-US" w:eastAsia="zh-CN"/>
              </w:rPr>
              <w:t>3</w:t>
            </w:r>
            <w:r>
              <w:rPr>
                <w:rFonts w:hint="default"/>
                <w:color w:val="auto"/>
                <w:lang w:val="en-US" w:eastAsia="zh-CN"/>
              </w:rPr>
              <w:t>）颚式破碎</w:t>
            </w:r>
          </w:p>
          <w:p w14:paraId="5D698F44">
            <w:pPr>
              <w:bidi w:val="0"/>
              <w:rPr>
                <w:rFonts w:hint="default"/>
                <w:color w:val="auto"/>
                <w:lang w:val="en-US" w:eastAsia="zh-CN"/>
              </w:rPr>
            </w:pPr>
            <w:r>
              <w:rPr>
                <w:rFonts w:hint="default"/>
                <w:color w:val="auto"/>
                <w:lang w:val="en-US" w:eastAsia="zh-CN"/>
              </w:rPr>
              <w:t>给料斗中建筑垃圾经颚式破碎机进料口进入颚式破碎机进行粗破。将颚式破碎机出料粒度调节为80mm，使其出料粒度在80mm以下，保证其能够进行除铁和分选工艺要求。破碎后物料经</w:t>
            </w:r>
            <w:r>
              <w:rPr>
                <w:rFonts w:hint="eastAsia"/>
                <w:color w:val="auto"/>
                <w:lang w:val="en-US" w:eastAsia="zh-CN"/>
              </w:rPr>
              <w:t>磁选后</w:t>
            </w:r>
            <w:r>
              <w:rPr>
                <w:rFonts w:hint="default"/>
                <w:color w:val="auto"/>
                <w:lang w:val="en-US" w:eastAsia="zh-CN"/>
              </w:rPr>
              <w:t>再经输运皮带至反击破碎机进行二级破碎。破碎过程中将产生</w:t>
            </w:r>
            <w:r>
              <w:rPr>
                <w:rFonts w:hint="eastAsia"/>
                <w:color w:val="auto"/>
                <w:lang w:val="en-US" w:eastAsia="zh-CN"/>
              </w:rPr>
              <w:t>颚式破碎</w:t>
            </w:r>
            <w:r>
              <w:rPr>
                <w:rFonts w:hint="default"/>
                <w:color w:val="auto"/>
                <w:lang w:val="en-US" w:eastAsia="zh-CN"/>
              </w:rPr>
              <w:t>粉尘</w:t>
            </w:r>
            <w:r>
              <w:rPr>
                <w:rFonts w:hint="eastAsia"/>
                <w:color w:val="auto"/>
                <w:lang w:val="en-US" w:eastAsia="zh-CN"/>
              </w:rPr>
              <w:t>（G4）</w:t>
            </w:r>
            <w:r>
              <w:rPr>
                <w:rFonts w:hint="default"/>
                <w:color w:val="auto"/>
                <w:lang w:val="en-US" w:eastAsia="zh-CN"/>
              </w:rPr>
              <w:t>、</w:t>
            </w:r>
            <w:r>
              <w:rPr>
                <w:rFonts w:hint="eastAsia"/>
                <w:color w:val="auto"/>
                <w:lang w:val="en-US" w:eastAsia="zh-CN"/>
              </w:rPr>
              <w:t>颚式破碎</w:t>
            </w:r>
            <w:r>
              <w:rPr>
                <w:rFonts w:hint="default"/>
                <w:color w:val="auto"/>
                <w:lang w:val="en-US" w:eastAsia="zh-CN"/>
              </w:rPr>
              <w:t>噪声</w:t>
            </w:r>
            <w:r>
              <w:rPr>
                <w:rFonts w:hint="eastAsia"/>
                <w:color w:val="auto"/>
                <w:lang w:val="en-US" w:eastAsia="zh-CN"/>
              </w:rPr>
              <w:t>（N3）、废铁（S2）</w:t>
            </w:r>
            <w:r>
              <w:rPr>
                <w:rFonts w:hint="default"/>
                <w:color w:val="auto"/>
                <w:lang w:val="en-US" w:eastAsia="zh-CN"/>
              </w:rPr>
              <w:t>。</w:t>
            </w:r>
          </w:p>
          <w:p w14:paraId="45E08CBE">
            <w:pPr>
              <w:bidi w:val="0"/>
              <w:rPr>
                <w:rFonts w:hint="default"/>
                <w:color w:val="auto"/>
                <w:lang w:val="en-US" w:eastAsia="zh-CN"/>
              </w:rPr>
            </w:pPr>
            <w:r>
              <w:rPr>
                <w:rFonts w:hint="default"/>
                <w:color w:val="auto"/>
                <w:lang w:val="en-US" w:eastAsia="zh-CN"/>
              </w:rPr>
              <w:t>（3）反击式</w:t>
            </w:r>
            <w:r>
              <w:rPr>
                <w:rFonts w:hint="eastAsia"/>
                <w:color w:val="auto"/>
                <w:lang w:val="en-US" w:eastAsia="zh-CN"/>
              </w:rPr>
              <w:t>和</w:t>
            </w:r>
            <w:r>
              <w:rPr>
                <w:rFonts w:hint="default"/>
                <w:color w:val="auto"/>
                <w:lang w:val="en-US" w:eastAsia="zh-CN"/>
              </w:rPr>
              <w:t>冲击式破碎</w:t>
            </w:r>
          </w:p>
          <w:p w14:paraId="6716A854">
            <w:pPr>
              <w:bidi w:val="0"/>
              <w:rPr>
                <w:rFonts w:hint="default"/>
                <w:color w:val="auto"/>
                <w:lang w:val="en-US" w:eastAsia="zh-CN"/>
              </w:rPr>
            </w:pPr>
            <w:r>
              <w:rPr>
                <w:rFonts w:hint="default"/>
                <w:color w:val="auto"/>
                <w:lang w:val="en-US" w:eastAsia="zh-CN"/>
              </w:rPr>
              <w:t>皮带输送机将破碎后的物料输送至反击破碎机或冲击破碎机的进料口，经进料口进入反击破碎机或冲击破碎机进行二级破碎。二级破碎是将物料进行细破，并根据不同粒径要求，对破碎机粒度进行调节，以保证对不同粒级材料的产量符合后续工艺的要求。此工序有</w:t>
            </w:r>
            <w:r>
              <w:rPr>
                <w:rFonts w:hint="eastAsia"/>
                <w:color w:val="auto"/>
                <w:lang w:val="en-US" w:eastAsia="zh-CN"/>
              </w:rPr>
              <w:t>冲击破碎粉尘（G5）、反击破碎</w:t>
            </w:r>
            <w:r>
              <w:rPr>
                <w:rFonts w:hint="default"/>
                <w:color w:val="auto"/>
                <w:lang w:val="en-US" w:eastAsia="zh-CN"/>
              </w:rPr>
              <w:t>粉尘</w:t>
            </w:r>
            <w:r>
              <w:rPr>
                <w:rFonts w:hint="eastAsia"/>
                <w:color w:val="auto"/>
                <w:lang w:val="en-US" w:eastAsia="zh-CN"/>
              </w:rPr>
              <w:t>（G6）</w:t>
            </w:r>
            <w:r>
              <w:rPr>
                <w:rFonts w:hint="default"/>
                <w:color w:val="auto"/>
                <w:lang w:val="en-US" w:eastAsia="zh-CN"/>
              </w:rPr>
              <w:t>和</w:t>
            </w:r>
            <w:r>
              <w:rPr>
                <w:rFonts w:hint="eastAsia"/>
                <w:color w:val="auto"/>
                <w:lang w:val="en-US" w:eastAsia="zh-CN"/>
              </w:rPr>
              <w:t>冲击破</w:t>
            </w:r>
            <w:r>
              <w:rPr>
                <w:rFonts w:hint="default"/>
                <w:color w:val="auto"/>
                <w:lang w:val="en-US" w:eastAsia="zh-CN"/>
              </w:rPr>
              <w:t>噪声</w:t>
            </w:r>
            <w:r>
              <w:rPr>
                <w:rFonts w:hint="eastAsia"/>
                <w:color w:val="auto"/>
                <w:lang w:val="en-US" w:eastAsia="zh-CN"/>
              </w:rPr>
              <w:t>（N4）、反击破噪声（N5）</w:t>
            </w:r>
            <w:r>
              <w:rPr>
                <w:rFonts w:hint="default"/>
                <w:color w:val="auto"/>
                <w:lang w:val="en-US" w:eastAsia="zh-CN"/>
              </w:rPr>
              <w:t>产生。</w:t>
            </w:r>
          </w:p>
          <w:p w14:paraId="59617A61">
            <w:pPr>
              <w:bidi w:val="0"/>
              <w:rPr>
                <w:rFonts w:hint="default"/>
                <w:color w:val="auto"/>
                <w:lang w:val="en-US" w:eastAsia="zh-CN"/>
              </w:rPr>
            </w:pPr>
            <w:r>
              <w:rPr>
                <w:rFonts w:hint="default"/>
                <w:color w:val="auto"/>
                <w:lang w:val="en-US" w:eastAsia="zh-CN"/>
              </w:rPr>
              <w:t>（4）</w:t>
            </w:r>
            <w:r>
              <w:rPr>
                <w:rFonts w:hint="eastAsia"/>
                <w:color w:val="auto"/>
                <w:lang w:val="en-US" w:eastAsia="zh-CN"/>
              </w:rPr>
              <w:t>振动筛</w:t>
            </w:r>
          </w:p>
          <w:p w14:paraId="75066A50">
            <w:pPr>
              <w:bidi w:val="0"/>
              <w:rPr>
                <w:rFonts w:hint="default"/>
                <w:color w:val="auto"/>
                <w:lang w:val="en-US" w:eastAsia="zh-CN"/>
              </w:rPr>
            </w:pPr>
            <w:r>
              <w:rPr>
                <w:rFonts w:hint="default"/>
                <w:color w:val="auto"/>
                <w:lang w:val="en-US" w:eastAsia="zh-CN"/>
              </w:rPr>
              <w:t>二级破碎后的物料经下料管，卸料至振动筛分机，由振动筛进行筛分，筛分粒径为5mm以下、5-</w:t>
            </w:r>
            <w:r>
              <w:rPr>
                <w:rFonts w:hint="eastAsia"/>
                <w:color w:val="auto"/>
                <w:lang w:val="en-US" w:eastAsia="zh-CN"/>
              </w:rPr>
              <w:t>20</w:t>
            </w:r>
            <w:r>
              <w:rPr>
                <w:rFonts w:hint="default"/>
                <w:color w:val="auto"/>
                <w:lang w:val="en-US" w:eastAsia="zh-CN"/>
              </w:rPr>
              <w:t>mm、20-40mm</w:t>
            </w:r>
            <w:r>
              <w:rPr>
                <w:rFonts w:hint="eastAsia"/>
                <w:color w:val="auto"/>
                <w:lang w:val="en-US" w:eastAsia="zh-CN"/>
              </w:rPr>
              <w:t>三</w:t>
            </w:r>
            <w:r>
              <w:rPr>
                <w:rFonts w:hint="default"/>
                <w:color w:val="auto"/>
                <w:lang w:val="en-US" w:eastAsia="zh-CN"/>
              </w:rPr>
              <w:t>个连续粒级，筛分后的骨料</w:t>
            </w:r>
            <w:r>
              <w:rPr>
                <w:rFonts w:hint="eastAsia"/>
                <w:color w:val="auto"/>
                <w:lang w:val="en-US" w:eastAsia="zh-CN"/>
              </w:rPr>
              <w:t>/粉料</w:t>
            </w:r>
            <w:r>
              <w:rPr>
                <w:rFonts w:hint="default"/>
                <w:color w:val="auto"/>
                <w:lang w:val="en-US" w:eastAsia="zh-CN"/>
              </w:rPr>
              <w:t>由</w:t>
            </w:r>
            <w:r>
              <w:rPr>
                <w:rFonts w:hint="eastAsia"/>
                <w:color w:val="auto"/>
                <w:lang w:val="en-US" w:eastAsia="zh-CN"/>
              </w:rPr>
              <w:t>铲车</w:t>
            </w:r>
            <w:r>
              <w:rPr>
                <w:rFonts w:hint="default"/>
                <w:color w:val="auto"/>
                <w:lang w:val="en-US" w:eastAsia="zh-CN"/>
              </w:rPr>
              <w:t>运至</w:t>
            </w:r>
            <w:r>
              <w:rPr>
                <w:rFonts w:hint="eastAsia"/>
                <w:color w:val="auto"/>
                <w:lang w:val="en-US" w:eastAsia="zh-CN"/>
              </w:rPr>
              <w:t>原料堆场2#用于免烧砖、水稳砂生产或运至产品堆场等待装车、外运</w:t>
            </w:r>
            <w:r>
              <w:rPr>
                <w:rFonts w:hint="default"/>
                <w:color w:val="auto"/>
                <w:lang w:val="en-US" w:eastAsia="zh-CN"/>
              </w:rPr>
              <w:t>。此工序有</w:t>
            </w:r>
            <w:r>
              <w:rPr>
                <w:rFonts w:hint="eastAsia"/>
                <w:color w:val="auto"/>
                <w:lang w:val="en-US" w:eastAsia="zh-CN"/>
              </w:rPr>
              <w:t>筛分</w:t>
            </w:r>
            <w:r>
              <w:rPr>
                <w:rFonts w:hint="default"/>
                <w:color w:val="auto"/>
                <w:lang w:val="en-US" w:eastAsia="zh-CN"/>
              </w:rPr>
              <w:t>粉尘</w:t>
            </w:r>
            <w:r>
              <w:rPr>
                <w:rFonts w:hint="eastAsia"/>
                <w:color w:val="auto"/>
                <w:lang w:val="en-US" w:eastAsia="zh-CN"/>
              </w:rPr>
              <w:t>（G7）</w:t>
            </w:r>
            <w:r>
              <w:rPr>
                <w:rFonts w:hint="default"/>
                <w:color w:val="auto"/>
                <w:lang w:val="en-US" w:eastAsia="zh-CN"/>
              </w:rPr>
              <w:t>和</w:t>
            </w:r>
            <w:r>
              <w:rPr>
                <w:rFonts w:hint="eastAsia"/>
                <w:color w:val="auto"/>
                <w:lang w:val="en-US" w:eastAsia="zh-CN"/>
              </w:rPr>
              <w:t>筛分</w:t>
            </w:r>
            <w:r>
              <w:rPr>
                <w:rFonts w:hint="default"/>
                <w:color w:val="auto"/>
                <w:lang w:val="en-US" w:eastAsia="zh-CN"/>
              </w:rPr>
              <w:t>噪声</w:t>
            </w:r>
            <w:r>
              <w:rPr>
                <w:rFonts w:hint="eastAsia"/>
                <w:color w:val="auto"/>
                <w:lang w:val="en-US" w:eastAsia="zh-CN"/>
              </w:rPr>
              <w:t>（N6）</w:t>
            </w:r>
            <w:r>
              <w:rPr>
                <w:rFonts w:hint="default"/>
                <w:color w:val="auto"/>
                <w:lang w:val="en-US" w:eastAsia="zh-CN"/>
              </w:rPr>
              <w:t>产生。</w:t>
            </w:r>
          </w:p>
          <w:p w14:paraId="48B44237">
            <w:pPr>
              <w:bidi w:val="0"/>
              <w:rPr>
                <w:rFonts w:hint="eastAsia"/>
                <w:b/>
                <w:bCs/>
                <w:color w:val="auto"/>
                <w:lang w:val="en-US" w:eastAsia="zh-CN"/>
              </w:rPr>
            </w:pPr>
            <w:r>
              <w:rPr>
                <w:rFonts w:hint="default" w:ascii="Times New Roman" w:hAnsi="Times New Roman" w:cs="Times New Roman"/>
                <w:b/>
                <w:bCs/>
                <w:color w:val="auto"/>
                <w:lang w:val="en-US" w:eastAsia="zh-CN"/>
              </w:rPr>
              <w:t>Ⅱ</w:t>
            </w:r>
            <w:r>
              <w:rPr>
                <w:rFonts w:hint="eastAsia"/>
                <w:b/>
                <w:bCs/>
                <w:color w:val="auto"/>
                <w:lang w:val="en-US" w:eastAsia="zh-CN"/>
              </w:rPr>
              <w:t>.制砖生产线</w:t>
            </w:r>
          </w:p>
          <w:p w14:paraId="237A27F1">
            <w:pPr>
              <w:bidi w:val="0"/>
              <w:rPr>
                <w:rFonts w:hint="eastAsia"/>
                <w:color w:val="auto"/>
                <w:lang w:val="en-US" w:eastAsia="zh-CN"/>
              </w:rPr>
            </w:pPr>
            <w:r>
              <w:rPr>
                <w:rFonts w:hint="eastAsia"/>
                <w:color w:val="auto"/>
                <w:lang w:val="en-US" w:eastAsia="zh-CN"/>
              </w:rPr>
              <w:t>本项目制砖工艺流程如图2-4所示。</w:t>
            </w:r>
          </w:p>
          <w:p w14:paraId="54E99900">
            <w:pPr>
              <w:bidi w:val="0"/>
              <w:rPr>
                <w:rFonts w:hint="eastAsia"/>
                <w:color w:val="auto"/>
                <w:lang w:val="en-US" w:eastAsia="zh-CN"/>
              </w:rPr>
            </w:pPr>
            <w:r>
              <w:rPr>
                <w:rFonts w:hint="eastAsia"/>
                <w:color w:val="auto"/>
                <w:lang w:val="en-US" w:eastAsia="zh-CN"/>
              </w:rPr>
              <w:t>（1）搅拌：按一定比例称取粉料、细骨料、粗骨料、水、水泥进行配料，通过搅拌配料系统搅拌后输送至砌块成型机。该工序会产生配料搅拌粉尘（G8）、配料搅拌噪声（N7）。</w:t>
            </w:r>
          </w:p>
          <w:p w14:paraId="1CE4712A">
            <w:pPr>
              <w:bidi w:val="0"/>
              <w:rPr>
                <w:rFonts w:hint="default"/>
                <w:color w:val="auto"/>
                <w:lang w:val="en-US" w:eastAsia="zh-CN"/>
              </w:rPr>
            </w:pPr>
            <w:r>
              <w:rPr>
                <w:rFonts w:hint="eastAsia"/>
                <w:color w:val="auto"/>
                <w:lang w:val="en-US" w:eastAsia="zh-CN"/>
              </w:rPr>
              <w:t>（2）砌块成型：将配比搅拌好的骨料运输至砌块成型系统密实成型。该工序会产生砌块成型固废（S3）。</w:t>
            </w:r>
          </w:p>
          <w:p w14:paraId="44AD2A46">
            <w:pPr>
              <w:bidi w:val="0"/>
              <w:rPr>
                <w:rFonts w:hint="default"/>
                <w:color w:val="auto"/>
                <w:lang w:val="en-US" w:eastAsia="zh-CN"/>
              </w:rPr>
            </w:pPr>
            <w:r>
              <w:rPr>
                <w:rFonts w:hint="eastAsia"/>
                <w:color w:val="auto"/>
                <w:lang w:val="en-US" w:eastAsia="zh-CN"/>
              </w:rPr>
              <w:t>（3）养护：砖砌块成型完成后通过铲车运至产品堆场进行室外养护，需要喷洒少量水。该工序会产生养护固废（S4）。</w:t>
            </w:r>
          </w:p>
          <w:p w14:paraId="3D79A5AA">
            <w:pPr>
              <w:bidi w:val="0"/>
              <w:rPr>
                <w:rFonts w:hint="eastAsia"/>
                <w:b/>
                <w:bCs/>
                <w:color w:val="auto"/>
                <w:lang w:val="en-US" w:eastAsia="zh-CN"/>
              </w:rPr>
            </w:pPr>
            <w:r>
              <w:rPr>
                <w:rFonts w:hint="default" w:ascii="Times New Roman" w:hAnsi="Times New Roman" w:cs="Times New Roman"/>
                <w:b/>
                <w:bCs/>
                <w:color w:val="auto"/>
                <w:lang w:val="en-US" w:eastAsia="zh-CN"/>
              </w:rPr>
              <w:t>Ⅲ</w:t>
            </w:r>
            <w:r>
              <w:rPr>
                <w:rFonts w:hint="eastAsia"/>
                <w:b/>
                <w:bCs/>
                <w:color w:val="auto"/>
                <w:lang w:val="en-US" w:eastAsia="zh-CN"/>
              </w:rPr>
              <w:t>.水稳砂生产线</w:t>
            </w:r>
          </w:p>
          <w:p w14:paraId="4B56158A">
            <w:pPr>
              <w:bidi w:val="0"/>
              <w:rPr>
                <w:rFonts w:hint="eastAsia"/>
                <w:color w:val="auto"/>
                <w:lang w:val="en-US" w:eastAsia="zh-CN"/>
              </w:rPr>
            </w:pPr>
            <w:r>
              <w:rPr>
                <w:rFonts w:hint="eastAsia"/>
                <w:color w:val="auto"/>
                <w:lang w:val="en-US" w:eastAsia="zh-CN"/>
              </w:rPr>
              <w:t>本项目水稳砂生产工艺流程如图2-5所示。</w:t>
            </w:r>
          </w:p>
          <w:p w14:paraId="213B8FCD">
            <w:pPr>
              <w:bidi w:val="0"/>
              <w:rPr>
                <w:rFonts w:hint="default"/>
                <w:color w:val="auto"/>
                <w:lang w:val="en-US" w:eastAsia="zh-CN"/>
              </w:rPr>
            </w:pPr>
            <w:r>
              <w:rPr>
                <w:rFonts w:hint="eastAsia"/>
                <w:color w:val="auto"/>
                <w:lang w:val="en-US" w:eastAsia="zh-CN"/>
              </w:rPr>
              <w:t>（1）配料：通过配料机按一定比例称取粉料、细骨料、粗骨料、水、水泥进行配料后通过斜皮带运输至螺旋机进行搅拌。该工序会产生配料粉尘（G9）、配料噪声（N8）。</w:t>
            </w:r>
          </w:p>
          <w:p w14:paraId="68CA52A4">
            <w:pPr>
              <w:bidi w:val="0"/>
              <w:rPr>
                <w:rFonts w:hint="default"/>
                <w:color w:val="auto"/>
                <w:lang w:val="en-US" w:eastAsia="zh-CN"/>
              </w:rPr>
            </w:pPr>
            <w:r>
              <w:rPr>
                <w:rFonts w:hint="eastAsia"/>
                <w:color w:val="auto"/>
                <w:lang w:val="en-US" w:eastAsia="zh-CN"/>
              </w:rPr>
              <w:t>（2）搅拌：将配比好的物料输送至螺旋机进行搅拌得到水稳砂产品，通过铲车运至产品堆场等待装车、外运。该工序会产生搅拌粉尘（G10）、搅拌噪声（N9）。</w:t>
            </w:r>
          </w:p>
          <w:p w14:paraId="506C0407">
            <w:pPr>
              <w:bidi w:val="0"/>
              <w:rPr>
                <w:rFonts w:hint="default"/>
                <w:b/>
                <w:bCs/>
                <w:color w:val="auto"/>
                <w:lang w:val="en-US" w:eastAsia="zh-CN"/>
              </w:rPr>
            </w:pPr>
            <w:r>
              <w:rPr>
                <w:rFonts w:hint="default" w:ascii="Times New Roman" w:hAnsi="Times New Roman" w:cs="Times New Roman"/>
                <w:b/>
                <w:bCs/>
                <w:color w:val="auto"/>
                <w:lang w:val="en-US" w:eastAsia="zh-CN"/>
              </w:rPr>
              <w:t>Ⅳ</w:t>
            </w:r>
            <w:r>
              <w:rPr>
                <w:rFonts w:hint="eastAsia"/>
                <w:b/>
                <w:bCs/>
                <w:color w:val="auto"/>
                <w:lang w:val="en-US" w:eastAsia="zh-CN"/>
              </w:rPr>
              <w:t>.</w:t>
            </w:r>
            <w:r>
              <w:rPr>
                <w:rFonts w:hint="default"/>
                <w:b/>
                <w:bCs/>
                <w:color w:val="auto"/>
                <w:lang w:val="en-US" w:eastAsia="zh-CN"/>
              </w:rPr>
              <w:t>装车、外运</w:t>
            </w:r>
          </w:p>
          <w:p w14:paraId="2AF553A1">
            <w:pPr>
              <w:bidi w:val="0"/>
              <w:rPr>
                <w:rFonts w:hint="default"/>
                <w:color w:val="auto"/>
                <w:lang w:val="en-US" w:eastAsia="zh-CN"/>
              </w:rPr>
            </w:pPr>
            <w:r>
              <w:rPr>
                <w:rFonts w:hint="eastAsia"/>
                <w:color w:val="auto"/>
                <w:lang w:val="en-US" w:eastAsia="zh-CN"/>
              </w:rPr>
              <w:t>本项目装车、外运工艺流程如图2-6所示。</w:t>
            </w:r>
          </w:p>
          <w:p w14:paraId="3EABCB6E">
            <w:pPr>
              <w:bidi w:val="0"/>
              <w:rPr>
                <w:rFonts w:hint="default"/>
                <w:color w:val="auto"/>
                <w:lang w:val="en-US" w:eastAsia="zh-CN"/>
              </w:rPr>
            </w:pPr>
            <w:r>
              <w:rPr>
                <w:rFonts w:hint="default"/>
                <w:color w:val="auto"/>
                <w:lang w:val="en-US" w:eastAsia="zh-CN"/>
              </w:rPr>
              <w:t>根据客户需求，利用铲车把堆存于产品堆场内的产品装入运输车辆，装载完毕后经过磅后外售。此工序有</w:t>
            </w:r>
            <w:r>
              <w:rPr>
                <w:rFonts w:hint="eastAsia"/>
                <w:color w:val="auto"/>
                <w:lang w:val="en-US" w:eastAsia="zh-CN"/>
              </w:rPr>
              <w:t>物料扬尘（G11）、汽车扬尘（G12）、汽车尾气（G13）</w:t>
            </w:r>
            <w:r>
              <w:rPr>
                <w:rFonts w:hint="default"/>
                <w:color w:val="auto"/>
                <w:lang w:val="en-US" w:eastAsia="zh-CN"/>
              </w:rPr>
              <w:t>、</w:t>
            </w:r>
            <w:r>
              <w:rPr>
                <w:rFonts w:hint="eastAsia"/>
                <w:color w:val="auto"/>
                <w:lang w:val="en-US" w:eastAsia="zh-CN"/>
              </w:rPr>
              <w:t>装车</w:t>
            </w:r>
            <w:r>
              <w:rPr>
                <w:rFonts w:hint="default"/>
                <w:color w:val="auto"/>
                <w:lang w:val="en-US" w:eastAsia="zh-CN"/>
              </w:rPr>
              <w:t>噪声</w:t>
            </w:r>
            <w:r>
              <w:rPr>
                <w:rFonts w:hint="eastAsia"/>
                <w:color w:val="auto"/>
                <w:lang w:val="en-US" w:eastAsia="zh-CN"/>
              </w:rPr>
              <w:t>（N10）和车辆噪声（N11）</w:t>
            </w:r>
            <w:r>
              <w:rPr>
                <w:rFonts w:hint="default"/>
                <w:color w:val="auto"/>
                <w:lang w:val="en-US" w:eastAsia="zh-CN"/>
              </w:rPr>
              <w:t>产生。</w:t>
            </w:r>
          </w:p>
          <w:p w14:paraId="00F6C856">
            <w:pPr>
              <w:pStyle w:val="5"/>
              <w:bidi w:val="0"/>
              <w:rPr>
                <w:rFonts w:hint="eastAsia"/>
                <w:color w:val="auto"/>
                <w:lang w:val="en-US" w:eastAsia="zh-CN"/>
              </w:rPr>
            </w:pPr>
            <w:bookmarkStart w:id="220" w:name="_Toc2118"/>
            <w:bookmarkStart w:id="221" w:name="_Toc28114"/>
            <w:bookmarkStart w:id="222" w:name="_Toc22227"/>
            <w:bookmarkStart w:id="223" w:name="_Toc32204"/>
            <w:bookmarkStart w:id="224" w:name="_Toc3606"/>
            <w:r>
              <w:rPr>
                <w:rFonts w:hint="eastAsia"/>
                <w:color w:val="auto"/>
                <w:lang w:val="en-US" w:eastAsia="zh-CN"/>
              </w:rPr>
              <w:t>2.2 产排污环节</w:t>
            </w:r>
            <w:bookmarkEnd w:id="220"/>
            <w:bookmarkEnd w:id="221"/>
            <w:bookmarkEnd w:id="222"/>
            <w:bookmarkEnd w:id="223"/>
            <w:bookmarkEnd w:id="224"/>
          </w:p>
          <w:p w14:paraId="7DE68231">
            <w:pPr>
              <w:rPr>
                <w:rFonts w:hint="default"/>
                <w:color w:val="auto"/>
                <w:lang w:val="en-US" w:eastAsia="zh-CN"/>
              </w:rPr>
            </w:pPr>
            <w:r>
              <w:rPr>
                <w:rFonts w:hint="default"/>
                <w:color w:val="auto"/>
                <w:lang w:val="en-US" w:eastAsia="zh-CN"/>
              </w:rPr>
              <w:t>本项目运营期产排污环节详见表2-</w:t>
            </w:r>
            <w:r>
              <w:rPr>
                <w:rFonts w:hint="eastAsia"/>
                <w:color w:val="auto"/>
                <w:lang w:val="en-US" w:eastAsia="zh-CN"/>
              </w:rPr>
              <w:t>8</w:t>
            </w:r>
            <w:r>
              <w:rPr>
                <w:rFonts w:hint="default"/>
                <w:color w:val="auto"/>
                <w:lang w:val="en-US" w:eastAsia="zh-CN"/>
              </w:rPr>
              <w:t>。</w:t>
            </w:r>
          </w:p>
          <w:p w14:paraId="3D4F68F3">
            <w:pPr>
              <w:pStyle w:val="18"/>
              <w:bidi w:val="0"/>
              <w:rPr>
                <w:rFonts w:hint="default"/>
                <w:color w:val="auto"/>
                <w:lang w:val="en-US" w:eastAsia="zh-CN"/>
              </w:rPr>
            </w:pPr>
            <w:r>
              <w:rPr>
                <w:rFonts w:hint="eastAsia"/>
                <w:color w:val="auto"/>
                <w:lang w:val="en-US" w:eastAsia="zh-CN"/>
              </w:rPr>
              <w:t>表2-8 项目运营期产排污环节一览表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112"/>
              <w:gridCol w:w="1425"/>
              <w:gridCol w:w="4572"/>
            </w:tblGrid>
            <w:tr w14:paraId="2DA5E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noWrap w:val="0"/>
                  <w:vAlign w:val="center"/>
                </w:tcPr>
                <w:p w14:paraId="4324AAEC">
                  <w:pPr>
                    <w:pStyle w:val="17"/>
                    <w:jc w:val="center"/>
                    <w:rPr>
                      <w:rFonts w:hint="default"/>
                      <w:color w:val="auto"/>
                      <w:vertAlign w:val="baseline"/>
                      <w:lang w:val="en-US" w:eastAsia="zh-CN"/>
                    </w:rPr>
                  </w:pPr>
                  <w:r>
                    <w:rPr>
                      <w:rFonts w:hint="eastAsia"/>
                      <w:color w:val="auto"/>
                      <w:vertAlign w:val="baseline"/>
                      <w:lang w:val="en-US" w:eastAsia="zh-CN"/>
                    </w:rPr>
                    <w:t>所处工序</w:t>
                  </w:r>
                </w:p>
              </w:tc>
              <w:tc>
                <w:tcPr>
                  <w:tcW w:w="1112" w:type="dxa"/>
                  <w:noWrap w:val="0"/>
                  <w:vAlign w:val="center"/>
                </w:tcPr>
                <w:p w14:paraId="1AEBED65">
                  <w:pPr>
                    <w:pStyle w:val="17"/>
                    <w:jc w:val="center"/>
                    <w:rPr>
                      <w:rFonts w:hint="default"/>
                      <w:color w:val="auto"/>
                      <w:vertAlign w:val="baseline"/>
                      <w:lang w:val="en-US" w:eastAsia="zh-CN"/>
                    </w:rPr>
                  </w:pPr>
                  <w:r>
                    <w:rPr>
                      <w:rFonts w:hint="eastAsia"/>
                      <w:color w:val="auto"/>
                      <w:vertAlign w:val="baseline"/>
                      <w:lang w:val="en-US" w:eastAsia="zh-CN"/>
                    </w:rPr>
                    <w:t>污染因素</w:t>
                  </w:r>
                </w:p>
              </w:tc>
              <w:tc>
                <w:tcPr>
                  <w:tcW w:w="1425" w:type="dxa"/>
                  <w:noWrap w:val="0"/>
                  <w:vAlign w:val="center"/>
                </w:tcPr>
                <w:p w14:paraId="1F22A5DC">
                  <w:pPr>
                    <w:pStyle w:val="17"/>
                    <w:jc w:val="center"/>
                    <w:rPr>
                      <w:rFonts w:hint="default"/>
                      <w:color w:val="auto"/>
                      <w:vertAlign w:val="baseline"/>
                      <w:lang w:val="en-US" w:eastAsia="zh-CN"/>
                    </w:rPr>
                  </w:pPr>
                  <w:r>
                    <w:rPr>
                      <w:rFonts w:hint="eastAsia"/>
                      <w:color w:val="auto"/>
                      <w:vertAlign w:val="baseline"/>
                      <w:lang w:val="en-US" w:eastAsia="zh-CN"/>
                    </w:rPr>
                    <w:t>污染因子</w:t>
                  </w:r>
                </w:p>
              </w:tc>
              <w:tc>
                <w:tcPr>
                  <w:tcW w:w="4572" w:type="dxa"/>
                  <w:noWrap w:val="0"/>
                  <w:vAlign w:val="center"/>
                </w:tcPr>
                <w:p w14:paraId="0E8B3EE5">
                  <w:pPr>
                    <w:pStyle w:val="17"/>
                    <w:jc w:val="center"/>
                    <w:rPr>
                      <w:rFonts w:hint="default"/>
                      <w:color w:val="auto"/>
                      <w:vertAlign w:val="baseline"/>
                      <w:lang w:val="en-US" w:eastAsia="zh-CN"/>
                    </w:rPr>
                  </w:pPr>
                  <w:r>
                    <w:rPr>
                      <w:rFonts w:hint="default"/>
                      <w:color w:val="auto"/>
                      <w:vertAlign w:val="baseline"/>
                      <w:lang w:val="en-US" w:eastAsia="zh-CN"/>
                    </w:rPr>
                    <w:t>去向（拟采取的污染防治措施）</w:t>
                  </w:r>
                </w:p>
              </w:tc>
            </w:tr>
            <w:tr w14:paraId="1A895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noWrap w:val="0"/>
                  <w:vAlign w:val="center"/>
                </w:tcPr>
                <w:p w14:paraId="598A85C2">
                  <w:pPr>
                    <w:pStyle w:val="17"/>
                    <w:jc w:val="center"/>
                    <w:rPr>
                      <w:rFonts w:hint="eastAsia"/>
                      <w:color w:val="auto"/>
                      <w:vertAlign w:val="baseline"/>
                      <w:lang w:val="en-US" w:eastAsia="zh-CN"/>
                    </w:rPr>
                  </w:pPr>
                  <w:r>
                    <w:rPr>
                      <w:rFonts w:hint="eastAsia"/>
                      <w:color w:val="auto"/>
                      <w:vertAlign w:val="baseline"/>
                      <w:lang w:val="en-US" w:eastAsia="zh-CN"/>
                    </w:rPr>
                    <w:t>原料堆场</w:t>
                  </w:r>
                </w:p>
              </w:tc>
              <w:tc>
                <w:tcPr>
                  <w:tcW w:w="1112" w:type="dxa"/>
                  <w:noWrap w:val="0"/>
                  <w:vAlign w:val="center"/>
                </w:tcPr>
                <w:p w14:paraId="622614D8">
                  <w:pPr>
                    <w:pStyle w:val="17"/>
                    <w:jc w:val="center"/>
                    <w:rPr>
                      <w:rFonts w:hint="default"/>
                      <w:color w:val="auto"/>
                      <w:vertAlign w:val="baseline"/>
                      <w:lang w:val="en-US" w:eastAsia="zh-CN"/>
                    </w:rPr>
                  </w:pPr>
                  <w:r>
                    <w:rPr>
                      <w:rFonts w:hint="eastAsia"/>
                      <w:color w:val="auto"/>
                      <w:vertAlign w:val="baseline"/>
                      <w:lang w:val="en-US" w:eastAsia="zh-CN"/>
                    </w:rPr>
                    <w:t>装卸粉尘</w:t>
                  </w:r>
                </w:p>
              </w:tc>
              <w:tc>
                <w:tcPr>
                  <w:tcW w:w="1425" w:type="dxa"/>
                  <w:noWrap w:val="0"/>
                  <w:vAlign w:val="center"/>
                </w:tcPr>
                <w:p w14:paraId="1C6AD8F9">
                  <w:pPr>
                    <w:pStyle w:val="17"/>
                    <w:jc w:val="center"/>
                    <w:rPr>
                      <w:rFonts w:hint="default"/>
                      <w:color w:val="auto"/>
                      <w:vertAlign w:val="baseline"/>
                      <w:lang w:val="en-US" w:eastAsia="zh-CN"/>
                    </w:rPr>
                  </w:pPr>
                  <w:r>
                    <w:rPr>
                      <w:rFonts w:hint="eastAsia"/>
                      <w:color w:val="auto"/>
                      <w:vertAlign w:val="baseline"/>
                      <w:lang w:val="en-US" w:eastAsia="zh-CN"/>
                    </w:rPr>
                    <w:t>颗粒物</w:t>
                  </w:r>
                </w:p>
              </w:tc>
              <w:tc>
                <w:tcPr>
                  <w:tcW w:w="4572" w:type="dxa"/>
                  <w:vMerge w:val="restart"/>
                  <w:noWrap w:val="0"/>
                  <w:vAlign w:val="center"/>
                </w:tcPr>
                <w:p w14:paraId="3AAFEFA9">
                  <w:pPr>
                    <w:pStyle w:val="17"/>
                    <w:ind w:firstLine="0" w:firstLineChars="0"/>
                    <w:jc w:val="center"/>
                    <w:rPr>
                      <w:rFonts w:hint="eastAsia"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物料</w:t>
                  </w:r>
                  <w:r>
                    <w:rPr>
                      <w:rFonts w:hint="default"/>
                      <w:color w:val="auto"/>
                      <w:vertAlign w:val="baseline"/>
                      <w:lang w:val="en-US" w:eastAsia="zh-CN"/>
                    </w:rPr>
                    <w:t>入棚，三面围挡，地面硬化，同时喷雾抑尘</w:t>
                  </w:r>
                </w:p>
              </w:tc>
            </w:tr>
            <w:tr w14:paraId="7F9FB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restart"/>
                  <w:noWrap w:val="0"/>
                  <w:vAlign w:val="center"/>
                </w:tcPr>
                <w:p w14:paraId="4166D7C8">
                  <w:pPr>
                    <w:pStyle w:val="17"/>
                    <w:jc w:val="center"/>
                    <w:rPr>
                      <w:rFonts w:hint="default"/>
                      <w:color w:val="auto"/>
                      <w:vertAlign w:val="baseline"/>
                      <w:lang w:val="en-US" w:eastAsia="zh-CN"/>
                    </w:rPr>
                  </w:pPr>
                  <w:r>
                    <w:rPr>
                      <w:rFonts w:hint="eastAsia"/>
                      <w:color w:val="auto"/>
                      <w:vertAlign w:val="baseline"/>
                      <w:lang w:val="en-US" w:eastAsia="zh-CN"/>
                    </w:rPr>
                    <w:t>产品堆场</w:t>
                  </w:r>
                </w:p>
              </w:tc>
              <w:tc>
                <w:tcPr>
                  <w:tcW w:w="1112" w:type="dxa"/>
                  <w:noWrap w:val="0"/>
                  <w:vAlign w:val="center"/>
                </w:tcPr>
                <w:p w14:paraId="5AE35717">
                  <w:pPr>
                    <w:pStyle w:val="17"/>
                    <w:ind w:firstLine="0" w:firstLineChars="0"/>
                    <w:jc w:val="center"/>
                    <w:rPr>
                      <w:rFonts w:hint="eastAsia"/>
                      <w:color w:val="auto"/>
                      <w:vertAlign w:val="baseline"/>
                      <w:lang w:val="en-US" w:eastAsia="zh-CN"/>
                    </w:rPr>
                  </w:pPr>
                  <w:r>
                    <w:rPr>
                      <w:rFonts w:hint="eastAsia"/>
                      <w:color w:val="auto"/>
                      <w:vertAlign w:val="baseline"/>
                      <w:lang w:val="en-US" w:eastAsia="zh-CN"/>
                    </w:rPr>
                    <w:t>装卸粉尘</w:t>
                  </w:r>
                </w:p>
              </w:tc>
              <w:tc>
                <w:tcPr>
                  <w:tcW w:w="1425" w:type="dxa"/>
                  <w:noWrap w:val="0"/>
                  <w:vAlign w:val="center"/>
                </w:tcPr>
                <w:p w14:paraId="66D2E946">
                  <w:pPr>
                    <w:pStyle w:val="17"/>
                    <w:ind w:firstLine="0" w:firstLineChars="0"/>
                    <w:jc w:val="center"/>
                    <w:rPr>
                      <w:rFonts w:hint="eastAsia"/>
                      <w:color w:val="auto"/>
                      <w:vertAlign w:val="baseline"/>
                      <w:lang w:val="en-US" w:eastAsia="zh-CN"/>
                    </w:rPr>
                  </w:pPr>
                  <w:r>
                    <w:rPr>
                      <w:rFonts w:hint="eastAsia"/>
                      <w:color w:val="auto"/>
                      <w:vertAlign w:val="baseline"/>
                      <w:lang w:val="en-US" w:eastAsia="zh-CN"/>
                    </w:rPr>
                    <w:t>颗粒物</w:t>
                  </w:r>
                </w:p>
              </w:tc>
              <w:tc>
                <w:tcPr>
                  <w:tcW w:w="4572" w:type="dxa"/>
                  <w:vMerge w:val="continue"/>
                  <w:noWrap w:val="0"/>
                  <w:vAlign w:val="center"/>
                </w:tcPr>
                <w:p w14:paraId="5A7AF9E1">
                  <w:pPr>
                    <w:pStyle w:val="17"/>
                    <w:ind w:firstLine="0" w:firstLineChars="0"/>
                    <w:jc w:val="center"/>
                    <w:rPr>
                      <w:rFonts w:hint="eastAsia"/>
                      <w:color w:val="auto"/>
                      <w:vertAlign w:val="baseline"/>
                      <w:lang w:val="en-US" w:eastAsia="zh-CN"/>
                    </w:rPr>
                  </w:pPr>
                </w:p>
              </w:tc>
            </w:tr>
            <w:tr w14:paraId="1938C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noWrap w:val="0"/>
                  <w:vAlign w:val="center"/>
                </w:tcPr>
                <w:p w14:paraId="7266B243">
                  <w:pPr>
                    <w:pStyle w:val="17"/>
                    <w:jc w:val="center"/>
                    <w:rPr>
                      <w:rFonts w:hint="eastAsia"/>
                      <w:color w:val="auto"/>
                      <w:vertAlign w:val="baseline"/>
                      <w:lang w:val="en-US" w:eastAsia="zh-CN"/>
                    </w:rPr>
                  </w:pPr>
                </w:p>
              </w:tc>
              <w:tc>
                <w:tcPr>
                  <w:tcW w:w="1112" w:type="dxa"/>
                  <w:noWrap w:val="0"/>
                  <w:vAlign w:val="center"/>
                </w:tcPr>
                <w:p w14:paraId="1B51137A">
                  <w:pPr>
                    <w:pStyle w:val="17"/>
                    <w:jc w:val="center"/>
                    <w:rPr>
                      <w:rFonts w:hint="default"/>
                      <w:color w:val="auto"/>
                      <w:vertAlign w:val="baseline"/>
                      <w:lang w:val="en-US" w:eastAsia="zh-CN"/>
                    </w:rPr>
                  </w:pPr>
                  <w:r>
                    <w:rPr>
                      <w:rFonts w:hint="eastAsia"/>
                      <w:color w:val="auto"/>
                      <w:vertAlign w:val="baseline"/>
                      <w:lang w:val="en-US" w:eastAsia="zh-CN"/>
                    </w:rPr>
                    <w:t>堆场扬尘</w:t>
                  </w:r>
                </w:p>
              </w:tc>
              <w:tc>
                <w:tcPr>
                  <w:tcW w:w="1425" w:type="dxa"/>
                  <w:noWrap w:val="0"/>
                  <w:vAlign w:val="center"/>
                </w:tcPr>
                <w:p w14:paraId="362B72F7">
                  <w:pPr>
                    <w:pStyle w:val="17"/>
                    <w:jc w:val="center"/>
                    <w:rPr>
                      <w:rFonts w:hint="default"/>
                      <w:color w:val="auto"/>
                      <w:vertAlign w:val="baseline"/>
                      <w:lang w:val="en-US" w:eastAsia="zh-CN"/>
                    </w:rPr>
                  </w:pPr>
                  <w:r>
                    <w:rPr>
                      <w:rFonts w:hint="eastAsia"/>
                      <w:color w:val="auto"/>
                      <w:vertAlign w:val="baseline"/>
                      <w:lang w:val="en-US" w:eastAsia="zh-CN"/>
                    </w:rPr>
                    <w:t>颗粒物</w:t>
                  </w:r>
                </w:p>
              </w:tc>
              <w:tc>
                <w:tcPr>
                  <w:tcW w:w="4572" w:type="dxa"/>
                  <w:vMerge w:val="continue"/>
                  <w:noWrap w:val="0"/>
                  <w:vAlign w:val="center"/>
                </w:tcPr>
                <w:p w14:paraId="7E64722A">
                  <w:pPr>
                    <w:pStyle w:val="17"/>
                    <w:ind w:firstLine="0" w:firstLineChars="0"/>
                    <w:jc w:val="center"/>
                    <w:rPr>
                      <w:rFonts w:hint="eastAsia"/>
                      <w:color w:val="auto"/>
                      <w:vertAlign w:val="baseline"/>
                      <w:lang w:val="en-US" w:eastAsia="zh-CN"/>
                    </w:rPr>
                  </w:pPr>
                </w:p>
              </w:tc>
            </w:tr>
            <w:tr w14:paraId="567EC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70" w:type="dxa"/>
                  <w:vMerge w:val="restart"/>
                  <w:noWrap w:val="0"/>
                  <w:vAlign w:val="center"/>
                </w:tcPr>
                <w:p w14:paraId="25F66342">
                  <w:pPr>
                    <w:pStyle w:val="17"/>
                    <w:jc w:val="center"/>
                    <w:rPr>
                      <w:rFonts w:hint="default"/>
                      <w:color w:val="auto"/>
                      <w:vertAlign w:val="baseline"/>
                      <w:lang w:val="en-US" w:eastAsia="zh-CN"/>
                    </w:rPr>
                  </w:pPr>
                  <w:r>
                    <w:rPr>
                      <w:rFonts w:hint="eastAsia"/>
                      <w:color w:val="auto"/>
                      <w:vertAlign w:val="baseline"/>
                      <w:lang w:val="en-US" w:eastAsia="zh-CN"/>
                    </w:rPr>
                    <w:t>物料运输</w:t>
                  </w:r>
                </w:p>
              </w:tc>
              <w:tc>
                <w:tcPr>
                  <w:tcW w:w="1112" w:type="dxa"/>
                  <w:noWrap w:val="0"/>
                  <w:vAlign w:val="center"/>
                </w:tcPr>
                <w:p w14:paraId="16F417F9">
                  <w:pPr>
                    <w:pStyle w:val="17"/>
                    <w:jc w:val="center"/>
                    <w:rPr>
                      <w:rFonts w:hint="default"/>
                      <w:color w:val="auto"/>
                      <w:vertAlign w:val="baseline"/>
                      <w:lang w:val="en-US" w:eastAsia="zh-CN"/>
                    </w:rPr>
                  </w:pPr>
                  <w:r>
                    <w:rPr>
                      <w:rFonts w:hint="eastAsia"/>
                      <w:color w:val="auto"/>
                      <w:vertAlign w:val="baseline"/>
                      <w:lang w:val="en-US" w:eastAsia="zh-CN"/>
                    </w:rPr>
                    <w:t>道路扬尘</w:t>
                  </w:r>
                </w:p>
              </w:tc>
              <w:tc>
                <w:tcPr>
                  <w:tcW w:w="1425" w:type="dxa"/>
                  <w:noWrap w:val="0"/>
                  <w:vAlign w:val="center"/>
                </w:tcPr>
                <w:p w14:paraId="7DF895CA">
                  <w:pPr>
                    <w:pStyle w:val="17"/>
                    <w:jc w:val="center"/>
                    <w:rPr>
                      <w:rFonts w:hint="default"/>
                      <w:color w:val="auto"/>
                      <w:vertAlign w:val="baseline"/>
                      <w:lang w:val="en-US" w:eastAsia="zh-CN"/>
                    </w:rPr>
                  </w:pPr>
                  <w:r>
                    <w:rPr>
                      <w:rFonts w:hint="eastAsia"/>
                      <w:color w:val="auto"/>
                      <w:vertAlign w:val="baseline"/>
                      <w:lang w:val="en-US" w:eastAsia="zh-CN"/>
                    </w:rPr>
                    <w:t>颗粒物</w:t>
                  </w:r>
                </w:p>
              </w:tc>
              <w:tc>
                <w:tcPr>
                  <w:tcW w:w="4572" w:type="dxa"/>
                  <w:noWrap w:val="0"/>
                  <w:vAlign w:val="center"/>
                </w:tcPr>
                <w:p w14:paraId="5A2E0CF5">
                  <w:pPr>
                    <w:pStyle w:val="17"/>
                    <w:jc w:val="center"/>
                    <w:rPr>
                      <w:rFonts w:hint="default"/>
                      <w:color w:val="auto"/>
                      <w:vertAlign w:val="baseline"/>
                      <w:lang w:val="en-US" w:eastAsia="zh-CN"/>
                    </w:rPr>
                  </w:pPr>
                  <w:r>
                    <w:rPr>
                      <w:rFonts w:hint="default"/>
                      <w:color w:val="auto"/>
                      <w:vertAlign w:val="baseline"/>
                      <w:lang w:val="en-US" w:eastAsia="zh-CN"/>
                    </w:rPr>
                    <w:t>道路硬化，定期清扫，洒水抑尘</w:t>
                  </w:r>
                </w:p>
              </w:tc>
            </w:tr>
            <w:tr w14:paraId="5F0C2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70" w:type="dxa"/>
                  <w:vMerge w:val="continue"/>
                  <w:noWrap w:val="0"/>
                  <w:vAlign w:val="center"/>
                </w:tcPr>
                <w:p w14:paraId="09D2D9BD">
                  <w:pPr>
                    <w:pStyle w:val="17"/>
                    <w:jc w:val="center"/>
                    <w:rPr>
                      <w:rFonts w:hint="eastAsia"/>
                      <w:color w:val="auto"/>
                      <w:vertAlign w:val="baseline"/>
                      <w:lang w:val="en-US" w:eastAsia="zh-CN"/>
                    </w:rPr>
                  </w:pPr>
                </w:p>
              </w:tc>
              <w:tc>
                <w:tcPr>
                  <w:tcW w:w="1112" w:type="dxa"/>
                  <w:noWrap w:val="0"/>
                  <w:vAlign w:val="center"/>
                </w:tcPr>
                <w:p w14:paraId="1D5C29BC">
                  <w:pPr>
                    <w:pStyle w:val="17"/>
                    <w:jc w:val="center"/>
                    <w:rPr>
                      <w:rFonts w:hint="default"/>
                      <w:color w:val="auto"/>
                      <w:vertAlign w:val="baseline"/>
                      <w:lang w:val="en-US" w:eastAsia="zh-CN"/>
                    </w:rPr>
                  </w:pPr>
                  <w:r>
                    <w:rPr>
                      <w:rFonts w:hint="eastAsia"/>
                      <w:color w:val="auto"/>
                      <w:vertAlign w:val="baseline"/>
                      <w:lang w:val="en-US" w:eastAsia="zh-CN"/>
                    </w:rPr>
                    <w:t>运输车辆尾气</w:t>
                  </w:r>
                </w:p>
              </w:tc>
              <w:tc>
                <w:tcPr>
                  <w:tcW w:w="1425" w:type="dxa"/>
                  <w:noWrap w:val="0"/>
                  <w:vAlign w:val="center"/>
                </w:tcPr>
                <w:p w14:paraId="31C8BA14">
                  <w:pPr>
                    <w:pStyle w:val="17"/>
                    <w:jc w:val="center"/>
                    <w:rPr>
                      <w:rFonts w:hint="default"/>
                      <w:color w:val="auto"/>
                      <w:vertAlign w:val="baseline"/>
                      <w:lang w:val="en-US" w:eastAsia="zh-CN"/>
                    </w:rPr>
                  </w:pPr>
                  <w:r>
                    <w:rPr>
                      <w:rFonts w:hint="eastAsia"/>
                      <w:color w:val="auto"/>
                      <w:vertAlign w:val="baseline"/>
                      <w:lang w:val="en-US" w:eastAsia="zh-CN"/>
                    </w:rPr>
                    <w:t>CO、NO</w:t>
                  </w:r>
                  <w:r>
                    <w:rPr>
                      <w:rFonts w:hint="eastAsia"/>
                      <w:color w:val="auto"/>
                      <w:vertAlign w:val="subscript"/>
                      <w:lang w:val="en-US" w:eastAsia="zh-CN"/>
                    </w:rPr>
                    <w:t>X</w:t>
                  </w:r>
                  <w:r>
                    <w:rPr>
                      <w:rFonts w:hint="eastAsia"/>
                      <w:color w:val="auto"/>
                      <w:vertAlign w:val="baseline"/>
                      <w:lang w:val="en-US" w:eastAsia="zh-CN"/>
                    </w:rPr>
                    <w:t>、THC等</w:t>
                  </w:r>
                </w:p>
              </w:tc>
              <w:tc>
                <w:tcPr>
                  <w:tcW w:w="4572" w:type="dxa"/>
                  <w:noWrap w:val="0"/>
                  <w:vAlign w:val="center"/>
                </w:tcPr>
                <w:p w14:paraId="36A635E0">
                  <w:pPr>
                    <w:pStyle w:val="17"/>
                    <w:jc w:val="center"/>
                    <w:rPr>
                      <w:rFonts w:hint="default"/>
                      <w:color w:val="auto"/>
                      <w:vertAlign w:val="baseline"/>
                      <w:lang w:val="en-US" w:eastAsia="zh-CN"/>
                    </w:rPr>
                  </w:pPr>
                  <w:r>
                    <w:rPr>
                      <w:rFonts w:hint="default"/>
                      <w:color w:val="auto"/>
                      <w:vertAlign w:val="baseline"/>
                      <w:lang w:val="en-US" w:eastAsia="zh-CN"/>
                    </w:rPr>
                    <w:t>加强垃圾运输管理，控制车速，缩短怠速、减速和加速的时间，增加正常运行时间</w:t>
                  </w:r>
                </w:p>
              </w:tc>
            </w:tr>
            <w:tr w14:paraId="49568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270" w:type="dxa"/>
                  <w:noWrap w:val="0"/>
                  <w:vAlign w:val="center"/>
                </w:tcPr>
                <w:p w14:paraId="20387666">
                  <w:pPr>
                    <w:pStyle w:val="17"/>
                    <w:jc w:val="center"/>
                    <w:rPr>
                      <w:rFonts w:hint="default"/>
                      <w:color w:val="auto"/>
                      <w:vertAlign w:val="baseline"/>
                      <w:lang w:val="en-US" w:eastAsia="zh-CN"/>
                    </w:rPr>
                  </w:pPr>
                  <w:r>
                    <w:rPr>
                      <w:rFonts w:hint="eastAsia"/>
                      <w:color w:val="auto"/>
                      <w:vertAlign w:val="baseline"/>
                      <w:lang w:val="en-US" w:eastAsia="zh-CN"/>
                    </w:rPr>
                    <w:t>分拣</w:t>
                  </w:r>
                </w:p>
              </w:tc>
              <w:tc>
                <w:tcPr>
                  <w:tcW w:w="1112" w:type="dxa"/>
                  <w:noWrap w:val="0"/>
                  <w:vAlign w:val="center"/>
                </w:tcPr>
                <w:p w14:paraId="5179BE85">
                  <w:pPr>
                    <w:pStyle w:val="17"/>
                    <w:jc w:val="center"/>
                    <w:rPr>
                      <w:rFonts w:hint="default"/>
                      <w:color w:val="auto"/>
                      <w:vertAlign w:val="baseline"/>
                      <w:lang w:val="en-US" w:eastAsia="zh-CN"/>
                    </w:rPr>
                  </w:pPr>
                  <w:r>
                    <w:rPr>
                      <w:rFonts w:hint="eastAsia"/>
                      <w:color w:val="auto"/>
                      <w:vertAlign w:val="baseline"/>
                      <w:lang w:val="en-US" w:eastAsia="zh-CN"/>
                    </w:rPr>
                    <w:t>一般固废</w:t>
                  </w:r>
                </w:p>
              </w:tc>
              <w:tc>
                <w:tcPr>
                  <w:tcW w:w="1425" w:type="dxa"/>
                  <w:noWrap w:val="0"/>
                  <w:vAlign w:val="center"/>
                </w:tcPr>
                <w:p w14:paraId="121982B3">
                  <w:pPr>
                    <w:pStyle w:val="17"/>
                    <w:jc w:val="center"/>
                    <w:rPr>
                      <w:rFonts w:hint="default"/>
                      <w:color w:val="auto"/>
                      <w:vertAlign w:val="baseline"/>
                      <w:lang w:val="en-US" w:eastAsia="zh-CN"/>
                    </w:rPr>
                  </w:pPr>
                  <w:r>
                    <w:rPr>
                      <w:rFonts w:hint="default"/>
                      <w:color w:val="auto"/>
                      <w:vertAlign w:val="baseline"/>
                      <w:lang w:val="en-US" w:eastAsia="zh-CN"/>
                    </w:rPr>
                    <w:t>废铁、废木块、废塑料</w:t>
                  </w:r>
                  <w:r>
                    <w:rPr>
                      <w:rFonts w:hint="eastAsia"/>
                      <w:color w:val="auto"/>
                      <w:vertAlign w:val="baseline"/>
                      <w:lang w:val="en-US" w:eastAsia="zh-CN"/>
                    </w:rPr>
                    <w:t>等</w:t>
                  </w:r>
                </w:p>
              </w:tc>
              <w:tc>
                <w:tcPr>
                  <w:tcW w:w="4572" w:type="dxa"/>
                  <w:vMerge w:val="restart"/>
                  <w:noWrap w:val="0"/>
                  <w:vAlign w:val="center"/>
                </w:tcPr>
                <w:p w14:paraId="0A2B7CF4">
                  <w:pPr>
                    <w:pStyle w:val="17"/>
                    <w:jc w:val="center"/>
                    <w:rPr>
                      <w:rFonts w:hint="default"/>
                      <w:color w:val="auto"/>
                      <w:vertAlign w:val="baseline"/>
                      <w:lang w:val="en-US" w:eastAsia="zh-CN"/>
                    </w:rPr>
                  </w:pPr>
                  <w:r>
                    <w:rPr>
                      <w:rFonts w:hint="eastAsia"/>
                      <w:color w:val="auto"/>
                      <w:vertAlign w:val="baseline"/>
                      <w:lang w:val="en-US" w:eastAsia="zh-CN"/>
                    </w:rPr>
                    <w:t>统一收集后外售综合利用</w:t>
                  </w:r>
                </w:p>
              </w:tc>
            </w:tr>
            <w:tr w14:paraId="79548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270" w:type="dxa"/>
                  <w:noWrap w:val="0"/>
                  <w:vAlign w:val="center"/>
                </w:tcPr>
                <w:p w14:paraId="2541C6F7">
                  <w:pPr>
                    <w:pStyle w:val="17"/>
                    <w:jc w:val="center"/>
                    <w:rPr>
                      <w:rFonts w:hint="default"/>
                      <w:color w:val="auto"/>
                      <w:vertAlign w:val="baseline"/>
                      <w:lang w:val="en-US" w:eastAsia="zh-CN"/>
                    </w:rPr>
                  </w:pPr>
                  <w:r>
                    <w:rPr>
                      <w:rFonts w:hint="eastAsia"/>
                      <w:color w:val="auto"/>
                      <w:vertAlign w:val="baseline"/>
                      <w:lang w:val="en-US" w:eastAsia="zh-CN"/>
                    </w:rPr>
                    <w:t>磁选</w:t>
                  </w:r>
                </w:p>
              </w:tc>
              <w:tc>
                <w:tcPr>
                  <w:tcW w:w="1112" w:type="dxa"/>
                  <w:noWrap w:val="0"/>
                  <w:vAlign w:val="center"/>
                </w:tcPr>
                <w:p w14:paraId="57AEBBDD">
                  <w:pPr>
                    <w:pStyle w:val="17"/>
                    <w:ind w:firstLine="0" w:firstLineChars="0"/>
                    <w:jc w:val="center"/>
                    <w:rPr>
                      <w:rFonts w:hint="eastAsia"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一般固废</w:t>
                  </w:r>
                </w:p>
              </w:tc>
              <w:tc>
                <w:tcPr>
                  <w:tcW w:w="1425" w:type="dxa"/>
                  <w:noWrap w:val="0"/>
                  <w:vAlign w:val="center"/>
                </w:tcPr>
                <w:p w14:paraId="370694F5">
                  <w:pPr>
                    <w:pStyle w:val="17"/>
                    <w:jc w:val="center"/>
                    <w:rPr>
                      <w:rFonts w:hint="default"/>
                      <w:color w:val="auto"/>
                      <w:vertAlign w:val="baseline"/>
                      <w:lang w:val="en-US" w:eastAsia="zh-CN"/>
                    </w:rPr>
                  </w:pPr>
                  <w:r>
                    <w:rPr>
                      <w:rFonts w:hint="eastAsia"/>
                      <w:color w:val="auto"/>
                      <w:vertAlign w:val="baseline"/>
                      <w:lang w:val="en-US" w:eastAsia="zh-CN"/>
                    </w:rPr>
                    <w:t>废铁</w:t>
                  </w:r>
                </w:p>
              </w:tc>
              <w:tc>
                <w:tcPr>
                  <w:tcW w:w="4572" w:type="dxa"/>
                  <w:vMerge w:val="continue"/>
                  <w:noWrap w:val="0"/>
                  <w:vAlign w:val="center"/>
                </w:tcPr>
                <w:p w14:paraId="5B56F19F">
                  <w:pPr>
                    <w:pStyle w:val="17"/>
                    <w:jc w:val="center"/>
                    <w:rPr>
                      <w:rFonts w:hint="eastAsia"/>
                      <w:color w:val="auto"/>
                      <w:vertAlign w:val="baseline"/>
                      <w:lang w:val="en-US" w:eastAsia="zh-CN"/>
                    </w:rPr>
                  </w:pPr>
                </w:p>
              </w:tc>
            </w:tr>
            <w:tr w14:paraId="22FEA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noWrap w:val="0"/>
                  <w:vAlign w:val="center"/>
                </w:tcPr>
                <w:p w14:paraId="1A4C9921">
                  <w:pPr>
                    <w:pStyle w:val="17"/>
                    <w:jc w:val="center"/>
                    <w:rPr>
                      <w:rFonts w:hint="default"/>
                      <w:color w:val="auto"/>
                      <w:vertAlign w:val="baseline"/>
                      <w:lang w:val="en-US" w:eastAsia="zh-CN"/>
                    </w:rPr>
                  </w:pPr>
                  <w:r>
                    <w:rPr>
                      <w:rFonts w:hint="eastAsia"/>
                      <w:color w:val="auto"/>
                      <w:vertAlign w:val="baseline"/>
                      <w:lang w:val="en-US" w:eastAsia="zh-CN"/>
                    </w:rPr>
                    <w:t>颚式破碎</w:t>
                  </w:r>
                </w:p>
              </w:tc>
              <w:tc>
                <w:tcPr>
                  <w:tcW w:w="1112" w:type="dxa"/>
                  <w:noWrap w:val="0"/>
                  <w:vAlign w:val="center"/>
                </w:tcPr>
                <w:p w14:paraId="466E96C8">
                  <w:pPr>
                    <w:pStyle w:val="17"/>
                    <w:jc w:val="center"/>
                    <w:rPr>
                      <w:rFonts w:hint="default"/>
                      <w:color w:val="auto"/>
                      <w:vertAlign w:val="baseline"/>
                      <w:lang w:val="en-US" w:eastAsia="zh-CN"/>
                    </w:rPr>
                  </w:pPr>
                  <w:r>
                    <w:rPr>
                      <w:rFonts w:hint="eastAsia"/>
                      <w:color w:val="auto"/>
                      <w:vertAlign w:val="baseline"/>
                      <w:lang w:val="en-US" w:eastAsia="zh-CN"/>
                    </w:rPr>
                    <w:t>颚式破碎粉尘</w:t>
                  </w:r>
                </w:p>
              </w:tc>
              <w:tc>
                <w:tcPr>
                  <w:tcW w:w="1425" w:type="dxa"/>
                  <w:noWrap w:val="0"/>
                  <w:vAlign w:val="center"/>
                </w:tcPr>
                <w:p w14:paraId="7B33FB86">
                  <w:pPr>
                    <w:pStyle w:val="17"/>
                    <w:jc w:val="center"/>
                    <w:rPr>
                      <w:rFonts w:hint="default"/>
                      <w:color w:val="auto"/>
                      <w:vertAlign w:val="baseline"/>
                      <w:lang w:val="en-US" w:eastAsia="zh-CN"/>
                    </w:rPr>
                  </w:pPr>
                  <w:r>
                    <w:rPr>
                      <w:rFonts w:hint="eastAsia"/>
                      <w:color w:val="auto"/>
                      <w:vertAlign w:val="baseline"/>
                      <w:lang w:val="en-US" w:eastAsia="zh-CN"/>
                    </w:rPr>
                    <w:t>颗粒物</w:t>
                  </w:r>
                </w:p>
              </w:tc>
              <w:tc>
                <w:tcPr>
                  <w:tcW w:w="4572" w:type="dxa"/>
                  <w:vMerge w:val="restart"/>
                  <w:noWrap w:val="0"/>
                  <w:vAlign w:val="center"/>
                </w:tcPr>
                <w:p w14:paraId="6C807521">
                  <w:pPr>
                    <w:pStyle w:val="17"/>
                    <w:jc w:val="center"/>
                    <w:rPr>
                      <w:rFonts w:hint="default"/>
                      <w:color w:val="auto"/>
                      <w:vertAlign w:val="baseline"/>
                      <w:lang w:val="en-US" w:eastAsia="zh-CN"/>
                    </w:rPr>
                  </w:pPr>
                  <w:r>
                    <w:rPr>
                      <w:rFonts w:hint="default"/>
                      <w:color w:val="auto"/>
                      <w:vertAlign w:val="baseline"/>
                      <w:lang w:val="en-US" w:eastAsia="zh-CN"/>
                    </w:rPr>
                    <w:t>负压吸风收尘装置</w:t>
                  </w:r>
                  <w:r>
                    <w:rPr>
                      <w:rFonts w:hint="eastAsia"/>
                      <w:color w:val="auto"/>
                      <w:vertAlign w:val="baseline"/>
                      <w:lang w:val="en-US" w:eastAsia="zh-CN"/>
                    </w:rPr>
                    <w:t>+</w:t>
                  </w:r>
                  <w:r>
                    <w:rPr>
                      <w:rFonts w:hint="eastAsia"/>
                      <w:color w:val="auto"/>
                      <w:u w:val="none"/>
                      <w:lang w:eastAsia="zh-CN"/>
                    </w:rPr>
                    <w:t>旋风除尘器</w:t>
                  </w:r>
                  <w:r>
                    <w:rPr>
                      <w:rFonts w:hint="eastAsia"/>
                      <w:color w:val="auto"/>
                      <w:u w:val="none"/>
                      <w:lang w:val="en-US" w:eastAsia="zh-CN"/>
                    </w:rPr>
                    <w:t>+</w:t>
                  </w:r>
                  <w:r>
                    <w:rPr>
                      <w:rFonts w:hint="default"/>
                      <w:color w:val="auto"/>
                      <w:vertAlign w:val="baseline"/>
                      <w:lang w:val="en-US" w:eastAsia="zh-CN"/>
                    </w:rPr>
                    <w:t>脉冲反吹布袋除尘器</w:t>
                  </w:r>
                  <w:r>
                    <w:rPr>
                      <w:rFonts w:hint="eastAsia"/>
                      <w:color w:val="auto"/>
                      <w:vertAlign w:val="baseline"/>
                      <w:lang w:val="en-US" w:eastAsia="zh-CN"/>
                    </w:rPr>
                    <w:t>+</w:t>
                  </w:r>
                  <w:r>
                    <w:rPr>
                      <w:rFonts w:hint="default"/>
                      <w:color w:val="auto"/>
                      <w:vertAlign w:val="baseline"/>
                      <w:lang w:val="en-US" w:eastAsia="zh-CN"/>
                    </w:rPr>
                    <w:t>15m</w:t>
                  </w:r>
                  <w:r>
                    <w:rPr>
                      <w:rFonts w:hint="eastAsia"/>
                      <w:color w:val="auto"/>
                      <w:vertAlign w:val="baseline"/>
                      <w:lang w:val="en-US" w:eastAsia="zh-CN"/>
                    </w:rPr>
                    <w:t>高排气筒（DA001）有组织排放；未收集废气通过全封闭车间沉降+环保除尘雾炮机治理后无组织排放</w:t>
                  </w:r>
                </w:p>
              </w:tc>
            </w:tr>
            <w:tr w14:paraId="6D33C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noWrap w:val="0"/>
                  <w:vAlign w:val="center"/>
                </w:tcPr>
                <w:p w14:paraId="64FD1BD1">
                  <w:pPr>
                    <w:pStyle w:val="17"/>
                    <w:jc w:val="center"/>
                    <w:rPr>
                      <w:rFonts w:hint="default"/>
                      <w:color w:val="auto"/>
                      <w:vertAlign w:val="baseline"/>
                      <w:lang w:val="en-US" w:eastAsia="zh-CN"/>
                    </w:rPr>
                  </w:pPr>
                  <w:r>
                    <w:rPr>
                      <w:rFonts w:hint="eastAsia"/>
                      <w:color w:val="auto"/>
                      <w:vertAlign w:val="baseline"/>
                      <w:lang w:val="en-US" w:eastAsia="zh-CN"/>
                    </w:rPr>
                    <w:t>冲击破</w:t>
                  </w:r>
                </w:p>
              </w:tc>
              <w:tc>
                <w:tcPr>
                  <w:tcW w:w="1112" w:type="dxa"/>
                  <w:noWrap w:val="0"/>
                  <w:vAlign w:val="center"/>
                </w:tcPr>
                <w:p w14:paraId="368C648A">
                  <w:pPr>
                    <w:pStyle w:val="17"/>
                    <w:jc w:val="center"/>
                    <w:rPr>
                      <w:rFonts w:hint="default"/>
                      <w:color w:val="auto"/>
                      <w:vertAlign w:val="baseline"/>
                      <w:lang w:val="en-US" w:eastAsia="zh-CN"/>
                    </w:rPr>
                  </w:pPr>
                  <w:r>
                    <w:rPr>
                      <w:rFonts w:hint="eastAsia"/>
                      <w:color w:val="auto"/>
                      <w:vertAlign w:val="baseline"/>
                      <w:lang w:val="en-US" w:eastAsia="zh-CN"/>
                    </w:rPr>
                    <w:t>冲击破碎粉尘</w:t>
                  </w:r>
                </w:p>
              </w:tc>
              <w:tc>
                <w:tcPr>
                  <w:tcW w:w="1425" w:type="dxa"/>
                  <w:noWrap w:val="0"/>
                  <w:vAlign w:val="center"/>
                </w:tcPr>
                <w:p w14:paraId="0DC8AC76">
                  <w:pPr>
                    <w:pStyle w:val="17"/>
                    <w:jc w:val="center"/>
                    <w:rPr>
                      <w:rFonts w:hint="default"/>
                      <w:color w:val="auto"/>
                      <w:vertAlign w:val="baseline"/>
                      <w:lang w:val="en-US" w:eastAsia="zh-CN"/>
                    </w:rPr>
                  </w:pPr>
                  <w:r>
                    <w:rPr>
                      <w:rFonts w:hint="eastAsia"/>
                      <w:color w:val="auto"/>
                      <w:vertAlign w:val="baseline"/>
                      <w:lang w:val="en-US" w:eastAsia="zh-CN"/>
                    </w:rPr>
                    <w:t>颗粒物</w:t>
                  </w:r>
                </w:p>
              </w:tc>
              <w:tc>
                <w:tcPr>
                  <w:tcW w:w="4572" w:type="dxa"/>
                  <w:vMerge w:val="continue"/>
                  <w:noWrap w:val="0"/>
                  <w:vAlign w:val="center"/>
                </w:tcPr>
                <w:p w14:paraId="08D6C184">
                  <w:pPr>
                    <w:pStyle w:val="17"/>
                    <w:ind w:firstLine="0" w:firstLineChars="0"/>
                    <w:jc w:val="center"/>
                    <w:rPr>
                      <w:rFonts w:hint="default" w:ascii="Times New Roman" w:hAnsi="Times New Roman" w:eastAsia="宋体"/>
                      <w:color w:val="auto"/>
                      <w:kern w:val="0"/>
                      <w:sz w:val="21"/>
                      <w:szCs w:val="21"/>
                      <w:vertAlign w:val="baseline"/>
                      <w:lang w:val="en-US" w:eastAsia="zh-CN" w:bidi="ar-SA"/>
                    </w:rPr>
                  </w:pPr>
                </w:p>
              </w:tc>
            </w:tr>
            <w:tr w14:paraId="777B4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noWrap w:val="0"/>
                  <w:vAlign w:val="center"/>
                </w:tcPr>
                <w:p w14:paraId="4FB4DA26">
                  <w:pPr>
                    <w:pStyle w:val="17"/>
                    <w:jc w:val="center"/>
                    <w:rPr>
                      <w:rFonts w:hint="default"/>
                      <w:color w:val="auto"/>
                      <w:vertAlign w:val="baseline"/>
                      <w:lang w:val="en-US" w:eastAsia="zh-CN"/>
                    </w:rPr>
                  </w:pPr>
                  <w:r>
                    <w:rPr>
                      <w:rFonts w:hint="eastAsia"/>
                      <w:color w:val="auto"/>
                      <w:vertAlign w:val="baseline"/>
                      <w:lang w:val="en-US" w:eastAsia="zh-CN"/>
                    </w:rPr>
                    <w:t>反击破</w:t>
                  </w:r>
                </w:p>
              </w:tc>
              <w:tc>
                <w:tcPr>
                  <w:tcW w:w="1112" w:type="dxa"/>
                  <w:noWrap w:val="0"/>
                  <w:vAlign w:val="center"/>
                </w:tcPr>
                <w:p w14:paraId="51B5301D">
                  <w:pPr>
                    <w:pStyle w:val="17"/>
                    <w:jc w:val="center"/>
                    <w:rPr>
                      <w:rFonts w:hint="default"/>
                      <w:color w:val="auto"/>
                      <w:vertAlign w:val="baseline"/>
                      <w:lang w:val="en-US" w:eastAsia="zh-CN"/>
                    </w:rPr>
                  </w:pPr>
                  <w:r>
                    <w:rPr>
                      <w:rFonts w:hint="eastAsia"/>
                      <w:color w:val="auto"/>
                      <w:vertAlign w:val="baseline"/>
                      <w:lang w:val="en-US" w:eastAsia="zh-CN"/>
                    </w:rPr>
                    <w:t>反击破碎粉尘</w:t>
                  </w:r>
                </w:p>
              </w:tc>
              <w:tc>
                <w:tcPr>
                  <w:tcW w:w="1425" w:type="dxa"/>
                  <w:noWrap w:val="0"/>
                  <w:vAlign w:val="center"/>
                </w:tcPr>
                <w:p w14:paraId="1FE9C69E">
                  <w:pPr>
                    <w:pStyle w:val="17"/>
                    <w:jc w:val="center"/>
                    <w:rPr>
                      <w:rFonts w:hint="default"/>
                      <w:color w:val="auto"/>
                      <w:vertAlign w:val="baseline"/>
                      <w:lang w:val="en-US" w:eastAsia="zh-CN"/>
                    </w:rPr>
                  </w:pPr>
                  <w:r>
                    <w:rPr>
                      <w:rFonts w:hint="eastAsia"/>
                      <w:color w:val="auto"/>
                      <w:vertAlign w:val="baseline"/>
                      <w:lang w:val="en-US" w:eastAsia="zh-CN"/>
                    </w:rPr>
                    <w:t>颗粒物</w:t>
                  </w:r>
                </w:p>
              </w:tc>
              <w:tc>
                <w:tcPr>
                  <w:tcW w:w="4572" w:type="dxa"/>
                  <w:vMerge w:val="continue"/>
                  <w:noWrap w:val="0"/>
                  <w:vAlign w:val="center"/>
                </w:tcPr>
                <w:p w14:paraId="77B705E8">
                  <w:pPr>
                    <w:pStyle w:val="17"/>
                    <w:ind w:firstLine="0" w:firstLineChars="0"/>
                    <w:jc w:val="center"/>
                    <w:rPr>
                      <w:rFonts w:hint="default" w:ascii="Times New Roman" w:hAnsi="Times New Roman" w:eastAsia="宋体"/>
                      <w:color w:val="auto"/>
                      <w:kern w:val="0"/>
                      <w:sz w:val="21"/>
                      <w:szCs w:val="21"/>
                      <w:vertAlign w:val="baseline"/>
                      <w:lang w:val="en-US" w:eastAsia="zh-CN" w:bidi="ar-SA"/>
                    </w:rPr>
                  </w:pPr>
                </w:p>
              </w:tc>
            </w:tr>
            <w:tr w14:paraId="7EF6D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noWrap w:val="0"/>
                  <w:vAlign w:val="center"/>
                </w:tcPr>
                <w:p w14:paraId="6BA2BA51">
                  <w:pPr>
                    <w:pStyle w:val="17"/>
                    <w:jc w:val="center"/>
                    <w:rPr>
                      <w:rFonts w:hint="default"/>
                      <w:color w:val="auto"/>
                      <w:vertAlign w:val="baseline"/>
                      <w:lang w:val="en-US" w:eastAsia="zh-CN"/>
                    </w:rPr>
                  </w:pPr>
                  <w:r>
                    <w:rPr>
                      <w:rFonts w:hint="eastAsia"/>
                      <w:color w:val="auto"/>
                      <w:vertAlign w:val="baseline"/>
                      <w:lang w:val="en-US" w:eastAsia="zh-CN"/>
                    </w:rPr>
                    <w:t>振动筛</w:t>
                  </w:r>
                </w:p>
              </w:tc>
              <w:tc>
                <w:tcPr>
                  <w:tcW w:w="1112" w:type="dxa"/>
                  <w:noWrap w:val="0"/>
                  <w:vAlign w:val="center"/>
                </w:tcPr>
                <w:p w14:paraId="01EC8B71">
                  <w:pPr>
                    <w:pStyle w:val="17"/>
                    <w:jc w:val="center"/>
                    <w:rPr>
                      <w:rFonts w:hint="default"/>
                      <w:color w:val="auto"/>
                      <w:vertAlign w:val="baseline"/>
                      <w:lang w:val="en-US" w:eastAsia="zh-CN"/>
                    </w:rPr>
                  </w:pPr>
                  <w:r>
                    <w:rPr>
                      <w:rFonts w:hint="eastAsia"/>
                      <w:color w:val="auto"/>
                      <w:vertAlign w:val="baseline"/>
                      <w:lang w:val="en-US" w:eastAsia="zh-CN"/>
                    </w:rPr>
                    <w:t>筛分粉尘</w:t>
                  </w:r>
                </w:p>
              </w:tc>
              <w:tc>
                <w:tcPr>
                  <w:tcW w:w="1425" w:type="dxa"/>
                  <w:noWrap w:val="0"/>
                  <w:vAlign w:val="center"/>
                </w:tcPr>
                <w:p w14:paraId="43D0875E">
                  <w:pPr>
                    <w:pStyle w:val="17"/>
                    <w:jc w:val="center"/>
                    <w:rPr>
                      <w:rFonts w:hint="default"/>
                      <w:color w:val="auto"/>
                      <w:vertAlign w:val="baseline"/>
                      <w:lang w:val="en-US" w:eastAsia="zh-CN"/>
                    </w:rPr>
                  </w:pPr>
                  <w:r>
                    <w:rPr>
                      <w:rFonts w:hint="eastAsia"/>
                      <w:color w:val="auto"/>
                      <w:vertAlign w:val="baseline"/>
                      <w:lang w:val="en-US" w:eastAsia="zh-CN"/>
                    </w:rPr>
                    <w:t>颗粒物</w:t>
                  </w:r>
                </w:p>
              </w:tc>
              <w:tc>
                <w:tcPr>
                  <w:tcW w:w="4572" w:type="dxa"/>
                  <w:vMerge w:val="continue"/>
                  <w:noWrap w:val="0"/>
                  <w:vAlign w:val="center"/>
                </w:tcPr>
                <w:p w14:paraId="26D2201D">
                  <w:pPr>
                    <w:pStyle w:val="17"/>
                    <w:jc w:val="center"/>
                    <w:rPr>
                      <w:rFonts w:hint="default"/>
                      <w:color w:val="auto"/>
                      <w:vertAlign w:val="baseline"/>
                      <w:lang w:val="en-US" w:eastAsia="zh-CN"/>
                    </w:rPr>
                  </w:pPr>
                </w:p>
              </w:tc>
            </w:tr>
            <w:tr w14:paraId="5E769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noWrap w:val="0"/>
                  <w:vAlign w:val="center"/>
                </w:tcPr>
                <w:p w14:paraId="03CE26FF">
                  <w:pPr>
                    <w:pStyle w:val="17"/>
                    <w:jc w:val="center"/>
                    <w:rPr>
                      <w:rFonts w:hint="default"/>
                      <w:color w:val="auto"/>
                      <w:vertAlign w:val="baseline"/>
                      <w:lang w:val="en-US" w:eastAsia="zh-CN"/>
                    </w:rPr>
                  </w:pPr>
                  <w:r>
                    <w:rPr>
                      <w:rFonts w:hint="eastAsia"/>
                      <w:color w:val="auto"/>
                      <w:vertAlign w:val="baseline"/>
                      <w:lang w:val="en-US" w:eastAsia="zh-CN"/>
                    </w:rPr>
                    <w:t>投料</w:t>
                  </w:r>
                </w:p>
              </w:tc>
              <w:tc>
                <w:tcPr>
                  <w:tcW w:w="1112" w:type="dxa"/>
                  <w:noWrap w:val="0"/>
                  <w:vAlign w:val="center"/>
                </w:tcPr>
                <w:p w14:paraId="51BF9C21">
                  <w:pPr>
                    <w:pStyle w:val="17"/>
                    <w:jc w:val="center"/>
                    <w:rPr>
                      <w:rFonts w:hint="default"/>
                      <w:color w:val="auto"/>
                      <w:vertAlign w:val="baseline"/>
                      <w:lang w:val="en-US" w:eastAsia="zh-CN"/>
                    </w:rPr>
                  </w:pPr>
                  <w:r>
                    <w:rPr>
                      <w:rFonts w:hint="eastAsia"/>
                      <w:color w:val="auto"/>
                      <w:vertAlign w:val="baseline"/>
                      <w:lang w:val="en-US" w:eastAsia="zh-CN"/>
                    </w:rPr>
                    <w:t>投料粉尘</w:t>
                  </w:r>
                </w:p>
              </w:tc>
              <w:tc>
                <w:tcPr>
                  <w:tcW w:w="1425" w:type="dxa"/>
                  <w:noWrap w:val="0"/>
                  <w:vAlign w:val="center"/>
                </w:tcPr>
                <w:p w14:paraId="6A715963">
                  <w:pPr>
                    <w:pStyle w:val="17"/>
                    <w:jc w:val="center"/>
                    <w:rPr>
                      <w:rFonts w:hint="default"/>
                      <w:color w:val="auto"/>
                      <w:vertAlign w:val="baseline"/>
                      <w:lang w:val="en-US" w:eastAsia="zh-CN"/>
                    </w:rPr>
                  </w:pPr>
                  <w:r>
                    <w:rPr>
                      <w:rFonts w:hint="eastAsia"/>
                      <w:color w:val="auto"/>
                      <w:vertAlign w:val="baseline"/>
                      <w:lang w:val="en-US" w:eastAsia="zh-CN"/>
                    </w:rPr>
                    <w:t>颗粒物</w:t>
                  </w:r>
                </w:p>
              </w:tc>
              <w:tc>
                <w:tcPr>
                  <w:tcW w:w="4572" w:type="dxa"/>
                  <w:noWrap w:val="0"/>
                  <w:vAlign w:val="center"/>
                </w:tcPr>
                <w:p w14:paraId="15996C8C">
                  <w:pPr>
                    <w:pStyle w:val="17"/>
                    <w:jc w:val="center"/>
                    <w:rPr>
                      <w:rFonts w:hint="default"/>
                      <w:color w:val="auto"/>
                      <w:vertAlign w:val="baseline"/>
                      <w:lang w:val="en-US" w:eastAsia="zh-CN"/>
                    </w:rPr>
                  </w:pPr>
                  <w:r>
                    <w:rPr>
                      <w:rFonts w:hint="default"/>
                      <w:color w:val="auto"/>
                      <w:vertAlign w:val="baseline"/>
                      <w:lang w:val="en-US" w:eastAsia="zh-CN"/>
                    </w:rPr>
                    <w:t>洒水抑尘</w:t>
                  </w:r>
                </w:p>
              </w:tc>
            </w:tr>
            <w:tr w14:paraId="0EDB9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noWrap w:val="0"/>
                  <w:vAlign w:val="center"/>
                </w:tcPr>
                <w:p w14:paraId="324D8366">
                  <w:pPr>
                    <w:pStyle w:val="17"/>
                    <w:jc w:val="center"/>
                    <w:rPr>
                      <w:rFonts w:hint="default"/>
                      <w:color w:val="auto"/>
                      <w:vertAlign w:val="baseline"/>
                      <w:lang w:val="en-US" w:eastAsia="zh-CN"/>
                    </w:rPr>
                  </w:pPr>
                  <w:r>
                    <w:rPr>
                      <w:rFonts w:hint="eastAsia"/>
                      <w:color w:val="auto"/>
                      <w:vertAlign w:val="baseline"/>
                      <w:lang w:val="en-US" w:eastAsia="zh-CN"/>
                    </w:rPr>
                    <w:t>输送</w:t>
                  </w:r>
                </w:p>
              </w:tc>
              <w:tc>
                <w:tcPr>
                  <w:tcW w:w="1112" w:type="dxa"/>
                  <w:noWrap w:val="0"/>
                  <w:vAlign w:val="center"/>
                </w:tcPr>
                <w:p w14:paraId="5E650305">
                  <w:pPr>
                    <w:pStyle w:val="17"/>
                    <w:jc w:val="center"/>
                    <w:rPr>
                      <w:rFonts w:hint="default"/>
                      <w:color w:val="auto"/>
                      <w:vertAlign w:val="baseline"/>
                      <w:lang w:val="en-US" w:eastAsia="zh-CN"/>
                    </w:rPr>
                  </w:pPr>
                  <w:r>
                    <w:rPr>
                      <w:rFonts w:hint="eastAsia"/>
                      <w:color w:val="auto"/>
                      <w:vertAlign w:val="baseline"/>
                      <w:lang w:val="en-US" w:eastAsia="zh-CN"/>
                    </w:rPr>
                    <w:t>输送粉尘</w:t>
                  </w:r>
                </w:p>
              </w:tc>
              <w:tc>
                <w:tcPr>
                  <w:tcW w:w="1425" w:type="dxa"/>
                  <w:noWrap w:val="0"/>
                  <w:vAlign w:val="center"/>
                </w:tcPr>
                <w:p w14:paraId="7403637E">
                  <w:pPr>
                    <w:pStyle w:val="17"/>
                    <w:jc w:val="center"/>
                    <w:rPr>
                      <w:rFonts w:hint="default"/>
                      <w:color w:val="auto"/>
                      <w:vertAlign w:val="baseline"/>
                      <w:lang w:val="en-US" w:eastAsia="zh-CN"/>
                    </w:rPr>
                  </w:pPr>
                  <w:r>
                    <w:rPr>
                      <w:rFonts w:hint="eastAsia"/>
                      <w:color w:val="auto"/>
                      <w:vertAlign w:val="baseline"/>
                      <w:lang w:val="en-US" w:eastAsia="zh-CN"/>
                    </w:rPr>
                    <w:t>颗粒物</w:t>
                  </w:r>
                </w:p>
              </w:tc>
              <w:tc>
                <w:tcPr>
                  <w:tcW w:w="4572" w:type="dxa"/>
                  <w:noWrap w:val="0"/>
                  <w:vAlign w:val="center"/>
                </w:tcPr>
                <w:p w14:paraId="5CC559B7">
                  <w:pPr>
                    <w:pStyle w:val="17"/>
                    <w:jc w:val="center"/>
                    <w:rPr>
                      <w:rFonts w:hint="default"/>
                      <w:color w:val="auto"/>
                      <w:vertAlign w:val="baseline"/>
                      <w:lang w:val="en-US" w:eastAsia="zh-CN"/>
                    </w:rPr>
                  </w:pPr>
                  <w:r>
                    <w:rPr>
                      <w:rFonts w:hint="eastAsia"/>
                      <w:color w:val="auto"/>
                      <w:vertAlign w:val="baseline"/>
                      <w:lang w:val="en-US" w:eastAsia="zh-CN"/>
                    </w:rPr>
                    <w:t>平稳输送，密封廊道</w:t>
                  </w:r>
                </w:p>
              </w:tc>
            </w:tr>
            <w:tr w14:paraId="63989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noWrap w:val="0"/>
                  <w:vAlign w:val="center"/>
                </w:tcPr>
                <w:p w14:paraId="614FD25E">
                  <w:pPr>
                    <w:pStyle w:val="17"/>
                    <w:jc w:val="center"/>
                    <w:rPr>
                      <w:rFonts w:hint="default"/>
                      <w:color w:val="auto"/>
                      <w:vertAlign w:val="baseline"/>
                      <w:lang w:val="en-US" w:eastAsia="zh-CN"/>
                    </w:rPr>
                  </w:pPr>
                  <w:r>
                    <w:rPr>
                      <w:rFonts w:hint="eastAsia"/>
                      <w:color w:val="auto"/>
                      <w:vertAlign w:val="baseline"/>
                      <w:lang w:val="en-US" w:eastAsia="zh-CN"/>
                    </w:rPr>
                    <w:t>配料搅拌</w:t>
                  </w:r>
                </w:p>
              </w:tc>
              <w:tc>
                <w:tcPr>
                  <w:tcW w:w="1112" w:type="dxa"/>
                  <w:noWrap w:val="0"/>
                  <w:vAlign w:val="center"/>
                </w:tcPr>
                <w:p w14:paraId="3789888C">
                  <w:pPr>
                    <w:pStyle w:val="17"/>
                    <w:ind w:firstLine="0" w:firstLineChars="0"/>
                    <w:jc w:val="center"/>
                    <w:rPr>
                      <w:rFonts w:hint="eastAsia"/>
                      <w:color w:val="auto"/>
                      <w:vertAlign w:val="baseline"/>
                      <w:lang w:val="en-US" w:eastAsia="zh-CN"/>
                    </w:rPr>
                  </w:pPr>
                  <w:r>
                    <w:rPr>
                      <w:rFonts w:hint="eastAsia"/>
                      <w:color w:val="auto"/>
                      <w:vertAlign w:val="baseline"/>
                      <w:lang w:val="en-US" w:eastAsia="zh-CN"/>
                    </w:rPr>
                    <w:t>搅拌粉尘</w:t>
                  </w:r>
                </w:p>
              </w:tc>
              <w:tc>
                <w:tcPr>
                  <w:tcW w:w="1425" w:type="dxa"/>
                  <w:noWrap w:val="0"/>
                  <w:vAlign w:val="center"/>
                </w:tcPr>
                <w:p w14:paraId="78D461B1">
                  <w:pPr>
                    <w:pStyle w:val="17"/>
                    <w:jc w:val="center"/>
                    <w:rPr>
                      <w:rFonts w:hint="default"/>
                      <w:color w:val="auto"/>
                      <w:vertAlign w:val="baseline"/>
                      <w:lang w:val="en-US" w:eastAsia="zh-CN"/>
                    </w:rPr>
                  </w:pPr>
                  <w:r>
                    <w:rPr>
                      <w:rFonts w:hint="eastAsia"/>
                      <w:color w:val="auto"/>
                      <w:vertAlign w:val="baseline"/>
                      <w:lang w:val="en-US" w:eastAsia="zh-CN"/>
                    </w:rPr>
                    <w:t>颗粒物</w:t>
                  </w:r>
                </w:p>
              </w:tc>
              <w:tc>
                <w:tcPr>
                  <w:tcW w:w="4572" w:type="dxa"/>
                  <w:noWrap w:val="0"/>
                  <w:vAlign w:val="center"/>
                </w:tcPr>
                <w:p w14:paraId="1D8E7A12">
                  <w:pPr>
                    <w:pStyle w:val="17"/>
                    <w:bidi w:val="0"/>
                    <w:ind w:firstLine="0" w:firstLineChars="0"/>
                    <w:jc w:val="center"/>
                    <w:rPr>
                      <w:rFonts w:hint="eastAsia"/>
                      <w:color w:val="auto"/>
                      <w:vertAlign w:val="baseline"/>
                      <w:lang w:val="en-US" w:eastAsia="zh-CN"/>
                    </w:rPr>
                  </w:pPr>
                  <w:r>
                    <w:rPr>
                      <w:rFonts w:hint="eastAsia"/>
                      <w:color w:val="auto"/>
                      <w:lang w:val="en-US" w:eastAsia="zh-CN"/>
                    </w:rPr>
                    <w:t>管道收集+布袋除尘器+15m高排气筒（DA002）有组织排放，厂房全封闭</w:t>
                  </w:r>
                </w:p>
              </w:tc>
            </w:tr>
            <w:tr w14:paraId="0E130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noWrap w:val="0"/>
                  <w:vAlign w:val="center"/>
                </w:tcPr>
                <w:p w14:paraId="5955DC45">
                  <w:pPr>
                    <w:pStyle w:val="17"/>
                    <w:jc w:val="center"/>
                    <w:rPr>
                      <w:rFonts w:hint="default"/>
                      <w:color w:val="auto"/>
                      <w:vertAlign w:val="baseline"/>
                      <w:lang w:val="en-US" w:eastAsia="zh-CN"/>
                    </w:rPr>
                  </w:pPr>
                  <w:r>
                    <w:rPr>
                      <w:rFonts w:hint="eastAsia"/>
                      <w:color w:val="auto"/>
                      <w:vertAlign w:val="baseline"/>
                      <w:lang w:val="en-US" w:eastAsia="zh-CN"/>
                    </w:rPr>
                    <w:t>水泥装卸</w:t>
                  </w:r>
                </w:p>
              </w:tc>
              <w:tc>
                <w:tcPr>
                  <w:tcW w:w="1112" w:type="dxa"/>
                  <w:noWrap w:val="0"/>
                  <w:vAlign w:val="center"/>
                </w:tcPr>
                <w:p w14:paraId="0D682937">
                  <w:pPr>
                    <w:pStyle w:val="17"/>
                    <w:ind w:firstLine="0" w:firstLineChars="0"/>
                    <w:jc w:val="center"/>
                    <w:rPr>
                      <w:rFonts w:hint="eastAsia"/>
                      <w:color w:val="auto"/>
                      <w:vertAlign w:val="baseline"/>
                      <w:lang w:val="en-US" w:eastAsia="zh-CN"/>
                    </w:rPr>
                  </w:pPr>
                  <w:r>
                    <w:rPr>
                      <w:rFonts w:hint="eastAsia"/>
                      <w:color w:val="auto"/>
                      <w:vertAlign w:val="baseline"/>
                      <w:lang w:val="en-US" w:eastAsia="zh-CN"/>
                    </w:rPr>
                    <w:t>水泥装卸粉尘</w:t>
                  </w:r>
                </w:p>
              </w:tc>
              <w:tc>
                <w:tcPr>
                  <w:tcW w:w="1425" w:type="dxa"/>
                  <w:noWrap w:val="0"/>
                  <w:vAlign w:val="center"/>
                </w:tcPr>
                <w:p w14:paraId="3F40D56A">
                  <w:pPr>
                    <w:pStyle w:val="17"/>
                    <w:jc w:val="center"/>
                    <w:rPr>
                      <w:rFonts w:hint="default"/>
                      <w:color w:val="auto"/>
                      <w:vertAlign w:val="baseline"/>
                      <w:lang w:val="en-US" w:eastAsia="zh-CN"/>
                    </w:rPr>
                  </w:pPr>
                  <w:r>
                    <w:rPr>
                      <w:rFonts w:hint="eastAsia"/>
                      <w:color w:val="auto"/>
                      <w:vertAlign w:val="baseline"/>
                      <w:lang w:val="en-US" w:eastAsia="zh-CN"/>
                    </w:rPr>
                    <w:t>颗粒物</w:t>
                  </w:r>
                </w:p>
              </w:tc>
              <w:tc>
                <w:tcPr>
                  <w:tcW w:w="4572" w:type="dxa"/>
                  <w:noWrap w:val="0"/>
                  <w:vAlign w:val="center"/>
                </w:tcPr>
                <w:p w14:paraId="575D5663">
                  <w:pPr>
                    <w:pStyle w:val="17"/>
                    <w:bidi w:val="0"/>
                    <w:ind w:firstLine="0" w:firstLineChars="0"/>
                    <w:jc w:val="center"/>
                    <w:rPr>
                      <w:rFonts w:hint="eastAsia"/>
                      <w:color w:val="auto"/>
                      <w:vertAlign w:val="baseline"/>
                      <w:lang w:val="en-US" w:eastAsia="zh-CN"/>
                    </w:rPr>
                  </w:pPr>
                  <w:r>
                    <w:rPr>
                      <w:rFonts w:hint="eastAsia"/>
                      <w:color w:val="auto"/>
                      <w:lang w:val="en-US" w:eastAsia="zh-CN"/>
                    </w:rPr>
                    <w:t>厂房全封闭，装卸口安装除尘器</w:t>
                  </w:r>
                </w:p>
              </w:tc>
            </w:tr>
            <w:tr w14:paraId="01BF0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noWrap w:val="0"/>
                  <w:vAlign w:val="center"/>
                </w:tcPr>
                <w:p w14:paraId="50FEDBF8">
                  <w:pPr>
                    <w:pStyle w:val="17"/>
                    <w:jc w:val="center"/>
                    <w:rPr>
                      <w:rFonts w:hint="default"/>
                      <w:color w:val="auto"/>
                      <w:vertAlign w:val="baseline"/>
                      <w:lang w:val="en-US" w:eastAsia="zh-CN"/>
                    </w:rPr>
                  </w:pPr>
                  <w:r>
                    <w:rPr>
                      <w:rFonts w:hint="eastAsia"/>
                      <w:color w:val="auto"/>
                      <w:vertAlign w:val="baseline"/>
                      <w:lang w:val="en-US" w:eastAsia="zh-CN"/>
                    </w:rPr>
                    <w:t>水泥料仓</w:t>
                  </w:r>
                </w:p>
              </w:tc>
              <w:tc>
                <w:tcPr>
                  <w:tcW w:w="1112" w:type="dxa"/>
                  <w:noWrap w:val="0"/>
                  <w:vAlign w:val="center"/>
                </w:tcPr>
                <w:p w14:paraId="1DA3508D">
                  <w:pPr>
                    <w:pStyle w:val="17"/>
                    <w:ind w:firstLine="0" w:firstLineChars="0"/>
                    <w:jc w:val="center"/>
                    <w:rPr>
                      <w:rFonts w:hint="eastAsia"/>
                      <w:color w:val="auto"/>
                      <w:vertAlign w:val="baseline"/>
                      <w:lang w:val="en-US" w:eastAsia="zh-CN"/>
                    </w:rPr>
                  </w:pPr>
                  <w:r>
                    <w:rPr>
                      <w:rFonts w:hint="eastAsia"/>
                      <w:color w:val="auto"/>
                      <w:vertAlign w:val="baseline"/>
                      <w:lang w:val="en-US" w:eastAsia="zh-CN"/>
                    </w:rPr>
                    <w:t>水泥料仓粉尘</w:t>
                  </w:r>
                </w:p>
              </w:tc>
              <w:tc>
                <w:tcPr>
                  <w:tcW w:w="1425" w:type="dxa"/>
                  <w:noWrap w:val="0"/>
                  <w:vAlign w:val="center"/>
                </w:tcPr>
                <w:p w14:paraId="20E21147">
                  <w:pPr>
                    <w:pStyle w:val="17"/>
                    <w:jc w:val="center"/>
                    <w:rPr>
                      <w:rFonts w:hint="default"/>
                      <w:color w:val="auto"/>
                      <w:vertAlign w:val="baseline"/>
                      <w:lang w:val="en-US" w:eastAsia="zh-CN"/>
                    </w:rPr>
                  </w:pPr>
                  <w:r>
                    <w:rPr>
                      <w:rFonts w:hint="eastAsia"/>
                      <w:color w:val="auto"/>
                      <w:vertAlign w:val="baseline"/>
                      <w:lang w:val="en-US" w:eastAsia="zh-CN"/>
                    </w:rPr>
                    <w:t>颗粒物</w:t>
                  </w:r>
                </w:p>
              </w:tc>
              <w:tc>
                <w:tcPr>
                  <w:tcW w:w="4572" w:type="dxa"/>
                  <w:noWrap w:val="0"/>
                  <w:vAlign w:val="center"/>
                </w:tcPr>
                <w:p w14:paraId="44C6896A">
                  <w:pPr>
                    <w:pStyle w:val="17"/>
                    <w:bidi w:val="0"/>
                    <w:ind w:firstLine="0" w:firstLineChars="0"/>
                    <w:jc w:val="center"/>
                    <w:rPr>
                      <w:rFonts w:hint="eastAsia"/>
                      <w:color w:val="auto"/>
                      <w:vertAlign w:val="baseline"/>
                      <w:lang w:val="en-US" w:eastAsia="zh-CN"/>
                    </w:rPr>
                  </w:pPr>
                  <w:r>
                    <w:rPr>
                      <w:rFonts w:hint="eastAsia"/>
                      <w:color w:val="auto"/>
                      <w:lang w:val="en-US" w:eastAsia="zh-CN"/>
                    </w:rPr>
                    <w:t>厂房全封闭，仓顶安装除尘器</w:t>
                  </w:r>
                </w:p>
              </w:tc>
            </w:tr>
            <w:tr w14:paraId="49B90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noWrap w:val="0"/>
                  <w:vAlign w:val="center"/>
                </w:tcPr>
                <w:p w14:paraId="1233E9BC">
                  <w:pPr>
                    <w:pStyle w:val="17"/>
                    <w:jc w:val="center"/>
                    <w:rPr>
                      <w:rFonts w:hint="default"/>
                      <w:color w:val="auto"/>
                      <w:vertAlign w:val="baseline"/>
                      <w:lang w:val="en-US" w:eastAsia="zh-CN"/>
                    </w:rPr>
                  </w:pPr>
                  <w:r>
                    <w:rPr>
                      <w:rFonts w:hint="eastAsia"/>
                      <w:color w:val="auto"/>
                      <w:vertAlign w:val="baseline"/>
                      <w:lang w:val="en-US" w:eastAsia="zh-CN"/>
                    </w:rPr>
                    <w:t>食堂</w:t>
                  </w:r>
                </w:p>
              </w:tc>
              <w:tc>
                <w:tcPr>
                  <w:tcW w:w="1112" w:type="dxa"/>
                  <w:noWrap w:val="0"/>
                  <w:vAlign w:val="center"/>
                </w:tcPr>
                <w:p w14:paraId="5867A021">
                  <w:pPr>
                    <w:pStyle w:val="17"/>
                    <w:jc w:val="center"/>
                    <w:rPr>
                      <w:rFonts w:hint="default"/>
                      <w:color w:val="auto"/>
                      <w:vertAlign w:val="baseline"/>
                      <w:lang w:val="en-US" w:eastAsia="zh-CN"/>
                    </w:rPr>
                  </w:pPr>
                  <w:r>
                    <w:rPr>
                      <w:rFonts w:hint="eastAsia"/>
                      <w:color w:val="auto"/>
                      <w:vertAlign w:val="baseline"/>
                      <w:lang w:val="en-US" w:eastAsia="zh-CN"/>
                    </w:rPr>
                    <w:t>食堂油烟</w:t>
                  </w:r>
                </w:p>
              </w:tc>
              <w:tc>
                <w:tcPr>
                  <w:tcW w:w="1425" w:type="dxa"/>
                  <w:noWrap w:val="0"/>
                  <w:vAlign w:val="center"/>
                </w:tcPr>
                <w:p w14:paraId="50EC2ADA">
                  <w:pPr>
                    <w:pStyle w:val="17"/>
                    <w:jc w:val="center"/>
                    <w:rPr>
                      <w:rFonts w:hint="default"/>
                      <w:color w:val="auto"/>
                      <w:vertAlign w:val="baseline"/>
                      <w:lang w:val="en-US" w:eastAsia="zh-CN"/>
                    </w:rPr>
                  </w:pPr>
                  <w:r>
                    <w:rPr>
                      <w:rFonts w:hint="eastAsia"/>
                      <w:color w:val="auto"/>
                      <w:vertAlign w:val="baseline"/>
                      <w:lang w:val="en-US" w:eastAsia="zh-CN"/>
                    </w:rPr>
                    <w:t>油烟</w:t>
                  </w:r>
                </w:p>
              </w:tc>
              <w:tc>
                <w:tcPr>
                  <w:tcW w:w="4572" w:type="dxa"/>
                  <w:noWrap w:val="0"/>
                  <w:vAlign w:val="center"/>
                </w:tcPr>
                <w:p w14:paraId="3C3D82F7">
                  <w:pPr>
                    <w:pStyle w:val="17"/>
                    <w:jc w:val="center"/>
                    <w:rPr>
                      <w:rFonts w:hint="default"/>
                      <w:color w:val="auto"/>
                      <w:vertAlign w:val="baseline"/>
                      <w:lang w:val="en-US" w:eastAsia="zh-CN"/>
                    </w:rPr>
                  </w:pPr>
                  <w:r>
                    <w:rPr>
                      <w:rFonts w:hint="eastAsia"/>
                      <w:color w:val="auto"/>
                      <w:vertAlign w:val="baseline"/>
                      <w:lang w:val="en-US" w:eastAsia="zh-CN"/>
                    </w:rPr>
                    <w:t>油烟净化器+排烟竖井</w:t>
                  </w:r>
                </w:p>
              </w:tc>
            </w:tr>
            <w:tr w14:paraId="2E86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7" w:type="dxa"/>
                  <w:gridSpan w:val="3"/>
                  <w:noWrap w:val="0"/>
                  <w:vAlign w:val="center"/>
                </w:tcPr>
                <w:p w14:paraId="7CF552A4">
                  <w:pPr>
                    <w:pStyle w:val="17"/>
                    <w:jc w:val="center"/>
                    <w:rPr>
                      <w:rFonts w:hint="default"/>
                      <w:color w:val="auto"/>
                      <w:vertAlign w:val="baseline"/>
                      <w:lang w:val="en-US" w:eastAsia="zh-CN"/>
                    </w:rPr>
                  </w:pPr>
                  <w:r>
                    <w:rPr>
                      <w:rFonts w:hint="eastAsia"/>
                      <w:color w:val="auto"/>
                      <w:vertAlign w:val="baseline"/>
                      <w:lang w:val="en-US" w:eastAsia="zh-CN"/>
                    </w:rPr>
                    <w:t>员工生活垃圾</w:t>
                  </w:r>
                </w:p>
              </w:tc>
              <w:tc>
                <w:tcPr>
                  <w:tcW w:w="4572" w:type="dxa"/>
                  <w:noWrap w:val="0"/>
                  <w:vAlign w:val="center"/>
                </w:tcPr>
                <w:p w14:paraId="1FE41BF9">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交由环卫部门定期清运处理</w:t>
                  </w:r>
                </w:p>
              </w:tc>
            </w:tr>
            <w:tr w14:paraId="6092E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3807" w:type="dxa"/>
                  <w:gridSpan w:val="3"/>
                  <w:noWrap w:val="0"/>
                  <w:vAlign w:val="center"/>
                </w:tcPr>
                <w:p w14:paraId="75E302BB">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生产性噪声</w:t>
                  </w:r>
                </w:p>
              </w:tc>
              <w:tc>
                <w:tcPr>
                  <w:tcW w:w="4572" w:type="dxa"/>
                  <w:noWrap w:val="0"/>
                  <w:vAlign w:val="center"/>
                </w:tcPr>
                <w:p w14:paraId="0906DA56">
                  <w:pPr>
                    <w:pStyle w:val="17"/>
                    <w:ind w:firstLine="0" w:firstLineChars="0"/>
                    <w:jc w:val="center"/>
                    <w:rPr>
                      <w:rFonts w:hint="default"/>
                      <w:color w:val="auto"/>
                      <w:vertAlign w:val="baseline"/>
                      <w:lang w:val="en-US" w:eastAsia="zh-CN"/>
                    </w:rPr>
                  </w:pPr>
                  <w:r>
                    <w:rPr>
                      <w:rFonts w:hint="default"/>
                      <w:color w:val="auto"/>
                      <w:vertAlign w:val="baseline"/>
                      <w:lang w:val="en-US" w:eastAsia="zh-CN"/>
                    </w:rPr>
                    <w:t>①选用功能好、噪音低的设备；②采取基础减振、距离衰减、隔声等措施</w:t>
                  </w:r>
                </w:p>
              </w:tc>
            </w:tr>
          </w:tbl>
          <w:p w14:paraId="120E2AA8">
            <w:pPr>
              <w:pStyle w:val="17"/>
              <w:rPr>
                <w:rFonts w:hint="default"/>
                <w:color w:val="auto"/>
                <w:lang w:val="en-US" w:eastAsia="zh-CN"/>
              </w:rPr>
            </w:pPr>
          </w:p>
        </w:tc>
      </w:tr>
      <w:tr w14:paraId="30B8E8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4" w:type="dxa"/>
            <w:noWrap w:val="0"/>
            <w:vAlign w:val="center"/>
          </w:tcPr>
          <w:p w14:paraId="12D06E0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color w:val="auto"/>
              </w:rPr>
            </w:pPr>
            <w:r>
              <w:rPr>
                <w:rFonts w:hint="eastAsia"/>
                <w:color w:val="auto"/>
              </w:rPr>
              <w:t>与项目有关的原有环境污染问题</w:t>
            </w:r>
          </w:p>
        </w:tc>
        <w:tc>
          <w:tcPr>
            <w:tcW w:w="8605" w:type="dxa"/>
            <w:noWrap w:val="0"/>
            <w:vAlign w:val="top"/>
          </w:tcPr>
          <w:p w14:paraId="37788C93">
            <w:pPr>
              <w:pStyle w:val="4"/>
              <w:bidi w:val="0"/>
              <w:rPr>
                <w:rFonts w:hint="eastAsia"/>
                <w:color w:val="auto"/>
                <w:lang w:val="en-US" w:eastAsia="zh-CN"/>
              </w:rPr>
            </w:pPr>
            <w:bookmarkStart w:id="225" w:name="_Toc9789"/>
            <w:bookmarkStart w:id="226" w:name="_Toc18231"/>
            <w:bookmarkStart w:id="227" w:name="_Toc32691"/>
            <w:bookmarkStart w:id="228" w:name="_Toc31107"/>
            <w:bookmarkStart w:id="229" w:name="_Toc14738"/>
            <w:r>
              <w:rPr>
                <w:rFonts w:hint="eastAsia"/>
                <w:color w:val="auto"/>
                <w:lang w:val="en-US" w:eastAsia="zh-CN"/>
              </w:rPr>
              <w:t>1、现有项目环保审批及验收情况</w:t>
            </w:r>
            <w:bookmarkEnd w:id="225"/>
            <w:bookmarkEnd w:id="226"/>
            <w:bookmarkEnd w:id="227"/>
            <w:bookmarkEnd w:id="228"/>
            <w:bookmarkEnd w:id="229"/>
          </w:p>
          <w:p w14:paraId="6E78FCE3">
            <w:pPr>
              <w:rPr>
                <w:rFonts w:hint="eastAsia"/>
                <w:color w:val="auto"/>
                <w:lang w:val="en-US" w:eastAsia="zh-CN"/>
              </w:rPr>
            </w:pPr>
            <w:r>
              <w:rPr>
                <w:rFonts w:hint="eastAsia"/>
                <w:color w:val="auto"/>
                <w:lang w:val="en-US" w:eastAsia="zh-CN"/>
              </w:rPr>
              <w:t>衡阳京泰建材有限公司位于</w:t>
            </w:r>
            <w:r>
              <w:rPr>
                <w:rFonts w:hint="default"/>
                <w:color w:val="auto"/>
                <w:lang w:val="en-US" w:eastAsia="zh-CN"/>
              </w:rPr>
              <w:t>湖南省衡阳市蒸湘区呆鹰岭镇振兴村江家塘组</w:t>
            </w:r>
            <w:r>
              <w:rPr>
                <w:rFonts w:hint="eastAsia"/>
                <w:color w:val="auto"/>
                <w:lang w:val="en-US" w:eastAsia="zh-CN"/>
              </w:rPr>
              <w:t>，主要从事建筑施工废弃物处置及综合利用行业。现有工程占地面积17000m</w:t>
            </w:r>
            <w:r>
              <w:rPr>
                <w:rFonts w:hint="eastAsia"/>
                <w:color w:val="auto"/>
                <w:vertAlign w:val="superscript"/>
                <w:lang w:val="en-US" w:eastAsia="zh-CN"/>
              </w:rPr>
              <w:t>2</w:t>
            </w:r>
            <w:r>
              <w:rPr>
                <w:rFonts w:hint="eastAsia"/>
                <w:color w:val="auto"/>
                <w:lang w:val="en-US" w:eastAsia="zh-CN"/>
              </w:rPr>
              <w:t>，总建筑面积4360m</w:t>
            </w:r>
            <w:r>
              <w:rPr>
                <w:rFonts w:hint="eastAsia"/>
                <w:color w:val="auto"/>
                <w:vertAlign w:val="superscript"/>
                <w:lang w:val="en-US" w:eastAsia="zh-CN"/>
              </w:rPr>
              <w:t>2</w:t>
            </w:r>
            <w:r>
              <w:rPr>
                <w:rFonts w:hint="eastAsia"/>
                <w:color w:val="auto"/>
                <w:lang w:val="en-US" w:eastAsia="zh-CN"/>
              </w:rPr>
              <w:t>，其中生产厂房1#1500m</w:t>
            </w:r>
            <w:r>
              <w:rPr>
                <w:rFonts w:hint="eastAsia"/>
                <w:color w:val="auto"/>
                <w:vertAlign w:val="superscript"/>
                <w:lang w:val="en-US" w:eastAsia="zh-CN"/>
              </w:rPr>
              <w:t>2</w:t>
            </w:r>
            <w:r>
              <w:rPr>
                <w:rFonts w:hint="eastAsia"/>
                <w:color w:val="auto"/>
                <w:lang w:val="en-US" w:eastAsia="zh-CN"/>
              </w:rPr>
              <w:t>，办公区三层共450m</w:t>
            </w:r>
            <w:r>
              <w:rPr>
                <w:rFonts w:hint="eastAsia"/>
                <w:color w:val="auto"/>
                <w:vertAlign w:val="superscript"/>
                <w:lang w:val="en-US" w:eastAsia="zh-CN"/>
              </w:rPr>
              <w:t>2</w:t>
            </w:r>
            <w:r>
              <w:rPr>
                <w:rFonts w:hint="eastAsia"/>
                <w:color w:val="auto"/>
                <w:vertAlign w:val="baseline"/>
                <w:lang w:val="en-US" w:eastAsia="zh-CN"/>
              </w:rPr>
              <w:t>，配电房/水泵房160</w:t>
            </w:r>
            <w:r>
              <w:rPr>
                <w:rFonts w:hint="eastAsia"/>
                <w:color w:val="auto"/>
                <w:lang w:val="en-US" w:eastAsia="zh-CN"/>
              </w:rPr>
              <w:t>m</w:t>
            </w:r>
            <w:r>
              <w:rPr>
                <w:rFonts w:hint="eastAsia"/>
                <w:color w:val="auto"/>
                <w:vertAlign w:val="superscript"/>
                <w:lang w:val="en-US" w:eastAsia="zh-CN"/>
              </w:rPr>
              <w:t>2</w:t>
            </w:r>
            <w:r>
              <w:rPr>
                <w:rFonts w:hint="eastAsia"/>
                <w:color w:val="auto"/>
                <w:vertAlign w:val="baseline"/>
                <w:lang w:val="en-US" w:eastAsia="zh-CN"/>
              </w:rPr>
              <w:t>，原料堆场1#1050</w:t>
            </w:r>
            <w:r>
              <w:rPr>
                <w:rFonts w:hint="eastAsia"/>
                <w:color w:val="auto"/>
                <w:lang w:val="en-US" w:eastAsia="zh-CN"/>
              </w:rPr>
              <w:t>m</w:t>
            </w:r>
            <w:r>
              <w:rPr>
                <w:rFonts w:hint="eastAsia"/>
                <w:color w:val="auto"/>
                <w:vertAlign w:val="superscript"/>
                <w:lang w:val="en-US" w:eastAsia="zh-CN"/>
              </w:rPr>
              <w:t>2</w:t>
            </w:r>
            <w:r>
              <w:rPr>
                <w:rFonts w:hint="eastAsia"/>
                <w:color w:val="auto"/>
                <w:vertAlign w:val="baseline"/>
                <w:lang w:val="en-US" w:eastAsia="zh-CN"/>
              </w:rPr>
              <w:t>，成品堆场1200</w:t>
            </w:r>
            <w:r>
              <w:rPr>
                <w:rFonts w:hint="eastAsia"/>
                <w:color w:val="auto"/>
                <w:lang w:val="en-US" w:eastAsia="zh-CN"/>
              </w:rPr>
              <w:t>m</w:t>
            </w:r>
            <w:r>
              <w:rPr>
                <w:rFonts w:hint="eastAsia"/>
                <w:color w:val="auto"/>
                <w:vertAlign w:val="superscript"/>
                <w:lang w:val="en-US" w:eastAsia="zh-CN"/>
              </w:rPr>
              <w:t>2</w:t>
            </w:r>
            <w:r>
              <w:rPr>
                <w:rFonts w:hint="eastAsia"/>
                <w:color w:val="auto"/>
                <w:vertAlign w:val="baseline"/>
                <w:lang w:val="en-US" w:eastAsia="zh-CN"/>
              </w:rPr>
              <w:t>。</w:t>
            </w:r>
            <w:r>
              <w:rPr>
                <w:rFonts w:hint="eastAsia"/>
                <w:color w:val="auto"/>
                <w:lang w:val="en-US" w:eastAsia="zh-CN"/>
              </w:rPr>
              <w:t>布设电力、给排水、道路等公用工程和相关环保设施。本项目现有工程主要建设内容详见表2-9。</w:t>
            </w:r>
          </w:p>
          <w:p w14:paraId="74193AC3">
            <w:pPr>
              <w:pStyle w:val="18"/>
              <w:bidi w:val="0"/>
              <w:rPr>
                <w:rFonts w:hint="eastAsia"/>
                <w:color w:val="auto"/>
                <w:lang w:val="en-US" w:eastAsia="zh-CN"/>
              </w:rPr>
            </w:pPr>
            <w:r>
              <w:rPr>
                <w:rFonts w:hint="eastAsia"/>
                <w:color w:val="auto"/>
                <w:lang w:val="en-US" w:eastAsia="zh-CN"/>
              </w:rPr>
              <w:t>表2-9 项目现有工程主要建设内容一览表</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085"/>
              <w:gridCol w:w="1214"/>
              <w:gridCol w:w="5387"/>
            </w:tblGrid>
            <w:tr w14:paraId="60045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noWrap w:val="0"/>
                  <w:vAlign w:val="center"/>
                </w:tcPr>
                <w:p w14:paraId="6A6F3A25">
                  <w:pPr>
                    <w:pStyle w:val="17"/>
                    <w:jc w:val="center"/>
                    <w:rPr>
                      <w:rFonts w:hint="default"/>
                      <w:color w:val="auto"/>
                      <w:vertAlign w:val="baseline"/>
                      <w:lang w:val="en-US" w:eastAsia="zh-CN"/>
                    </w:rPr>
                  </w:pPr>
                  <w:r>
                    <w:rPr>
                      <w:rFonts w:hint="eastAsia"/>
                      <w:color w:val="auto"/>
                      <w:vertAlign w:val="baseline"/>
                      <w:lang w:val="en-US" w:eastAsia="zh-CN"/>
                    </w:rPr>
                    <w:t>工程类别</w:t>
                  </w:r>
                </w:p>
              </w:tc>
              <w:tc>
                <w:tcPr>
                  <w:tcW w:w="647" w:type="pct"/>
                  <w:noWrap w:val="0"/>
                  <w:vAlign w:val="center"/>
                </w:tcPr>
                <w:p w14:paraId="4EE68EAD">
                  <w:pPr>
                    <w:pStyle w:val="17"/>
                    <w:jc w:val="center"/>
                    <w:rPr>
                      <w:rFonts w:hint="default"/>
                      <w:color w:val="auto"/>
                      <w:vertAlign w:val="baseline"/>
                      <w:lang w:val="en-US" w:eastAsia="zh-CN"/>
                    </w:rPr>
                  </w:pPr>
                  <w:r>
                    <w:rPr>
                      <w:rFonts w:hint="eastAsia"/>
                      <w:color w:val="auto"/>
                      <w:vertAlign w:val="baseline"/>
                      <w:lang w:val="en-US" w:eastAsia="zh-CN"/>
                    </w:rPr>
                    <w:t>工程名称</w:t>
                  </w:r>
                </w:p>
              </w:tc>
              <w:tc>
                <w:tcPr>
                  <w:tcW w:w="3937" w:type="pct"/>
                  <w:gridSpan w:val="2"/>
                  <w:noWrap w:val="0"/>
                  <w:vAlign w:val="center"/>
                </w:tcPr>
                <w:p w14:paraId="66A181AB">
                  <w:pPr>
                    <w:pStyle w:val="17"/>
                    <w:jc w:val="center"/>
                    <w:rPr>
                      <w:rFonts w:hint="default"/>
                      <w:color w:val="auto"/>
                      <w:vertAlign w:val="baseline"/>
                      <w:lang w:val="en-US" w:eastAsia="zh-CN"/>
                    </w:rPr>
                  </w:pPr>
                  <w:r>
                    <w:rPr>
                      <w:rFonts w:hint="eastAsia"/>
                      <w:color w:val="auto"/>
                      <w:vertAlign w:val="baseline"/>
                      <w:lang w:val="en-US" w:eastAsia="zh-CN"/>
                    </w:rPr>
                    <w:t>工程内容</w:t>
                  </w:r>
                </w:p>
              </w:tc>
            </w:tr>
            <w:tr w14:paraId="4BB04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noWrap w:val="0"/>
                  <w:vAlign w:val="center"/>
                </w:tcPr>
                <w:p w14:paraId="47068266">
                  <w:pPr>
                    <w:pStyle w:val="17"/>
                    <w:jc w:val="center"/>
                    <w:rPr>
                      <w:rFonts w:hint="default"/>
                      <w:color w:val="auto"/>
                      <w:vertAlign w:val="baseline"/>
                      <w:lang w:val="en-US" w:eastAsia="zh-CN"/>
                    </w:rPr>
                  </w:pPr>
                  <w:r>
                    <w:rPr>
                      <w:rFonts w:hint="eastAsia"/>
                      <w:color w:val="auto"/>
                      <w:vertAlign w:val="baseline"/>
                      <w:lang w:val="en-US" w:eastAsia="zh-CN"/>
                    </w:rPr>
                    <w:t>主体工程</w:t>
                  </w:r>
                </w:p>
              </w:tc>
              <w:tc>
                <w:tcPr>
                  <w:tcW w:w="647" w:type="pct"/>
                  <w:noWrap w:val="0"/>
                  <w:vAlign w:val="center"/>
                </w:tcPr>
                <w:p w14:paraId="018A2178">
                  <w:pPr>
                    <w:pStyle w:val="17"/>
                    <w:jc w:val="center"/>
                    <w:rPr>
                      <w:rFonts w:hint="default"/>
                      <w:color w:val="auto"/>
                      <w:vertAlign w:val="baseline"/>
                      <w:lang w:val="en-US" w:eastAsia="zh-CN"/>
                    </w:rPr>
                  </w:pPr>
                  <w:r>
                    <w:rPr>
                      <w:rFonts w:hint="eastAsia"/>
                      <w:color w:val="auto"/>
                      <w:vertAlign w:val="baseline"/>
                      <w:lang w:val="en-US" w:eastAsia="zh-CN"/>
                    </w:rPr>
                    <w:t>生产厂房1#</w:t>
                  </w:r>
                </w:p>
              </w:tc>
              <w:tc>
                <w:tcPr>
                  <w:tcW w:w="3937" w:type="pct"/>
                  <w:gridSpan w:val="2"/>
                  <w:noWrap w:val="0"/>
                  <w:vAlign w:val="center"/>
                </w:tcPr>
                <w:p w14:paraId="1DAF550E">
                  <w:pPr>
                    <w:pStyle w:val="17"/>
                    <w:jc w:val="both"/>
                    <w:rPr>
                      <w:rFonts w:hint="default"/>
                      <w:color w:val="auto"/>
                      <w:vertAlign w:val="baseline"/>
                      <w:lang w:val="en-US" w:eastAsia="zh-CN"/>
                    </w:rPr>
                  </w:pPr>
                  <w:r>
                    <w:rPr>
                      <w:rFonts w:hint="eastAsia"/>
                      <w:color w:val="auto"/>
                      <w:vertAlign w:val="baseline"/>
                      <w:lang w:val="en-US" w:eastAsia="zh-CN"/>
                    </w:rPr>
                    <w:t>高12m，单层建筑，轻质钢结构，建筑面积1500m</w:t>
                  </w:r>
                  <w:r>
                    <w:rPr>
                      <w:rFonts w:hint="eastAsia"/>
                      <w:color w:val="auto"/>
                      <w:vertAlign w:val="superscript"/>
                      <w:lang w:val="en-US" w:eastAsia="zh-CN"/>
                    </w:rPr>
                    <w:t>2</w:t>
                  </w:r>
                  <w:r>
                    <w:rPr>
                      <w:rFonts w:hint="eastAsia"/>
                      <w:color w:val="auto"/>
                      <w:vertAlign w:val="baseline"/>
                      <w:lang w:val="en-US" w:eastAsia="zh-CN"/>
                    </w:rPr>
                    <w:t>，自东向西依次布置分拣、鄂式破碎机、反击破碎机和冲击破碎机、振动筛，位于厂区中部</w:t>
                  </w:r>
                </w:p>
              </w:tc>
            </w:tr>
            <w:tr w14:paraId="58C41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restart"/>
                  <w:noWrap w:val="0"/>
                  <w:vAlign w:val="center"/>
                </w:tcPr>
                <w:p w14:paraId="55380DB3">
                  <w:pPr>
                    <w:pStyle w:val="17"/>
                    <w:jc w:val="center"/>
                    <w:rPr>
                      <w:rFonts w:hint="default"/>
                      <w:color w:val="auto"/>
                      <w:vertAlign w:val="baseline"/>
                      <w:lang w:val="en-US" w:eastAsia="zh-CN"/>
                    </w:rPr>
                  </w:pPr>
                  <w:r>
                    <w:rPr>
                      <w:rFonts w:hint="eastAsia"/>
                      <w:color w:val="auto"/>
                      <w:vertAlign w:val="baseline"/>
                      <w:lang w:val="en-US" w:eastAsia="zh-CN"/>
                    </w:rPr>
                    <w:t>辅助工程</w:t>
                  </w:r>
                </w:p>
              </w:tc>
              <w:tc>
                <w:tcPr>
                  <w:tcW w:w="647" w:type="pct"/>
                  <w:noWrap w:val="0"/>
                  <w:vAlign w:val="center"/>
                </w:tcPr>
                <w:p w14:paraId="5DB34A3B">
                  <w:pPr>
                    <w:pStyle w:val="17"/>
                    <w:jc w:val="center"/>
                    <w:rPr>
                      <w:rFonts w:hint="default"/>
                      <w:color w:val="auto"/>
                      <w:vertAlign w:val="baseline"/>
                      <w:lang w:val="en-US" w:eastAsia="zh-CN"/>
                    </w:rPr>
                  </w:pPr>
                  <w:r>
                    <w:rPr>
                      <w:rFonts w:hint="eastAsia"/>
                      <w:color w:val="auto"/>
                      <w:vertAlign w:val="baseline"/>
                      <w:lang w:val="en-US" w:eastAsia="zh-CN"/>
                    </w:rPr>
                    <w:t>办公区</w:t>
                  </w:r>
                </w:p>
              </w:tc>
              <w:tc>
                <w:tcPr>
                  <w:tcW w:w="3937" w:type="pct"/>
                  <w:gridSpan w:val="2"/>
                  <w:noWrap w:val="0"/>
                  <w:vAlign w:val="center"/>
                </w:tcPr>
                <w:p w14:paraId="0C80FACF">
                  <w:pPr>
                    <w:pStyle w:val="17"/>
                    <w:jc w:val="both"/>
                    <w:rPr>
                      <w:rFonts w:hint="default"/>
                      <w:color w:val="auto"/>
                      <w:vertAlign w:val="baseline"/>
                      <w:lang w:val="en-US" w:eastAsia="zh-CN"/>
                    </w:rPr>
                  </w:pPr>
                  <w:r>
                    <w:rPr>
                      <w:rFonts w:hint="eastAsia"/>
                      <w:color w:val="auto"/>
                      <w:vertAlign w:val="baseline"/>
                      <w:lang w:val="en-US" w:eastAsia="zh-CN"/>
                    </w:rPr>
                    <w:t>租赁场地现有的民房作为办公区，占地约150m</w:t>
                  </w:r>
                  <w:r>
                    <w:rPr>
                      <w:rFonts w:hint="eastAsia"/>
                      <w:color w:val="auto"/>
                      <w:vertAlign w:val="superscript"/>
                      <w:lang w:val="en-US" w:eastAsia="zh-CN"/>
                    </w:rPr>
                    <w:t>2</w:t>
                  </w:r>
                  <w:r>
                    <w:rPr>
                      <w:rFonts w:hint="eastAsia"/>
                      <w:color w:val="auto"/>
                      <w:vertAlign w:val="baseline"/>
                      <w:lang w:val="en-US" w:eastAsia="zh-CN"/>
                    </w:rPr>
                    <w:t>，建筑面积450m</w:t>
                  </w:r>
                  <w:r>
                    <w:rPr>
                      <w:rFonts w:hint="eastAsia"/>
                      <w:color w:val="auto"/>
                      <w:vertAlign w:val="superscript"/>
                      <w:lang w:val="en-US" w:eastAsia="zh-CN"/>
                    </w:rPr>
                    <w:t>2</w:t>
                  </w:r>
                  <w:r>
                    <w:rPr>
                      <w:rFonts w:hint="eastAsia"/>
                      <w:color w:val="auto"/>
                      <w:vertAlign w:val="baseline"/>
                      <w:lang w:val="en-US" w:eastAsia="zh-CN"/>
                    </w:rPr>
                    <w:t>，3层，砖混结构，位于厂区西面</w:t>
                  </w:r>
                </w:p>
              </w:tc>
            </w:tr>
            <w:tr w14:paraId="5E8E7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continue"/>
                  <w:noWrap w:val="0"/>
                  <w:vAlign w:val="center"/>
                </w:tcPr>
                <w:p w14:paraId="37BBB012">
                  <w:pPr>
                    <w:pStyle w:val="17"/>
                    <w:jc w:val="center"/>
                    <w:rPr>
                      <w:rFonts w:hint="default"/>
                      <w:color w:val="auto"/>
                      <w:vertAlign w:val="baseline"/>
                      <w:lang w:val="en-US" w:eastAsia="zh-CN"/>
                    </w:rPr>
                  </w:pPr>
                </w:p>
              </w:tc>
              <w:tc>
                <w:tcPr>
                  <w:tcW w:w="647" w:type="pct"/>
                  <w:noWrap w:val="0"/>
                  <w:vAlign w:val="center"/>
                </w:tcPr>
                <w:p w14:paraId="2DF713AD">
                  <w:pPr>
                    <w:pStyle w:val="17"/>
                    <w:jc w:val="center"/>
                    <w:rPr>
                      <w:rFonts w:hint="default"/>
                      <w:color w:val="auto"/>
                      <w:vertAlign w:val="baseline"/>
                      <w:lang w:val="en-US" w:eastAsia="zh-CN"/>
                    </w:rPr>
                  </w:pPr>
                  <w:r>
                    <w:rPr>
                      <w:rFonts w:hint="eastAsia"/>
                      <w:color w:val="auto"/>
                      <w:vertAlign w:val="baseline"/>
                      <w:lang w:val="en-US" w:eastAsia="zh-CN"/>
                    </w:rPr>
                    <w:t>配电房/水泵房</w:t>
                  </w:r>
                </w:p>
              </w:tc>
              <w:tc>
                <w:tcPr>
                  <w:tcW w:w="3937" w:type="pct"/>
                  <w:gridSpan w:val="2"/>
                  <w:noWrap w:val="0"/>
                  <w:vAlign w:val="center"/>
                </w:tcPr>
                <w:p w14:paraId="45E82035">
                  <w:pPr>
                    <w:pStyle w:val="17"/>
                    <w:jc w:val="both"/>
                    <w:rPr>
                      <w:rFonts w:hint="default"/>
                      <w:color w:val="auto"/>
                      <w:vertAlign w:val="baseline"/>
                      <w:lang w:val="en-US" w:eastAsia="zh-CN"/>
                    </w:rPr>
                  </w:pPr>
                  <w:r>
                    <w:rPr>
                      <w:rFonts w:hint="eastAsia"/>
                      <w:color w:val="auto"/>
                      <w:vertAlign w:val="baseline"/>
                      <w:lang w:val="en-US" w:eastAsia="zh-CN"/>
                    </w:rPr>
                    <w:t>占地160m</w:t>
                  </w:r>
                  <w:r>
                    <w:rPr>
                      <w:rFonts w:hint="eastAsia"/>
                      <w:color w:val="auto"/>
                      <w:vertAlign w:val="superscript"/>
                      <w:lang w:val="en-US" w:eastAsia="zh-CN"/>
                    </w:rPr>
                    <w:t>2</w:t>
                  </w:r>
                  <w:r>
                    <w:rPr>
                      <w:rFonts w:hint="eastAsia"/>
                      <w:color w:val="auto"/>
                      <w:vertAlign w:val="baseline"/>
                      <w:lang w:val="en-US" w:eastAsia="zh-CN"/>
                    </w:rPr>
                    <w:t>，建筑面积160m</w:t>
                  </w:r>
                  <w:r>
                    <w:rPr>
                      <w:rFonts w:hint="eastAsia"/>
                      <w:color w:val="auto"/>
                      <w:vertAlign w:val="superscript"/>
                      <w:lang w:val="en-US" w:eastAsia="zh-CN"/>
                    </w:rPr>
                    <w:t>2</w:t>
                  </w:r>
                  <w:r>
                    <w:rPr>
                      <w:rFonts w:hint="eastAsia"/>
                      <w:color w:val="auto"/>
                      <w:vertAlign w:val="baseline"/>
                      <w:lang w:val="en-US" w:eastAsia="zh-CN"/>
                    </w:rPr>
                    <w:t>，1层，砖混结构，位于厂区北面</w:t>
                  </w:r>
                </w:p>
              </w:tc>
            </w:tr>
            <w:tr w14:paraId="0B01B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restart"/>
                  <w:noWrap w:val="0"/>
                  <w:vAlign w:val="center"/>
                </w:tcPr>
                <w:p w14:paraId="3C338E4B">
                  <w:pPr>
                    <w:pStyle w:val="17"/>
                    <w:jc w:val="center"/>
                    <w:rPr>
                      <w:rFonts w:hint="default"/>
                      <w:color w:val="auto"/>
                      <w:vertAlign w:val="baseline"/>
                      <w:lang w:val="en-US" w:eastAsia="zh-CN"/>
                    </w:rPr>
                  </w:pPr>
                  <w:r>
                    <w:rPr>
                      <w:rFonts w:hint="eastAsia"/>
                      <w:color w:val="auto"/>
                      <w:vertAlign w:val="baseline"/>
                      <w:lang w:val="en-US" w:eastAsia="zh-CN"/>
                    </w:rPr>
                    <w:t>储运工程</w:t>
                  </w:r>
                </w:p>
              </w:tc>
              <w:tc>
                <w:tcPr>
                  <w:tcW w:w="647" w:type="pct"/>
                  <w:noWrap w:val="0"/>
                  <w:vAlign w:val="center"/>
                </w:tcPr>
                <w:p w14:paraId="2ABE50A9">
                  <w:pPr>
                    <w:pStyle w:val="17"/>
                    <w:jc w:val="center"/>
                    <w:rPr>
                      <w:rFonts w:hint="default"/>
                      <w:color w:val="auto"/>
                      <w:vertAlign w:val="baseline"/>
                      <w:lang w:val="en-US" w:eastAsia="zh-CN"/>
                    </w:rPr>
                  </w:pPr>
                  <w:r>
                    <w:rPr>
                      <w:rFonts w:hint="eastAsia"/>
                      <w:color w:val="auto"/>
                      <w:vertAlign w:val="baseline"/>
                      <w:lang w:val="en-US" w:eastAsia="zh-CN"/>
                    </w:rPr>
                    <w:t>原料堆场1#</w:t>
                  </w:r>
                </w:p>
              </w:tc>
              <w:tc>
                <w:tcPr>
                  <w:tcW w:w="3937" w:type="pct"/>
                  <w:gridSpan w:val="2"/>
                  <w:noWrap w:val="0"/>
                  <w:vAlign w:val="center"/>
                </w:tcPr>
                <w:p w14:paraId="5EDA5439">
                  <w:pPr>
                    <w:pStyle w:val="17"/>
                    <w:jc w:val="both"/>
                    <w:rPr>
                      <w:rFonts w:hint="default"/>
                      <w:color w:val="auto"/>
                      <w:vertAlign w:val="baseline"/>
                      <w:lang w:val="en-US" w:eastAsia="zh-CN"/>
                    </w:rPr>
                  </w:pPr>
                  <w:r>
                    <w:rPr>
                      <w:rFonts w:hint="eastAsia"/>
                      <w:color w:val="auto"/>
                      <w:vertAlign w:val="baseline"/>
                      <w:lang w:val="en-US" w:eastAsia="zh-CN"/>
                    </w:rPr>
                    <w:t>建筑面积1050m</w:t>
                  </w:r>
                  <w:r>
                    <w:rPr>
                      <w:rFonts w:hint="eastAsia"/>
                      <w:color w:val="auto"/>
                      <w:vertAlign w:val="superscript"/>
                      <w:lang w:val="en-US" w:eastAsia="zh-CN"/>
                    </w:rPr>
                    <w:t>2</w:t>
                  </w:r>
                  <w:r>
                    <w:rPr>
                      <w:rFonts w:hint="eastAsia"/>
                      <w:color w:val="auto"/>
                      <w:vertAlign w:val="baseline"/>
                      <w:lang w:val="en-US" w:eastAsia="zh-CN"/>
                    </w:rPr>
                    <w:t>（含一般固废堆放区，占地150m</w:t>
                  </w:r>
                  <w:r>
                    <w:rPr>
                      <w:rFonts w:hint="eastAsia"/>
                      <w:color w:val="auto"/>
                      <w:vertAlign w:val="superscript"/>
                      <w:lang w:val="en-US" w:eastAsia="zh-CN"/>
                    </w:rPr>
                    <w:t>2</w:t>
                  </w:r>
                  <w:r>
                    <w:rPr>
                      <w:rFonts w:hint="eastAsia"/>
                      <w:color w:val="auto"/>
                      <w:vertAlign w:val="baseline"/>
                      <w:lang w:val="en-US" w:eastAsia="zh-CN"/>
                    </w:rPr>
                    <w:t>），1层，钢架结构，位于生产厂房1#东南侧</w:t>
                  </w:r>
                </w:p>
              </w:tc>
            </w:tr>
            <w:tr w14:paraId="44C92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continue"/>
                  <w:noWrap w:val="0"/>
                  <w:vAlign w:val="center"/>
                </w:tcPr>
                <w:p w14:paraId="0312A76E">
                  <w:pPr>
                    <w:pStyle w:val="17"/>
                    <w:jc w:val="center"/>
                    <w:rPr>
                      <w:rFonts w:hint="default"/>
                      <w:color w:val="auto"/>
                      <w:vertAlign w:val="baseline"/>
                      <w:lang w:val="en-US" w:eastAsia="zh-CN"/>
                    </w:rPr>
                  </w:pPr>
                </w:p>
              </w:tc>
              <w:tc>
                <w:tcPr>
                  <w:tcW w:w="647" w:type="pct"/>
                  <w:noWrap w:val="0"/>
                  <w:vAlign w:val="center"/>
                </w:tcPr>
                <w:p w14:paraId="3BDE0A6B">
                  <w:pPr>
                    <w:pStyle w:val="17"/>
                    <w:jc w:val="center"/>
                    <w:rPr>
                      <w:rFonts w:hint="default"/>
                      <w:color w:val="auto"/>
                      <w:vertAlign w:val="baseline"/>
                      <w:lang w:val="en-US" w:eastAsia="zh-CN"/>
                    </w:rPr>
                  </w:pPr>
                  <w:r>
                    <w:rPr>
                      <w:rFonts w:hint="eastAsia"/>
                      <w:color w:val="auto"/>
                      <w:vertAlign w:val="baseline"/>
                      <w:lang w:val="en-US" w:eastAsia="zh-CN"/>
                    </w:rPr>
                    <w:t>成品堆场</w:t>
                  </w:r>
                </w:p>
              </w:tc>
              <w:tc>
                <w:tcPr>
                  <w:tcW w:w="3937" w:type="pct"/>
                  <w:gridSpan w:val="2"/>
                  <w:noWrap w:val="0"/>
                  <w:vAlign w:val="center"/>
                </w:tcPr>
                <w:p w14:paraId="5392E366">
                  <w:pPr>
                    <w:pStyle w:val="17"/>
                    <w:jc w:val="both"/>
                    <w:rPr>
                      <w:rFonts w:hint="default"/>
                      <w:color w:val="auto"/>
                      <w:vertAlign w:val="baseline"/>
                      <w:lang w:val="en-US" w:eastAsia="zh-CN"/>
                    </w:rPr>
                  </w:pPr>
                  <w:r>
                    <w:rPr>
                      <w:rFonts w:hint="eastAsia"/>
                      <w:color w:val="auto"/>
                      <w:vertAlign w:val="baseline"/>
                      <w:lang w:val="en-US" w:eastAsia="zh-CN"/>
                    </w:rPr>
                    <w:t>建筑面积1200m</w:t>
                  </w:r>
                  <w:r>
                    <w:rPr>
                      <w:rFonts w:hint="eastAsia"/>
                      <w:color w:val="auto"/>
                      <w:vertAlign w:val="superscript"/>
                      <w:lang w:val="en-US" w:eastAsia="zh-CN"/>
                    </w:rPr>
                    <w:t>2</w:t>
                  </w:r>
                  <w:r>
                    <w:rPr>
                      <w:rFonts w:hint="eastAsia"/>
                      <w:color w:val="auto"/>
                      <w:vertAlign w:val="baseline"/>
                      <w:lang w:val="en-US" w:eastAsia="zh-CN"/>
                    </w:rPr>
                    <w:t>（含滤饼堆放区，占地60m</w:t>
                  </w:r>
                  <w:r>
                    <w:rPr>
                      <w:rFonts w:hint="eastAsia"/>
                      <w:color w:val="auto"/>
                      <w:vertAlign w:val="superscript"/>
                      <w:lang w:val="en-US" w:eastAsia="zh-CN"/>
                    </w:rPr>
                    <w:t>2</w:t>
                  </w:r>
                  <w:r>
                    <w:rPr>
                      <w:rFonts w:hint="eastAsia"/>
                      <w:color w:val="auto"/>
                      <w:vertAlign w:val="baseline"/>
                      <w:lang w:val="en-US" w:eastAsia="zh-CN"/>
                    </w:rPr>
                    <w:t>，现已弃用），1层，钢架结构，位于生产厂房1#西南侧</w:t>
                  </w:r>
                </w:p>
              </w:tc>
            </w:tr>
            <w:tr w14:paraId="584ED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restart"/>
                  <w:noWrap w:val="0"/>
                  <w:vAlign w:val="center"/>
                </w:tcPr>
                <w:p w14:paraId="4A1DE1AE">
                  <w:pPr>
                    <w:pStyle w:val="17"/>
                    <w:jc w:val="center"/>
                    <w:rPr>
                      <w:rFonts w:hint="default"/>
                      <w:color w:val="auto"/>
                      <w:vertAlign w:val="baseline"/>
                      <w:lang w:val="en-US" w:eastAsia="zh-CN"/>
                    </w:rPr>
                  </w:pPr>
                  <w:r>
                    <w:rPr>
                      <w:rFonts w:hint="eastAsia"/>
                      <w:color w:val="auto"/>
                      <w:vertAlign w:val="baseline"/>
                      <w:lang w:val="en-US" w:eastAsia="zh-CN"/>
                    </w:rPr>
                    <w:t>公用工程</w:t>
                  </w:r>
                </w:p>
              </w:tc>
              <w:tc>
                <w:tcPr>
                  <w:tcW w:w="647" w:type="pct"/>
                  <w:noWrap w:val="0"/>
                  <w:vAlign w:val="center"/>
                </w:tcPr>
                <w:p w14:paraId="414CEFDD">
                  <w:pPr>
                    <w:pStyle w:val="17"/>
                    <w:jc w:val="center"/>
                    <w:rPr>
                      <w:rFonts w:hint="default"/>
                      <w:color w:val="auto"/>
                      <w:vertAlign w:val="baseline"/>
                      <w:lang w:val="en-US" w:eastAsia="zh-CN"/>
                    </w:rPr>
                  </w:pPr>
                  <w:r>
                    <w:rPr>
                      <w:rFonts w:hint="eastAsia"/>
                      <w:color w:val="auto"/>
                      <w:vertAlign w:val="baseline"/>
                      <w:lang w:val="en-US" w:eastAsia="zh-CN"/>
                    </w:rPr>
                    <w:t>供水</w:t>
                  </w:r>
                </w:p>
              </w:tc>
              <w:tc>
                <w:tcPr>
                  <w:tcW w:w="3937" w:type="pct"/>
                  <w:gridSpan w:val="2"/>
                  <w:noWrap w:val="0"/>
                  <w:vAlign w:val="center"/>
                </w:tcPr>
                <w:p w14:paraId="5BF99C8F">
                  <w:pPr>
                    <w:pStyle w:val="17"/>
                    <w:jc w:val="both"/>
                    <w:rPr>
                      <w:rFonts w:hint="default"/>
                      <w:color w:val="auto"/>
                      <w:vertAlign w:val="baseline"/>
                      <w:lang w:val="en-US" w:eastAsia="zh-CN"/>
                    </w:rPr>
                  </w:pPr>
                  <w:r>
                    <w:rPr>
                      <w:rFonts w:hint="eastAsia"/>
                      <w:color w:val="auto"/>
                      <w:vertAlign w:val="baseline"/>
                      <w:lang w:val="en-US" w:eastAsia="zh-CN"/>
                    </w:rPr>
                    <w:t>池塘水及井水</w:t>
                  </w:r>
                </w:p>
              </w:tc>
            </w:tr>
            <w:tr w14:paraId="710FC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continue"/>
                  <w:noWrap w:val="0"/>
                  <w:vAlign w:val="center"/>
                </w:tcPr>
                <w:p w14:paraId="22BC8285">
                  <w:pPr>
                    <w:pStyle w:val="17"/>
                    <w:jc w:val="center"/>
                    <w:rPr>
                      <w:rFonts w:hint="eastAsia"/>
                      <w:color w:val="auto"/>
                      <w:vertAlign w:val="baseline"/>
                      <w:lang w:val="en-US" w:eastAsia="zh-CN"/>
                    </w:rPr>
                  </w:pPr>
                </w:p>
              </w:tc>
              <w:tc>
                <w:tcPr>
                  <w:tcW w:w="647" w:type="pct"/>
                  <w:noWrap w:val="0"/>
                  <w:vAlign w:val="center"/>
                </w:tcPr>
                <w:p w14:paraId="58EF5B8B">
                  <w:pPr>
                    <w:pStyle w:val="17"/>
                    <w:jc w:val="center"/>
                    <w:rPr>
                      <w:rFonts w:hint="default"/>
                      <w:color w:val="auto"/>
                      <w:vertAlign w:val="baseline"/>
                      <w:lang w:val="en-US" w:eastAsia="zh-CN"/>
                    </w:rPr>
                  </w:pPr>
                  <w:r>
                    <w:rPr>
                      <w:rFonts w:hint="eastAsia"/>
                      <w:color w:val="auto"/>
                      <w:vertAlign w:val="baseline"/>
                      <w:lang w:val="en-US" w:eastAsia="zh-CN"/>
                    </w:rPr>
                    <w:t>供电</w:t>
                  </w:r>
                </w:p>
              </w:tc>
              <w:tc>
                <w:tcPr>
                  <w:tcW w:w="3937" w:type="pct"/>
                  <w:gridSpan w:val="2"/>
                  <w:noWrap w:val="0"/>
                  <w:vAlign w:val="center"/>
                </w:tcPr>
                <w:p w14:paraId="5E7DA48C">
                  <w:pPr>
                    <w:pStyle w:val="17"/>
                    <w:jc w:val="both"/>
                    <w:rPr>
                      <w:rFonts w:hint="default"/>
                      <w:color w:val="auto"/>
                      <w:vertAlign w:val="baseline"/>
                      <w:lang w:val="en-US" w:eastAsia="zh-CN"/>
                    </w:rPr>
                  </w:pPr>
                  <w:r>
                    <w:rPr>
                      <w:rFonts w:hint="eastAsia"/>
                      <w:color w:val="auto"/>
                      <w:vertAlign w:val="baseline"/>
                      <w:lang w:val="en-US" w:eastAsia="zh-CN"/>
                    </w:rPr>
                    <w:t>乡镇电网供电</w:t>
                  </w:r>
                </w:p>
              </w:tc>
            </w:tr>
            <w:tr w14:paraId="156CF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continue"/>
                  <w:noWrap w:val="0"/>
                  <w:vAlign w:val="center"/>
                </w:tcPr>
                <w:p w14:paraId="76B98148">
                  <w:pPr>
                    <w:pStyle w:val="17"/>
                    <w:jc w:val="center"/>
                    <w:rPr>
                      <w:rFonts w:hint="eastAsia"/>
                      <w:color w:val="auto"/>
                      <w:vertAlign w:val="baseline"/>
                      <w:lang w:val="en-US" w:eastAsia="zh-CN"/>
                    </w:rPr>
                  </w:pPr>
                </w:p>
              </w:tc>
              <w:tc>
                <w:tcPr>
                  <w:tcW w:w="647" w:type="pct"/>
                  <w:noWrap w:val="0"/>
                  <w:vAlign w:val="center"/>
                </w:tcPr>
                <w:p w14:paraId="294793DF">
                  <w:pPr>
                    <w:pStyle w:val="17"/>
                    <w:jc w:val="center"/>
                    <w:rPr>
                      <w:rFonts w:hint="default"/>
                      <w:color w:val="auto"/>
                      <w:vertAlign w:val="baseline"/>
                      <w:lang w:val="en-US" w:eastAsia="zh-CN"/>
                    </w:rPr>
                  </w:pPr>
                  <w:r>
                    <w:rPr>
                      <w:rFonts w:hint="eastAsia"/>
                      <w:color w:val="auto"/>
                      <w:vertAlign w:val="baseline"/>
                      <w:lang w:val="en-US" w:eastAsia="zh-CN"/>
                    </w:rPr>
                    <w:t>排水</w:t>
                  </w:r>
                </w:p>
              </w:tc>
              <w:tc>
                <w:tcPr>
                  <w:tcW w:w="3937" w:type="pct"/>
                  <w:gridSpan w:val="2"/>
                  <w:noWrap w:val="0"/>
                  <w:vAlign w:val="center"/>
                </w:tcPr>
                <w:p w14:paraId="7C6AEEC2">
                  <w:pPr>
                    <w:pStyle w:val="17"/>
                    <w:jc w:val="both"/>
                    <w:rPr>
                      <w:rFonts w:hint="default"/>
                      <w:color w:val="auto"/>
                      <w:vertAlign w:val="baseline"/>
                      <w:lang w:val="en-US" w:eastAsia="zh-CN"/>
                    </w:rPr>
                  </w:pPr>
                  <w:r>
                    <w:rPr>
                      <w:rFonts w:hint="eastAsia"/>
                      <w:color w:val="auto"/>
                      <w:vertAlign w:val="baseline"/>
                      <w:lang w:val="en-US" w:eastAsia="zh-CN"/>
                    </w:rPr>
                    <w:t>本项目已实施雨污分流制，</w:t>
                  </w:r>
                  <w:r>
                    <w:rPr>
                      <w:rFonts w:hint="eastAsia"/>
                      <w:color w:val="auto"/>
                      <w:lang w:val="en-US" w:eastAsia="zh-CN"/>
                    </w:rPr>
                    <w:t>员工生活污水经化粪池熟化后用作农肥，堆场抑尘废水和洒水降尘废水蒸发损耗或进入产品，车辆冲洗废水经隔油池、沉淀池处理后回用于车辆冲洗，</w:t>
                  </w:r>
                  <w:r>
                    <w:rPr>
                      <w:rFonts w:hint="eastAsia"/>
                      <w:color w:val="auto"/>
                      <w:vertAlign w:val="baseline"/>
                      <w:lang w:val="en-US" w:eastAsia="zh-CN"/>
                    </w:rPr>
                    <w:t>初期雨水经初期雨水池沉淀后用于生产，不外排</w:t>
                  </w:r>
                </w:p>
              </w:tc>
            </w:tr>
            <w:tr w14:paraId="60012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trPr>
              <w:tc>
                <w:tcPr>
                  <w:tcW w:w="414" w:type="pct"/>
                  <w:vMerge w:val="restart"/>
                  <w:noWrap w:val="0"/>
                  <w:vAlign w:val="center"/>
                </w:tcPr>
                <w:p w14:paraId="16D364F8">
                  <w:pPr>
                    <w:pStyle w:val="17"/>
                    <w:jc w:val="center"/>
                    <w:rPr>
                      <w:rFonts w:hint="default"/>
                      <w:color w:val="auto"/>
                      <w:vertAlign w:val="baseline"/>
                      <w:lang w:val="en-US" w:eastAsia="zh-CN"/>
                    </w:rPr>
                  </w:pPr>
                  <w:r>
                    <w:rPr>
                      <w:rFonts w:hint="eastAsia"/>
                      <w:color w:val="auto"/>
                      <w:vertAlign w:val="baseline"/>
                      <w:lang w:val="en-US" w:eastAsia="zh-CN"/>
                    </w:rPr>
                    <w:t>环保工程</w:t>
                  </w:r>
                </w:p>
              </w:tc>
              <w:tc>
                <w:tcPr>
                  <w:tcW w:w="647" w:type="pct"/>
                  <w:vMerge w:val="restart"/>
                  <w:noWrap w:val="0"/>
                  <w:vAlign w:val="center"/>
                </w:tcPr>
                <w:p w14:paraId="64B4528A">
                  <w:pPr>
                    <w:pStyle w:val="17"/>
                    <w:jc w:val="center"/>
                    <w:rPr>
                      <w:rFonts w:hint="default"/>
                      <w:color w:val="auto"/>
                      <w:vertAlign w:val="baseline"/>
                      <w:lang w:val="en-US" w:eastAsia="zh-CN"/>
                    </w:rPr>
                  </w:pPr>
                  <w:r>
                    <w:rPr>
                      <w:rFonts w:hint="eastAsia"/>
                      <w:color w:val="auto"/>
                      <w:vertAlign w:val="baseline"/>
                      <w:lang w:val="en-US" w:eastAsia="zh-CN"/>
                    </w:rPr>
                    <w:t>废气治理</w:t>
                  </w:r>
                </w:p>
              </w:tc>
              <w:tc>
                <w:tcPr>
                  <w:tcW w:w="724" w:type="pct"/>
                  <w:noWrap w:val="0"/>
                  <w:vAlign w:val="center"/>
                </w:tcPr>
                <w:p w14:paraId="6EEEF457">
                  <w:pPr>
                    <w:pStyle w:val="17"/>
                    <w:jc w:val="center"/>
                    <w:rPr>
                      <w:rFonts w:hint="default"/>
                      <w:color w:val="auto"/>
                      <w:vertAlign w:val="baseline"/>
                      <w:lang w:val="en-US" w:eastAsia="zh-CN"/>
                    </w:rPr>
                  </w:pPr>
                  <w:r>
                    <w:rPr>
                      <w:rFonts w:hint="eastAsia"/>
                      <w:color w:val="auto"/>
                      <w:vertAlign w:val="baseline"/>
                      <w:lang w:val="en-US" w:eastAsia="zh-CN"/>
                    </w:rPr>
                    <w:t>原料堆场</w:t>
                  </w:r>
                </w:p>
              </w:tc>
              <w:tc>
                <w:tcPr>
                  <w:tcW w:w="3213" w:type="pct"/>
                  <w:noWrap w:val="0"/>
                  <w:vAlign w:val="center"/>
                </w:tcPr>
                <w:p w14:paraId="46952F39">
                  <w:pPr>
                    <w:pStyle w:val="17"/>
                    <w:bidi w:val="0"/>
                    <w:jc w:val="both"/>
                    <w:rPr>
                      <w:rFonts w:hint="default"/>
                      <w:color w:val="auto"/>
                      <w:lang w:val="en-US" w:eastAsia="zh-CN"/>
                    </w:rPr>
                  </w:pPr>
                  <w:r>
                    <w:rPr>
                      <w:rFonts w:hint="eastAsia"/>
                      <w:color w:val="auto"/>
                      <w:lang w:val="en-US" w:eastAsia="zh-CN"/>
                    </w:rPr>
                    <w:t>原料入棚，三面围挡，地面硬化，同时喷雾抑尘</w:t>
                  </w:r>
                </w:p>
              </w:tc>
            </w:tr>
            <w:tr w14:paraId="317B1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trPr>
              <w:tc>
                <w:tcPr>
                  <w:tcW w:w="414" w:type="pct"/>
                  <w:vMerge w:val="continue"/>
                  <w:noWrap w:val="0"/>
                  <w:vAlign w:val="center"/>
                </w:tcPr>
                <w:p w14:paraId="1C2F98FB">
                  <w:pPr>
                    <w:pStyle w:val="17"/>
                    <w:jc w:val="center"/>
                    <w:rPr>
                      <w:color w:val="auto"/>
                    </w:rPr>
                  </w:pPr>
                </w:p>
              </w:tc>
              <w:tc>
                <w:tcPr>
                  <w:tcW w:w="647" w:type="pct"/>
                  <w:vMerge w:val="continue"/>
                  <w:noWrap w:val="0"/>
                  <w:vAlign w:val="center"/>
                </w:tcPr>
                <w:p w14:paraId="1F851DCC">
                  <w:pPr>
                    <w:pStyle w:val="17"/>
                    <w:jc w:val="center"/>
                    <w:rPr>
                      <w:color w:val="auto"/>
                    </w:rPr>
                  </w:pPr>
                </w:p>
              </w:tc>
              <w:tc>
                <w:tcPr>
                  <w:tcW w:w="724" w:type="pct"/>
                  <w:noWrap w:val="0"/>
                  <w:vAlign w:val="center"/>
                </w:tcPr>
                <w:p w14:paraId="6A511544">
                  <w:pPr>
                    <w:pStyle w:val="17"/>
                    <w:jc w:val="center"/>
                    <w:rPr>
                      <w:rFonts w:hint="default" w:eastAsia="宋体"/>
                      <w:color w:val="auto"/>
                      <w:lang w:val="en-US" w:eastAsia="zh-CN"/>
                    </w:rPr>
                  </w:pPr>
                  <w:r>
                    <w:rPr>
                      <w:rFonts w:hint="eastAsia"/>
                      <w:color w:val="auto"/>
                      <w:lang w:val="en-US" w:eastAsia="zh-CN"/>
                    </w:rPr>
                    <w:t>破碎、筛分</w:t>
                  </w:r>
                </w:p>
              </w:tc>
              <w:tc>
                <w:tcPr>
                  <w:tcW w:w="3213" w:type="pct"/>
                  <w:noWrap w:val="0"/>
                  <w:vAlign w:val="center"/>
                </w:tcPr>
                <w:p w14:paraId="2E99FF9F">
                  <w:pPr>
                    <w:pStyle w:val="17"/>
                    <w:bidi w:val="0"/>
                    <w:jc w:val="both"/>
                    <w:rPr>
                      <w:rFonts w:hint="eastAsia"/>
                      <w:color w:val="auto"/>
                      <w:lang w:val="en-US" w:eastAsia="zh-CN"/>
                    </w:rPr>
                  </w:pPr>
                  <w:r>
                    <w:rPr>
                      <w:color w:val="auto"/>
                    </w:rPr>
                    <w:t>负压吸风收尘装置、脉冲反吹布袋除尘器处理后，15m高空排放，厂房全封闭、区域加设雾炮机</w:t>
                  </w:r>
                </w:p>
              </w:tc>
            </w:tr>
            <w:tr w14:paraId="701AE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trPr>
              <w:tc>
                <w:tcPr>
                  <w:tcW w:w="414" w:type="pct"/>
                  <w:vMerge w:val="continue"/>
                  <w:noWrap w:val="0"/>
                  <w:vAlign w:val="center"/>
                </w:tcPr>
                <w:p w14:paraId="3CF1F2D8">
                  <w:pPr>
                    <w:pStyle w:val="17"/>
                    <w:jc w:val="center"/>
                    <w:rPr>
                      <w:color w:val="auto"/>
                    </w:rPr>
                  </w:pPr>
                </w:p>
              </w:tc>
              <w:tc>
                <w:tcPr>
                  <w:tcW w:w="647" w:type="pct"/>
                  <w:vMerge w:val="continue"/>
                  <w:noWrap w:val="0"/>
                  <w:vAlign w:val="center"/>
                </w:tcPr>
                <w:p w14:paraId="43D166B1">
                  <w:pPr>
                    <w:pStyle w:val="17"/>
                    <w:jc w:val="center"/>
                    <w:rPr>
                      <w:color w:val="auto"/>
                    </w:rPr>
                  </w:pPr>
                </w:p>
              </w:tc>
              <w:tc>
                <w:tcPr>
                  <w:tcW w:w="724" w:type="pct"/>
                  <w:noWrap w:val="0"/>
                  <w:vAlign w:val="center"/>
                </w:tcPr>
                <w:p w14:paraId="2BCD870D">
                  <w:pPr>
                    <w:pStyle w:val="17"/>
                    <w:jc w:val="center"/>
                    <w:rPr>
                      <w:rFonts w:hint="default" w:eastAsia="宋体"/>
                      <w:color w:val="auto"/>
                      <w:lang w:val="en-US" w:eastAsia="zh-CN"/>
                    </w:rPr>
                  </w:pPr>
                  <w:r>
                    <w:rPr>
                      <w:rFonts w:hint="eastAsia"/>
                      <w:color w:val="auto"/>
                      <w:lang w:val="en-US" w:eastAsia="zh-CN"/>
                    </w:rPr>
                    <w:t>输送粉尘</w:t>
                  </w:r>
                </w:p>
              </w:tc>
              <w:tc>
                <w:tcPr>
                  <w:tcW w:w="3213" w:type="pct"/>
                  <w:noWrap w:val="0"/>
                  <w:vAlign w:val="center"/>
                </w:tcPr>
                <w:p w14:paraId="18765CAD">
                  <w:pPr>
                    <w:pStyle w:val="17"/>
                    <w:bidi w:val="0"/>
                    <w:jc w:val="both"/>
                    <w:rPr>
                      <w:color w:val="auto"/>
                      <w:lang w:val="en-US" w:eastAsia="zh-CN"/>
                    </w:rPr>
                  </w:pPr>
                  <w:r>
                    <w:rPr>
                      <w:color w:val="auto"/>
                    </w:rPr>
                    <w:t>廊道封闭、喷雾抑尘</w:t>
                  </w:r>
                </w:p>
              </w:tc>
            </w:tr>
            <w:tr w14:paraId="1EDC8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trPr>
              <w:tc>
                <w:tcPr>
                  <w:tcW w:w="414" w:type="pct"/>
                  <w:vMerge w:val="continue"/>
                  <w:noWrap w:val="0"/>
                  <w:vAlign w:val="center"/>
                </w:tcPr>
                <w:p w14:paraId="5F94A4D6">
                  <w:pPr>
                    <w:pStyle w:val="17"/>
                    <w:jc w:val="center"/>
                    <w:rPr>
                      <w:color w:val="auto"/>
                    </w:rPr>
                  </w:pPr>
                </w:p>
              </w:tc>
              <w:tc>
                <w:tcPr>
                  <w:tcW w:w="647" w:type="pct"/>
                  <w:vMerge w:val="continue"/>
                  <w:noWrap w:val="0"/>
                  <w:vAlign w:val="center"/>
                </w:tcPr>
                <w:p w14:paraId="56A7B122">
                  <w:pPr>
                    <w:pStyle w:val="17"/>
                    <w:jc w:val="center"/>
                    <w:rPr>
                      <w:color w:val="auto"/>
                    </w:rPr>
                  </w:pPr>
                </w:p>
              </w:tc>
              <w:tc>
                <w:tcPr>
                  <w:tcW w:w="724" w:type="pct"/>
                  <w:noWrap w:val="0"/>
                  <w:vAlign w:val="center"/>
                </w:tcPr>
                <w:p w14:paraId="2AE8905A">
                  <w:pPr>
                    <w:pStyle w:val="17"/>
                    <w:jc w:val="center"/>
                    <w:rPr>
                      <w:rFonts w:hint="eastAsia" w:eastAsia="宋体"/>
                      <w:color w:val="auto"/>
                      <w:lang w:val="en-US" w:eastAsia="zh-CN"/>
                    </w:rPr>
                  </w:pPr>
                  <w:r>
                    <w:rPr>
                      <w:rFonts w:hint="eastAsia"/>
                      <w:color w:val="auto"/>
                      <w:lang w:val="en-US" w:eastAsia="zh-CN"/>
                    </w:rPr>
                    <w:t>道路扬尘</w:t>
                  </w:r>
                </w:p>
              </w:tc>
              <w:tc>
                <w:tcPr>
                  <w:tcW w:w="3213" w:type="pct"/>
                  <w:noWrap w:val="0"/>
                  <w:vAlign w:val="center"/>
                </w:tcPr>
                <w:p w14:paraId="0FF484A5">
                  <w:pPr>
                    <w:pStyle w:val="17"/>
                    <w:bidi w:val="0"/>
                    <w:jc w:val="both"/>
                    <w:rPr>
                      <w:color w:val="auto"/>
                      <w:lang w:val="en-US" w:eastAsia="zh-CN"/>
                    </w:rPr>
                  </w:pPr>
                  <w:r>
                    <w:rPr>
                      <w:rFonts w:hint="eastAsia"/>
                      <w:color w:val="auto"/>
                    </w:rPr>
                    <w:t>道路硬化、定期清扫，洒水抑尘</w:t>
                  </w:r>
                </w:p>
              </w:tc>
            </w:tr>
            <w:tr w14:paraId="1484B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trPr>
              <w:tc>
                <w:tcPr>
                  <w:tcW w:w="414" w:type="pct"/>
                  <w:vMerge w:val="continue"/>
                  <w:noWrap w:val="0"/>
                  <w:vAlign w:val="center"/>
                </w:tcPr>
                <w:p w14:paraId="219A46CB">
                  <w:pPr>
                    <w:pStyle w:val="17"/>
                    <w:jc w:val="center"/>
                    <w:rPr>
                      <w:color w:val="auto"/>
                    </w:rPr>
                  </w:pPr>
                </w:p>
              </w:tc>
              <w:tc>
                <w:tcPr>
                  <w:tcW w:w="647" w:type="pct"/>
                  <w:vMerge w:val="continue"/>
                  <w:noWrap w:val="0"/>
                  <w:vAlign w:val="center"/>
                </w:tcPr>
                <w:p w14:paraId="5610AF22">
                  <w:pPr>
                    <w:pStyle w:val="17"/>
                    <w:jc w:val="center"/>
                    <w:rPr>
                      <w:color w:val="auto"/>
                    </w:rPr>
                  </w:pPr>
                </w:p>
              </w:tc>
              <w:tc>
                <w:tcPr>
                  <w:tcW w:w="724" w:type="pct"/>
                  <w:noWrap w:val="0"/>
                  <w:vAlign w:val="center"/>
                </w:tcPr>
                <w:p w14:paraId="297BB3CC">
                  <w:pPr>
                    <w:pStyle w:val="17"/>
                    <w:jc w:val="center"/>
                    <w:rPr>
                      <w:rFonts w:hint="default" w:eastAsia="宋体"/>
                      <w:color w:val="auto"/>
                      <w:lang w:val="en-US" w:eastAsia="zh-CN"/>
                    </w:rPr>
                  </w:pPr>
                  <w:r>
                    <w:rPr>
                      <w:rFonts w:hint="eastAsia"/>
                      <w:color w:val="auto"/>
                      <w:lang w:val="en-US" w:eastAsia="zh-CN"/>
                    </w:rPr>
                    <w:t>产品堆场</w:t>
                  </w:r>
                </w:p>
              </w:tc>
              <w:tc>
                <w:tcPr>
                  <w:tcW w:w="3213" w:type="pct"/>
                  <w:noWrap w:val="0"/>
                  <w:vAlign w:val="center"/>
                </w:tcPr>
                <w:p w14:paraId="215AD09B">
                  <w:pPr>
                    <w:pStyle w:val="17"/>
                    <w:bidi w:val="0"/>
                    <w:jc w:val="both"/>
                    <w:rPr>
                      <w:color w:val="auto"/>
                      <w:lang w:val="en-US" w:eastAsia="zh-CN"/>
                    </w:rPr>
                  </w:pPr>
                  <w:r>
                    <w:rPr>
                      <w:rFonts w:hint="eastAsia"/>
                      <w:color w:val="auto"/>
                      <w:lang w:val="en-US" w:eastAsia="zh-CN"/>
                    </w:rPr>
                    <w:t>三面围挡；加盖棚罩并在地面硬化，同时喷雾抑尘</w:t>
                  </w:r>
                </w:p>
              </w:tc>
            </w:tr>
            <w:tr w14:paraId="74B24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trPr>
              <w:tc>
                <w:tcPr>
                  <w:tcW w:w="414" w:type="pct"/>
                  <w:vMerge w:val="continue"/>
                  <w:noWrap w:val="0"/>
                  <w:vAlign w:val="center"/>
                </w:tcPr>
                <w:p w14:paraId="6B426105">
                  <w:pPr>
                    <w:pStyle w:val="17"/>
                    <w:jc w:val="center"/>
                    <w:rPr>
                      <w:color w:val="auto"/>
                    </w:rPr>
                  </w:pPr>
                </w:p>
              </w:tc>
              <w:tc>
                <w:tcPr>
                  <w:tcW w:w="647" w:type="pct"/>
                  <w:vMerge w:val="restart"/>
                  <w:noWrap w:val="0"/>
                  <w:vAlign w:val="center"/>
                </w:tcPr>
                <w:p w14:paraId="726CA3D9">
                  <w:pPr>
                    <w:pStyle w:val="17"/>
                    <w:jc w:val="center"/>
                    <w:rPr>
                      <w:rFonts w:hint="eastAsia" w:eastAsia="宋体"/>
                      <w:color w:val="auto"/>
                      <w:lang w:val="en-US" w:eastAsia="zh-CN"/>
                    </w:rPr>
                  </w:pPr>
                  <w:r>
                    <w:rPr>
                      <w:rFonts w:hint="eastAsia"/>
                      <w:color w:val="auto"/>
                      <w:lang w:val="en-US" w:eastAsia="zh-CN"/>
                    </w:rPr>
                    <w:t>废水治理</w:t>
                  </w:r>
                </w:p>
              </w:tc>
              <w:tc>
                <w:tcPr>
                  <w:tcW w:w="724" w:type="pct"/>
                  <w:noWrap w:val="0"/>
                  <w:vAlign w:val="center"/>
                </w:tcPr>
                <w:p w14:paraId="56BB25AE">
                  <w:pPr>
                    <w:pStyle w:val="17"/>
                    <w:jc w:val="center"/>
                    <w:rPr>
                      <w:rFonts w:hint="default"/>
                      <w:color w:val="auto"/>
                      <w:lang w:val="en-US" w:eastAsia="zh-CN"/>
                    </w:rPr>
                  </w:pPr>
                  <w:r>
                    <w:rPr>
                      <w:rFonts w:hint="eastAsia"/>
                      <w:color w:val="auto"/>
                      <w:lang w:val="en-US" w:eastAsia="zh-CN"/>
                    </w:rPr>
                    <w:t>生活污水</w:t>
                  </w:r>
                </w:p>
              </w:tc>
              <w:tc>
                <w:tcPr>
                  <w:tcW w:w="3213" w:type="pct"/>
                  <w:noWrap w:val="0"/>
                  <w:vAlign w:val="center"/>
                </w:tcPr>
                <w:p w14:paraId="1B6FBD18">
                  <w:pPr>
                    <w:pStyle w:val="17"/>
                    <w:bidi w:val="0"/>
                    <w:jc w:val="both"/>
                    <w:rPr>
                      <w:rFonts w:hint="default"/>
                      <w:color w:val="auto"/>
                      <w:lang w:val="en-US" w:eastAsia="zh-CN"/>
                    </w:rPr>
                  </w:pPr>
                  <w:r>
                    <w:rPr>
                      <w:rFonts w:hint="eastAsia"/>
                      <w:color w:val="auto"/>
                      <w:lang w:val="en-US" w:eastAsia="zh-CN"/>
                    </w:rPr>
                    <w:t>生活污水经化粪池熟化后用于农肥，不外排</w:t>
                  </w:r>
                </w:p>
              </w:tc>
            </w:tr>
            <w:tr w14:paraId="0AA39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trPr>
              <w:tc>
                <w:tcPr>
                  <w:tcW w:w="414" w:type="pct"/>
                  <w:vMerge w:val="continue"/>
                  <w:noWrap w:val="0"/>
                  <w:vAlign w:val="center"/>
                </w:tcPr>
                <w:p w14:paraId="17068DB4">
                  <w:pPr>
                    <w:pStyle w:val="17"/>
                    <w:jc w:val="center"/>
                    <w:rPr>
                      <w:color w:val="auto"/>
                    </w:rPr>
                  </w:pPr>
                </w:p>
              </w:tc>
              <w:tc>
                <w:tcPr>
                  <w:tcW w:w="647" w:type="pct"/>
                  <w:vMerge w:val="continue"/>
                  <w:noWrap w:val="0"/>
                  <w:vAlign w:val="center"/>
                </w:tcPr>
                <w:p w14:paraId="6FBC756C">
                  <w:pPr>
                    <w:pStyle w:val="17"/>
                    <w:jc w:val="center"/>
                    <w:rPr>
                      <w:rFonts w:hint="eastAsia"/>
                      <w:color w:val="auto"/>
                      <w:lang w:val="en-US" w:eastAsia="zh-CN"/>
                    </w:rPr>
                  </w:pPr>
                </w:p>
              </w:tc>
              <w:tc>
                <w:tcPr>
                  <w:tcW w:w="724" w:type="pct"/>
                  <w:noWrap w:val="0"/>
                  <w:vAlign w:val="center"/>
                </w:tcPr>
                <w:p w14:paraId="3D04D135">
                  <w:pPr>
                    <w:pStyle w:val="17"/>
                    <w:jc w:val="center"/>
                    <w:rPr>
                      <w:rFonts w:hint="default"/>
                      <w:color w:val="auto"/>
                      <w:lang w:val="en-US" w:eastAsia="zh-CN"/>
                    </w:rPr>
                  </w:pPr>
                  <w:r>
                    <w:rPr>
                      <w:rFonts w:hint="eastAsia"/>
                      <w:color w:val="auto"/>
                      <w:lang w:val="en-US" w:eastAsia="zh-CN"/>
                    </w:rPr>
                    <w:t>初期雨水</w:t>
                  </w:r>
                </w:p>
              </w:tc>
              <w:tc>
                <w:tcPr>
                  <w:tcW w:w="3213" w:type="pct"/>
                  <w:noWrap w:val="0"/>
                  <w:vAlign w:val="center"/>
                </w:tcPr>
                <w:p w14:paraId="1D650BA3">
                  <w:pPr>
                    <w:pStyle w:val="17"/>
                    <w:bidi w:val="0"/>
                    <w:jc w:val="both"/>
                    <w:rPr>
                      <w:rFonts w:hint="default"/>
                      <w:color w:val="auto"/>
                      <w:lang w:val="en-US" w:eastAsia="zh-CN"/>
                    </w:rPr>
                  </w:pPr>
                  <w:r>
                    <w:rPr>
                      <w:rFonts w:hint="eastAsia"/>
                      <w:color w:val="auto"/>
                      <w:vertAlign w:val="baseline"/>
                      <w:lang w:val="en-US" w:eastAsia="zh-CN"/>
                    </w:rPr>
                    <w:t>初期雨水经初期雨水池沉淀后用于生产，不外排</w:t>
                  </w:r>
                </w:p>
              </w:tc>
            </w:tr>
            <w:tr w14:paraId="13AFC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trPr>
              <w:tc>
                <w:tcPr>
                  <w:tcW w:w="414" w:type="pct"/>
                  <w:vMerge w:val="continue"/>
                  <w:noWrap w:val="0"/>
                  <w:vAlign w:val="center"/>
                </w:tcPr>
                <w:p w14:paraId="21F096EC">
                  <w:pPr>
                    <w:pStyle w:val="17"/>
                    <w:jc w:val="center"/>
                    <w:rPr>
                      <w:color w:val="auto"/>
                    </w:rPr>
                  </w:pPr>
                </w:p>
              </w:tc>
              <w:tc>
                <w:tcPr>
                  <w:tcW w:w="647" w:type="pct"/>
                  <w:vMerge w:val="continue"/>
                  <w:noWrap w:val="0"/>
                  <w:vAlign w:val="center"/>
                </w:tcPr>
                <w:p w14:paraId="4FC2E6B1">
                  <w:pPr>
                    <w:pStyle w:val="17"/>
                    <w:jc w:val="center"/>
                    <w:rPr>
                      <w:rFonts w:hint="eastAsia"/>
                      <w:color w:val="auto"/>
                      <w:lang w:val="en-US" w:eastAsia="zh-CN"/>
                    </w:rPr>
                  </w:pPr>
                </w:p>
              </w:tc>
              <w:tc>
                <w:tcPr>
                  <w:tcW w:w="724" w:type="pct"/>
                  <w:noWrap w:val="0"/>
                  <w:vAlign w:val="center"/>
                </w:tcPr>
                <w:p w14:paraId="2DA55C59">
                  <w:pPr>
                    <w:pStyle w:val="17"/>
                    <w:jc w:val="center"/>
                    <w:rPr>
                      <w:rFonts w:hint="default"/>
                      <w:color w:val="auto"/>
                      <w:lang w:val="en-US" w:eastAsia="zh-CN"/>
                    </w:rPr>
                  </w:pPr>
                  <w:r>
                    <w:rPr>
                      <w:rFonts w:hint="eastAsia"/>
                      <w:color w:val="auto"/>
                      <w:lang w:val="en-US" w:eastAsia="zh-CN"/>
                    </w:rPr>
                    <w:t>生产废水</w:t>
                  </w:r>
                </w:p>
              </w:tc>
              <w:tc>
                <w:tcPr>
                  <w:tcW w:w="3213" w:type="pct"/>
                  <w:noWrap w:val="0"/>
                  <w:vAlign w:val="center"/>
                </w:tcPr>
                <w:p w14:paraId="4C443F2B">
                  <w:pPr>
                    <w:pStyle w:val="17"/>
                    <w:bidi w:val="0"/>
                    <w:jc w:val="both"/>
                    <w:rPr>
                      <w:rFonts w:hint="default"/>
                      <w:color w:val="auto"/>
                      <w:vertAlign w:val="baseline"/>
                      <w:lang w:val="en-US" w:eastAsia="zh-CN"/>
                    </w:rPr>
                  </w:pPr>
                  <w:r>
                    <w:rPr>
                      <w:rFonts w:hint="eastAsia"/>
                      <w:color w:val="auto"/>
                    </w:rPr>
                    <w:t>堆场抑尘废水和洒水降尘废水蒸发损耗或进入产品，车辆冲洗废水经隔油池、沉淀池处理后回用于车辆冲洗</w:t>
                  </w:r>
                </w:p>
              </w:tc>
            </w:tr>
            <w:tr w14:paraId="2BE4E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trPr>
              <w:tc>
                <w:tcPr>
                  <w:tcW w:w="414" w:type="pct"/>
                  <w:vMerge w:val="continue"/>
                  <w:noWrap w:val="0"/>
                  <w:vAlign w:val="center"/>
                </w:tcPr>
                <w:p w14:paraId="0D3F1CD5">
                  <w:pPr>
                    <w:pStyle w:val="17"/>
                    <w:jc w:val="center"/>
                    <w:rPr>
                      <w:color w:val="auto"/>
                    </w:rPr>
                  </w:pPr>
                </w:p>
              </w:tc>
              <w:tc>
                <w:tcPr>
                  <w:tcW w:w="647" w:type="pct"/>
                  <w:noWrap w:val="0"/>
                  <w:vAlign w:val="center"/>
                </w:tcPr>
                <w:p w14:paraId="49C36704">
                  <w:pPr>
                    <w:pStyle w:val="17"/>
                    <w:jc w:val="center"/>
                    <w:rPr>
                      <w:rFonts w:hint="default"/>
                      <w:color w:val="auto"/>
                      <w:lang w:val="en-US" w:eastAsia="zh-CN"/>
                    </w:rPr>
                  </w:pPr>
                  <w:r>
                    <w:rPr>
                      <w:rFonts w:hint="eastAsia"/>
                      <w:color w:val="auto"/>
                      <w:lang w:val="en-US" w:eastAsia="zh-CN"/>
                    </w:rPr>
                    <w:t>噪声治理</w:t>
                  </w:r>
                </w:p>
              </w:tc>
              <w:tc>
                <w:tcPr>
                  <w:tcW w:w="3937" w:type="pct"/>
                  <w:gridSpan w:val="2"/>
                  <w:noWrap w:val="0"/>
                  <w:vAlign w:val="center"/>
                </w:tcPr>
                <w:p w14:paraId="1A5735FB">
                  <w:pPr>
                    <w:pStyle w:val="17"/>
                    <w:bidi w:val="0"/>
                    <w:jc w:val="both"/>
                    <w:rPr>
                      <w:rFonts w:hint="default"/>
                      <w:color w:val="auto"/>
                      <w:vertAlign w:val="baseline"/>
                      <w:lang w:val="en-US" w:eastAsia="zh-CN"/>
                    </w:rPr>
                  </w:pPr>
                  <w:r>
                    <w:rPr>
                      <w:rFonts w:hint="eastAsia"/>
                      <w:color w:val="auto"/>
                      <w:vertAlign w:val="baseline"/>
                      <w:lang w:val="en-US" w:eastAsia="zh-CN"/>
                    </w:rPr>
                    <w:t>选用低噪声设备，并采取隔声、减震等措施</w:t>
                  </w:r>
                </w:p>
              </w:tc>
            </w:tr>
            <w:tr w14:paraId="6B923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4" w:type="pct"/>
                  <w:vMerge w:val="continue"/>
                  <w:noWrap w:val="0"/>
                  <w:vAlign w:val="center"/>
                </w:tcPr>
                <w:p w14:paraId="0F6645FD">
                  <w:pPr>
                    <w:pStyle w:val="17"/>
                    <w:jc w:val="center"/>
                    <w:rPr>
                      <w:color w:val="auto"/>
                    </w:rPr>
                  </w:pPr>
                </w:p>
              </w:tc>
              <w:tc>
                <w:tcPr>
                  <w:tcW w:w="647" w:type="pct"/>
                  <w:vMerge w:val="restart"/>
                  <w:noWrap w:val="0"/>
                  <w:vAlign w:val="center"/>
                </w:tcPr>
                <w:p w14:paraId="4BEF9035">
                  <w:pPr>
                    <w:pStyle w:val="17"/>
                    <w:jc w:val="center"/>
                    <w:rPr>
                      <w:rFonts w:hint="default"/>
                      <w:color w:val="auto"/>
                      <w:lang w:val="en-US" w:eastAsia="zh-CN"/>
                    </w:rPr>
                  </w:pPr>
                  <w:r>
                    <w:rPr>
                      <w:rFonts w:hint="eastAsia"/>
                      <w:color w:val="auto"/>
                      <w:lang w:val="en-US" w:eastAsia="zh-CN"/>
                    </w:rPr>
                    <w:t>固废处置</w:t>
                  </w:r>
                </w:p>
              </w:tc>
              <w:tc>
                <w:tcPr>
                  <w:tcW w:w="724" w:type="pct"/>
                  <w:noWrap w:val="0"/>
                  <w:vAlign w:val="center"/>
                </w:tcPr>
                <w:p w14:paraId="2B29EB3C">
                  <w:pPr>
                    <w:pStyle w:val="17"/>
                    <w:bidi w:val="0"/>
                    <w:jc w:val="center"/>
                    <w:rPr>
                      <w:rFonts w:hint="default"/>
                      <w:color w:val="auto"/>
                      <w:vertAlign w:val="baseline"/>
                      <w:lang w:val="en-US" w:eastAsia="zh-CN"/>
                    </w:rPr>
                  </w:pPr>
                  <w:r>
                    <w:rPr>
                      <w:rFonts w:hint="eastAsia"/>
                      <w:color w:val="auto"/>
                      <w:vertAlign w:val="baseline"/>
                      <w:lang w:val="en-US" w:eastAsia="zh-CN"/>
                    </w:rPr>
                    <w:t>生活垃圾</w:t>
                  </w:r>
                </w:p>
              </w:tc>
              <w:tc>
                <w:tcPr>
                  <w:tcW w:w="3213" w:type="pct"/>
                  <w:noWrap w:val="0"/>
                  <w:vAlign w:val="center"/>
                </w:tcPr>
                <w:p w14:paraId="0CB6BD71">
                  <w:pPr>
                    <w:pStyle w:val="17"/>
                    <w:bidi w:val="0"/>
                    <w:jc w:val="both"/>
                    <w:rPr>
                      <w:rFonts w:hint="default"/>
                      <w:color w:val="auto"/>
                      <w:vertAlign w:val="baseline"/>
                      <w:lang w:eastAsia="zh-CN"/>
                    </w:rPr>
                  </w:pPr>
                  <w:r>
                    <w:rPr>
                      <w:rFonts w:hint="default"/>
                      <w:color w:val="auto"/>
                      <w:vertAlign w:val="baseline"/>
                      <w:lang w:eastAsia="zh-CN"/>
                    </w:rPr>
                    <w:t>厂区内设置若干垃圾桶，交由当地环卫部门定期清运处置</w:t>
                  </w:r>
                </w:p>
              </w:tc>
            </w:tr>
            <w:tr w14:paraId="27AE6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4" w:type="pct"/>
                  <w:vMerge w:val="continue"/>
                  <w:noWrap w:val="0"/>
                  <w:vAlign w:val="center"/>
                </w:tcPr>
                <w:p w14:paraId="6432B849">
                  <w:pPr>
                    <w:pStyle w:val="17"/>
                    <w:bidi w:val="0"/>
                    <w:jc w:val="both"/>
                    <w:rPr>
                      <w:color w:val="auto"/>
                    </w:rPr>
                  </w:pPr>
                </w:p>
              </w:tc>
              <w:tc>
                <w:tcPr>
                  <w:tcW w:w="647" w:type="pct"/>
                  <w:vMerge w:val="continue"/>
                  <w:noWrap w:val="0"/>
                  <w:vAlign w:val="center"/>
                </w:tcPr>
                <w:p w14:paraId="1BA49225">
                  <w:pPr>
                    <w:pStyle w:val="17"/>
                    <w:bidi w:val="0"/>
                    <w:jc w:val="both"/>
                    <w:rPr>
                      <w:color w:val="auto"/>
                    </w:rPr>
                  </w:pPr>
                </w:p>
              </w:tc>
              <w:tc>
                <w:tcPr>
                  <w:tcW w:w="724" w:type="pct"/>
                  <w:noWrap w:val="0"/>
                  <w:vAlign w:val="center"/>
                </w:tcPr>
                <w:p w14:paraId="76EC571B">
                  <w:pPr>
                    <w:pStyle w:val="17"/>
                    <w:bidi w:val="0"/>
                    <w:jc w:val="center"/>
                    <w:rPr>
                      <w:rFonts w:hint="eastAsia" w:eastAsia="宋体"/>
                      <w:color w:val="auto"/>
                      <w:lang w:val="en-US" w:eastAsia="zh-CN"/>
                    </w:rPr>
                  </w:pPr>
                  <w:r>
                    <w:rPr>
                      <w:rFonts w:hint="eastAsia"/>
                      <w:color w:val="auto"/>
                      <w:lang w:val="en-US" w:eastAsia="zh-CN"/>
                    </w:rPr>
                    <w:t>一般固废</w:t>
                  </w:r>
                </w:p>
              </w:tc>
              <w:tc>
                <w:tcPr>
                  <w:tcW w:w="3213" w:type="pct"/>
                  <w:noWrap w:val="0"/>
                  <w:vAlign w:val="center"/>
                </w:tcPr>
                <w:p w14:paraId="6E07E9C9">
                  <w:pPr>
                    <w:pStyle w:val="17"/>
                    <w:bidi w:val="0"/>
                    <w:jc w:val="both"/>
                    <w:rPr>
                      <w:rFonts w:hint="default"/>
                      <w:color w:val="auto"/>
                    </w:rPr>
                  </w:pPr>
                  <w:r>
                    <w:rPr>
                      <w:color w:val="auto"/>
                    </w:rPr>
                    <w:t>除尘器粉尘</w:t>
                  </w:r>
                  <w:r>
                    <w:rPr>
                      <w:rFonts w:hint="eastAsia"/>
                      <w:color w:val="auto"/>
                      <w:lang w:eastAsia="zh-CN"/>
                    </w:rPr>
                    <w:t>、</w:t>
                  </w:r>
                  <w:r>
                    <w:rPr>
                      <w:rFonts w:hint="eastAsia"/>
                      <w:color w:val="auto"/>
                      <w:lang w:val="en-US" w:eastAsia="zh-CN"/>
                    </w:rPr>
                    <w:t>除尘器废布袋以及建筑垃圾中的钢筋、木块、废塑料统一收集后</w:t>
                  </w:r>
                  <w:r>
                    <w:rPr>
                      <w:color w:val="auto"/>
                    </w:rPr>
                    <w:t>定期外售综合利用；初期雨水池沉渣</w:t>
                  </w:r>
                  <w:r>
                    <w:rPr>
                      <w:color w:val="auto"/>
                      <w:u w:val="none"/>
                    </w:rPr>
                    <w:t>外售给砖厂用于制砖</w:t>
                  </w:r>
                </w:p>
              </w:tc>
            </w:tr>
            <w:tr w14:paraId="74CE7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4" w:type="pct"/>
                  <w:vMerge w:val="continue"/>
                  <w:noWrap w:val="0"/>
                  <w:vAlign w:val="center"/>
                </w:tcPr>
                <w:p w14:paraId="5D55F621">
                  <w:pPr>
                    <w:pStyle w:val="17"/>
                    <w:bidi w:val="0"/>
                    <w:jc w:val="both"/>
                    <w:rPr>
                      <w:color w:val="auto"/>
                    </w:rPr>
                  </w:pPr>
                </w:p>
              </w:tc>
              <w:tc>
                <w:tcPr>
                  <w:tcW w:w="647" w:type="pct"/>
                  <w:vMerge w:val="continue"/>
                  <w:noWrap w:val="0"/>
                  <w:vAlign w:val="center"/>
                </w:tcPr>
                <w:p w14:paraId="1621967D">
                  <w:pPr>
                    <w:pStyle w:val="17"/>
                    <w:bidi w:val="0"/>
                    <w:jc w:val="both"/>
                    <w:rPr>
                      <w:color w:val="auto"/>
                    </w:rPr>
                  </w:pPr>
                </w:p>
              </w:tc>
              <w:tc>
                <w:tcPr>
                  <w:tcW w:w="724" w:type="pct"/>
                  <w:noWrap w:val="0"/>
                  <w:vAlign w:val="center"/>
                </w:tcPr>
                <w:p w14:paraId="21A4CD6C">
                  <w:pPr>
                    <w:pStyle w:val="17"/>
                    <w:bidi w:val="0"/>
                    <w:jc w:val="center"/>
                    <w:rPr>
                      <w:rFonts w:hint="eastAsia" w:eastAsia="宋体"/>
                      <w:color w:val="auto"/>
                      <w:lang w:val="en-US" w:eastAsia="zh-CN"/>
                    </w:rPr>
                  </w:pPr>
                  <w:r>
                    <w:rPr>
                      <w:rFonts w:hint="eastAsia"/>
                      <w:color w:val="auto"/>
                      <w:lang w:val="en-US" w:eastAsia="zh-CN"/>
                    </w:rPr>
                    <w:t>危险废物</w:t>
                  </w:r>
                </w:p>
              </w:tc>
              <w:tc>
                <w:tcPr>
                  <w:tcW w:w="3213" w:type="pct"/>
                  <w:noWrap w:val="0"/>
                  <w:vAlign w:val="center"/>
                </w:tcPr>
                <w:p w14:paraId="47FEB1E8">
                  <w:pPr>
                    <w:pStyle w:val="17"/>
                    <w:bidi w:val="0"/>
                    <w:jc w:val="both"/>
                    <w:rPr>
                      <w:rFonts w:hint="default" w:eastAsia="宋体"/>
                      <w:color w:val="auto"/>
                      <w:lang w:val="en-US" w:eastAsia="zh-CN"/>
                    </w:rPr>
                  </w:pPr>
                  <w:r>
                    <w:rPr>
                      <w:rFonts w:hint="eastAsia"/>
                      <w:color w:val="auto"/>
                      <w:lang w:val="en-US" w:eastAsia="zh-CN"/>
                    </w:rPr>
                    <w:t>隔油渣、废机油及油桶外委处置</w:t>
                  </w:r>
                </w:p>
              </w:tc>
            </w:tr>
          </w:tbl>
          <w:p w14:paraId="1F895A65">
            <w:pPr>
              <w:bidi w:val="0"/>
              <w:rPr>
                <w:rFonts w:hint="default"/>
                <w:color w:val="auto"/>
                <w:lang w:val="en-US" w:eastAsia="zh-CN"/>
              </w:rPr>
            </w:pPr>
            <w:r>
              <w:rPr>
                <w:rFonts w:hint="eastAsia"/>
                <w:color w:val="auto"/>
                <w:lang w:val="en-US" w:eastAsia="zh-CN"/>
              </w:rPr>
              <w:t>衡阳京泰建材有限公司</w:t>
            </w:r>
            <w:r>
              <w:rPr>
                <w:rFonts w:hint="default"/>
                <w:color w:val="auto"/>
                <w:lang w:val="en-US" w:eastAsia="zh-CN"/>
              </w:rPr>
              <w:t>现有项目环保审批及验收情况详见表2-</w:t>
            </w:r>
            <w:r>
              <w:rPr>
                <w:rFonts w:hint="eastAsia"/>
                <w:color w:val="auto"/>
                <w:lang w:val="en-US" w:eastAsia="zh-CN"/>
              </w:rPr>
              <w:t>10</w:t>
            </w:r>
            <w:r>
              <w:rPr>
                <w:rFonts w:hint="default"/>
                <w:color w:val="auto"/>
                <w:lang w:val="en-US" w:eastAsia="zh-CN"/>
              </w:rPr>
              <w:t>。</w:t>
            </w:r>
          </w:p>
          <w:p w14:paraId="2735F727">
            <w:pPr>
              <w:pStyle w:val="18"/>
              <w:bidi w:val="0"/>
              <w:rPr>
                <w:rFonts w:hint="eastAsia"/>
                <w:color w:val="auto"/>
                <w:lang w:val="en-US" w:eastAsia="zh-CN"/>
              </w:rPr>
            </w:pPr>
            <w:r>
              <w:rPr>
                <w:rFonts w:hint="eastAsia"/>
                <w:color w:val="auto"/>
                <w:lang w:val="en-US" w:eastAsia="zh-CN"/>
              </w:rPr>
              <w:t>表2-10 企业现有项目环保审批及验收情况一览表</w:t>
            </w:r>
          </w:p>
          <w:tbl>
            <w:tblPr>
              <w:tblStyle w:val="1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2663"/>
              <w:gridCol w:w="1904"/>
              <w:gridCol w:w="2664"/>
            </w:tblGrid>
            <w:tr w14:paraId="746C0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pct"/>
                  <w:noWrap w:val="0"/>
                  <w:vAlign w:val="center"/>
                </w:tcPr>
                <w:p w14:paraId="6A12C205">
                  <w:pPr>
                    <w:pStyle w:val="17"/>
                    <w:jc w:val="center"/>
                    <w:rPr>
                      <w:rFonts w:hint="default"/>
                      <w:color w:val="auto"/>
                      <w:vertAlign w:val="baseline"/>
                      <w:lang w:val="en-US" w:eastAsia="zh-CN"/>
                    </w:rPr>
                  </w:pPr>
                  <w:r>
                    <w:rPr>
                      <w:rFonts w:hint="eastAsia"/>
                      <w:color w:val="auto"/>
                      <w:vertAlign w:val="baseline"/>
                      <w:lang w:val="en-US" w:eastAsia="zh-CN"/>
                    </w:rPr>
                    <w:t>序号</w:t>
                  </w:r>
                </w:p>
              </w:tc>
              <w:tc>
                <w:tcPr>
                  <w:tcW w:w="1589" w:type="pct"/>
                  <w:noWrap w:val="0"/>
                  <w:vAlign w:val="center"/>
                </w:tcPr>
                <w:p w14:paraId="343465F4">
                  <w:pPr>
                    <w:pStyle w:val="17"/>
                    <w:jc w:val="center"/>
                    <w:rPr>
                      <w:rFonts w:hint="default"/>
                      <w:color w:val="auto"/>
                      <w:vertAlign w:val="baseline"/>
                      <w:lang w:val="en-US" w:eastAsia="zh-CN"/>
                    </w:rPr>
                  </w:pPr>
                  <w:r>
                    <w:rPr>
                      <w:rFonts w:hint="eastAsia"/>
                      <w:color w:val="auto"/>
                      <w:vertAlign w:val="baseline"/>
                      <w:lang w:val="en-US" w:eastAsia="zh-CN"/>
                    </w:rPr>
                    <w:t>环评文件名称</w:t>
                  </w:r>
                </w:p>
              </w:tc>
              <w:tc>
                <w:tcPr>
                  <w:tcW w:w="1136" w:type="pct"/>
                  <w:noWrap w:val="0"/>
                  <w:vAlign w:val="center"/>
                </w:tcPr>
                <w:p w14:paraId="0DFE8701">
                  <w:pPr>
                    <w:pStyle w:val="17"/>
                    <w:jc w:val="center"/>
                    <w:rPr>
                      <w:rFonts w:hint="default"/>
                      <w:color w:val="auto"/>
                      <w:vertAlign w:val="baseline"/>
                      <w:lang w:val="en-US" w:eastAsia="zh-CN"/>
                    </w:rPr>
                  </w:pPr>
                  <w:r>
                    <w:rPr>
                      <w:rFonts w:hint="eastAsia"/>
                      <w:color w:val="auto"/>
                      <w:vertAlign w:val="baseline"/>
                      <w:lang w:val="en-US" w:eastAsia="zh-CN"/>
                    </w:rPr>
                    <w:t>环评情况</w:t>
                  </w:r>
                </w:p>
              </w:tc>
              <w:tc>
                <w:tcPr>
                  <w:tcW w:w="1589" w:type="pct"/>
                  <w:noWrap w:val="0"/>
                  <w:vAlign w:val="center"/>
                </w:tcPr>
                <w:p w14:paraId="4BD6CA42">
                  <w:pPr>
                    <w:pStyle w:val="17"/>
                    <w:jc w:val="center"/>
                    <w:rPr>
                      <w:rFonts w:hint="default"/>
                      <w:color w:val="auto"/>
                      <w:vertAlign w:val="baseline"/>
                      <w:lang w:val="en-US" w:eastAsia="zh-CN"/>
                    </w:rPr>
                  </w:pPr>
                  <w:r>
                    <w:rPr>
                      <w:rFonts w:hint="eastAsia"/>
                      <w:color w:val="auto"/>
                      <w:vertAlign w:val="baseline"/>
                      <w:lang w:val="en-US" w:eastAsia="zh-CN"/>
                    </w:rPr>
                    <w:t>竣工验收情况</w:t>
                  </w:r>
                </w:p>
              </w:tc>
            </w:tr>
            <w:tr w14:paraId="7C3BE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pct"/>
                  <w:noWrap w:val="0"/>
                  <w:vAlign w:val="center"/>
                </w:tcPr>
                <w:p w14:paraId="265296F3">
                  <w:pPr>
                    <w:pStyle w:val="17"/>
                    <w:jc w:val="center"/>
                    <w:rPr>
                      <w:rFonts w:hint="default"/>
                      <w:color w:val="auto"/>
                      <w:vertAlign w:val="baseline"/>
                      <w:lang w:val="en-US" w:eastAsia="zh-CN"/>
                    </w:rPr>
                  </w:pPr>
                  <w:r>
                    <w:rPr>
                      <w:rFonts w:hint="eastAsia"/>
                      <w:color w:val="auto"/>
                      <w:vertAlign w:val="baseline"/>
                      <w:lang w:val="en-US" w:eastAsia="zh-CN"/>
                    </w:rPr>
                    <w:t>1</w:t>
                  </w:r>
                </w:p>
              </w:tc>
              <w:tc>
                <w:tcPr>
                  <w:tcW w:w="1589" w:type="pct"/>
                  <w:noWrap w:val="0"/>
                  <w:vAlign w:val="center"/>
                </w:tcPr>
                <w:p w14:paraId="0EA1D323">
                  <w:pPr>
                    <w:pStyle w:val="17"/>
                    <w:jc w:val="center"/>
                    <w:rPr>
                      <w:rFonts w:hint="eastAsia"/>
                      <w:color w:val="auto"/>
                      <w:vertAlign w:val="baseline"/>
                      <w:lang w:val="en-US" w:eastAsia="zh-CN"/>
                    </w:rPr>
                  </w:pPr>
                  <w:r>
                    <w:rPr>
                      <w:rFonts w:hint="eastAsia"/>
                      <w:color w:val="auto"/>
                      <w:vertAlign w:val="baseline"/>
                      <w:lang w:val="en-US" w:eastAsia="zh-CN"/>
                    </w:rPr>
                    <w:t>衡阳京泰建材建筑垃圾处理及利用项目</w:t>
                  </w:r>
                </w:p>
              </w:tc>
              <w:tc>
                <w:tcPr>
                  <w:tcW w:w="1136" w:type="pct"/>
                  <w:noWrap w:val="0"/>
                  <w:vAlign w:val="center"/>
                </w:tcPr>
                <w:p w14:paraId="3C265891">
                  <w:pPr>
                    <w:pStyle w:val="17"/>
                    <w:jc w:val="center"/>
                    <w:rPr>
                      <w:rFonts w:hint="default"/>
                      <w:color w:val="auto"/>
                      <w:vertAlign w:val="baseline"/>
                      <w:lang w:val="en-US" w:eastAsia="zh-CN"/>
                    </w:rPr>
                  </w:pPr>
                  <w:r>
                    <w:rPr>
                      <w:rFonts w:hint="eastAsia"/>
                      <w:color w:val="auto"/>
                      <w:vertAlign w:val="baseline"/>
                      <w:lang w:val="en-US" w:eastAsia="zh-CN"/>
                    </w:rPr>
                    <w:t>已批复，衡蒸环评〔2019〕1907号</w:t>
                  </w:r>
                </w:p>
              </w:tc>
              <w:tc>
                <w:tcPr>
                  <w:tcW w:w="1589" w:type="pct"/>
                  <w:noWrap w:val="0"/>
                  <w:vAlign w:val="center"/>
                </w:tcPr>
                <w:p w14:paraId="547385D7">
                  <w:pPr>
                    <w:pStyle w:val="17"/>
                    <w:jc w:val="center"/>
                    <w:rPr>
                      <w:rFonts w:hint="default"/>
                      <w:color w:val="auto"/>
                      <w:vertAlign w:val="baseline"/>
                      <w:lang w:val="en-US" w:eastAsia="zh-CN"/>
                    </w:rPr>
                  </w:pPr>
                  <w:r>
                    <w:rPr>
                      <w:rFonts w:hint="eastAsia"/>
                      <w:color w:val="auto"/>
                      <w:vertAlign w:val="baseline"/>
                      <w:lang w:val="en-US" w:eastAsia="zh-CN"/>
                    </w:rPr>
                    <w:t>已竣工验收，详见附件</w:t>
                  </w:r>
                </w:p>
              </w:tc>
            </w:tr>
          </w:tbl>
          <w:p w14:paraId="72AF614A">
            <w:pPr>
              <w:pStyle w:val="4"/>
              <w:bidi w:val="0"/>
              <w:rPr>
                <w:rFonts w:hint="eastAsia"/>
                <w:color w:val="auto"/>
                <w:lang w:val="en-US" w:eastAsia="zh-CN"/>
              </w:rPr>
            </w:pPr>
            <w:bookmarkStart w:id="230" w:name="_Toc6709"/>
            <w:bookmarkStart w:id="231" w:name="_Toc28471"/>
            <w:bookmarkStart w:id="232" w:name="_Toc19441"/>
            <w:bookmarkStart w:id="233" w:name="_Toc5101"/>
            <w:bookmarkStart w:id="234" w:name="_Toc6347"/>
            <w:r>
              <w:rPr>
                <w:rFonts w:hint="eastAsia"/>
                <w:color w:val="auto"/>
                <w:lang w:val="en-US" w:eastAsia="zh-CN"/>
              </w:rPr>
              <w:t>2、现有项目生产工艺流程</w:t>
            </w:r>
            <w:bookmarkEnd w:id="230"/>
            <w:bookmarkEnd w:id="231"/>
            <w:bookmarkEnd w:id="232"/>
            <w:bookmarkEnd w:id="233"/>
            <w:bookmarkEnd w:id="234"/>
          </w:p>
          <w:p w14:paraId="1B76631E">
            <w:pPr>
              <w:rPr>
                <w:rFonts w:hint="eastAsia"/>
                <w:color w:val="auto"/>
                <w:lang w:val="en-US" w:eastAsia="zh-CN"/>
              </w:rPr>
            </w:pPr>
            <w:r>
              <w:rPr>
                <w:rFonts w:hint="eastAsia"/>
                <w:color w:val="auto"/>
                <w:lang w:val="en-US" w:eastAsia="zh-CN"/>
              </w:rPr>
              <w:t>本企业现有项目生产工艺流程如图2-7所示。</w:t>
            </w:r>
          </w:p>
          <w:p w14:paraId="38E379B3">
            <w:pPr>
              <w:pStyle w:val="18"/>
              <w:bidi w:val="0"/>
              <w:rPr>
                <w:rFonts w:hint="eastAsia"/>
                <w:color w:val="auto"/>
                <w:lang w:val="en-US" w:eastAsia="zh-CN"/>
              </w:rPr>
            </w:pPr>
            <w:r>
              <w:rPr>
                <w:rFonts w:hint="default"/>
                <w:color w:val="auto"/>
                <w:lang w:val="en-US" w:eastAsia="zh-CN"/>
              </w:rPr>
              <w:object>
                <v:shape id="_x0000_i1033" o:spt="75" type="#_x0000_t75" style="height:200.6pt;width:421.7pt;" o:ole="t" filled="f" o:preferrelative="t" stroked="f" coordsize="21600,21600">
                  <v:path/>
                  <v:fill on="f" focussize="0,0"/>
                  <v:stroke on="f"/>
                  <v:imagedata r:id="rId26" o:title=""/>
                  <o:lock v:ext="edit" aspectratio="f"/>
                  <w10:wrap type="none"/>
                  <w10:anchorlock/>
                </v:shape>
                <o:OLEObject Type="Embed" ProgID="Visio.Drawing.11" ShapeID="_x0000_i1033" DrawAspect="Content" ObjectID="_1468075733" r:id="rId25">
                  <o:LockedField>false</o:LockedField>
                </o:OLEObject>
              </w:object>
            </w:r>
            <w:r>
              <w:rPr>
                <w:rFonts w:hint="eastAsia"/>
                <w:color w:val="auto"/>
                <w:lang w:val="en-US" w:eastAsia="zh-CN"/>
              </w:rPr>
              <w:t>图2-7 现有项目生产工艺流程图</w:t>
            </w:r>
          </w:p>
          <w:p w14:paraId="275481E2">
            <w:pPr>
              <w:bidi w:val="0"/>
              <w:rPr>
                <w:rFonts w:hint="default"/>
                <w:color w:val="auto"/>
                <w:lang w:val="en-US" w:eastAsia="zh-CN"/>
              </w:rPr>
            </w:pPr>
            <w:r>
              <w:rPr>
                <w:rFonts w:hint="default"/>
                <w:color w:val="auto"/>
                <w:lang w:val="en-US" w:eastAsia="zh-CN"/>
              </w:rPr>
              <w:t>工艺流程简述：</w:t>
            </w:r>
          </w:p>
          <w:p w14:paraId="4C15B74B">
            <w:pPr>
              <w:bidi w:val="0"/>
              <w:rPr>
                <w:rFonts w:hint="default"/>
                <w:color w:val="auto"/>
                <w:lang w:val="en-US" w:eastAsia="zh-CN"/>
              </w:rPr>
            </w:pPr>
            <w:r>
              <w:rPr>
                <w:rFonts w:hint="default"/>
                <w:color w:val="auto"/>
                <w:lang w:val="en-US" w:eastAsia="zh-CN"/>
              </w:rPr>
              <w:t>（1）分选</w:t>
            </w:r>
          </w:p>
          <w:p w14:paraId="14DB6BE8">
            <w:pPr>
              <w:bidi w:val="0"/>
              <w:rPr>
                <w:rFonts w:hint="default"/>
                <w:color w:val="auto"/>
                <w:lang w:val="en-US" w:eastAsia="zh-CN"/>
              </w:rPr>
            </w:pPr>
            <w:r>
              <w:rPr>
                <w:rFonts w:hint="default"/>
                <w:color w:val="auto"/>
                <w:lang w:val="en-US" w:eastAsia="zh-CN"/>
              </w:rPr>
              <w:t>建筑垃圾进厂后，堆放至建筑垃圾堆场，并由铲车运输堆高，以便充分利用堆场。同时铲车将一部分建筑垃圾倾倒在分选场地，通过人工分选进行分拣，人工将建筑垃圾中含废铁、废木块、废塑料等分选出进行分选出来，并堆置杂物堆存区分类堆存。经过分选的建筑垃圾由铲车运至破碎系统，并加入给料斗。此工序有固废（S1）、粉尘（G1）、汽车尾气（G2）、噪声（N1、N2）产生。</w:t>
            </w:r>
          </w:p>
          <w:p w14:paraId="5BD71AC0">
            <w:pPr>
              <w:bidi w:val="0"/>
              <w:rPr>
                <w:rFonts w:hint="default"/>
                <w:color w:val="auto"/>
                <w:lang w:val="en-US" w:eastAsia="zh-CN"/>
              </w:rPr>
            </w:pPr>
            <w:r>
              <w:rPr>
                <w:rFonts w:hint="default"/>
                <w:color w:val="auto"/>
                <w:lang w:val="en-US" w:eastAsia="zh-CN"/>
              </w:rPr>
              <w:t>（2）颚式破碎</w:t>
            </w:r>
          </w:p>
          <w:p w14:paraId="234239FA">
            <w:pPr>
              <w:bidi w:val="0"/>
              <w:rPr>
                <w:rFonts w:hint="default"/>
                <w:color w:val="auto"/>
                <w:lang w:val="en-US" w:eastAsia="zh-CN"/>
              </w:rPr>
            </w:pPr>
            <w:r>
              <w:rPr>
                <w:rFonts w:hint="default"/>
                <w:color w:val="auto"/>
                <w:lang w:val="en-US" w:eastAsia="zh-CN"/>
              </w:rPr>
              <w:t>给料斗中建筑垃圾经颚式破碎机进料口进入颚式破碎机进行粗破。将颚式破碎机出料粒度调节为80mm，使其出料粒度在80mm以下，保证其能够进行除铁和分选工艺要求。破碎后物料经再经输运皮带至反击破碎机进行二级破碎。破碎过程中将产生粉尘（G3）、噪声（N3）。</w:t>
            </w:r>
          </w:p>
          <w:p w14:paraId="0ED58B9E">
            <w:pPr>
              <w:bidi w:val="0"/>
              <w:rPr>
                <w:rFonts w:hint="default"/>
                <w:color w:val="auto"/>
                <w:lang w:val="en-US" w:eastAsia="zh-CN"/>
              </w:rPr>
            </w:pPr>
            <w:r>
              <w:rPr>
                <w:rFonts w:hint="default"/>
                <w:color w:val="auto"/>
                <w:lang w:val="en-US" w:eastAsia="zh-CN"/>
              </w:rPr>
              <w:t>破碎后部分物料附着泥量较多，在颚式破碎机下方设置清洗池，洗去原料中余泥，余泥通过泵压至泥水分离塔，分离出来的清洗废水进入沉淀池处理后回用于清洗工序。经皮带运输至低平台垃圾清洗设备，进行泥沙分离工序，清洗后的物料再经皮带输送机运至反击或冲击破碎机进行二级破碎。此工序有废水（W1）、噪声（N4）产生。</w:t>
            </w:r>
          </w:p>
          <w:p w14:paraId="2C6C1954">
            <w:pPr>
              <w:bidi w:val="0"/>
              <w:rPr>
                <w:rFonts w:hint="default"/>
                <w:color w:val="auto"/>
                <w:lang w:val="en-US" w:eastAsia="zh-CN"/>
              </w:rPr>
            </w:pPr>
            <w:r>
              <w:rPr>
                <w:rFonts w:hint="default"/>
                <w:color w:val="auto"/>
                <w:lang w:val="en-US" w:eastAsia="zh-CN"/>
              </w:rPr>
              <w:t>（3）反击式或冲击式破碎</w:t>
            </w:r>
          </w:p>
          <w:p w14:paraId="2CC71E64">
            <w:pPr>
              <w:bidi w:val="0"/>
              <w:rPr>
                <w:rFonts w:hint="default"/>
                <w:color w:val="auto"/>
                <w:lang w:val="en-US" w:eastAsia="zh-CN"/>
              </w:rPr>
            </w:pPr>
            <w:r>
              <w:rPr>
                <w:rFonts w:hint="default"/>
                <w:color w:val="auto"/>
                <w:lang w:val="en-US" w:eastAsia="zh-CN"/>
              </w:rPr>
              <w:t>皮带输送机将破碎后的物料输送至反击破碎机或冲击破碎机的进料口，经进料口进入反击破碎机或冲击破碎机进行二级破碎。二级破碎是将物料进行细破，并根据不同粒径要求，对破碎机粒度进行调节，以保证对不同粒级材料的产量符合后续工艺的要求。此工序有粉尘（G4、G5）和噪声（N5、N6）产生。</w:t>
            </w:r>
          </w:p>
          <w:p w14:paraId="5816F72A">
            <w:pPr>
              <w:bidi w:val="0"/>
              <w:rPr>
                <w:rFonts w:hint="default"/>
                <w:color w:val="auto"/>
                <w:lang w:val="en-US" w:eastAsia="zh-CN"/>
              </w:rPr>
            </w:pPr>
            <w:r>
              <w:rPr>
                <w:rFonts w:hint="default"/>
                <w:color w:val="auto"/>
                <w:lang w:val="en-US" w:eastAsia="zh-CN"/>
              </w:rPr>
              <w:t>（4）筛分</w:t>
            </w:r>
          </w:p>
          <w:p w14:paraId="7D66C18A">
            <w:pPr>
              <w:bidi w:val="0"/>
              <w:rPr>
                <w:rFonts w:hint="default"/>
                <w:color w:val="auto"/>
                <w:lang w:val="en-US" w:eastAsia="zh-CN"/>
              </w:rPr>
            </w:pPr>
            <w:r>
              <w:rPr>
                <w:rFonts w:hint="default"/>
                <w:color w:val="auto"/>
                <w:lang w:val="en-US" w:eastAsia="zh-CN"/>
              </w:rPr>
              <w:t>二级破碎后的物料经下料管，卸料至振动筛分机，由振动筛进行筛分，筛分粒径为5mm以下、5-10mm、10-20mm、20-40mm四个连续粒级，筛分后的20-40mm的粗骨料由皮带输送机运至水洗工序，5mm以下运输至封闭料仓，其他骨料由皮带输送机送至各级堆场。此工序有粉尘（G6）和噪声（N7）产生。</w:t>
            </w:r>
          </w:p>
          <w:p w14:paraId="27E4482C">
            <w:pPr>
              <w:bidi w:val="0"/>
              <w:rPr>
                <w:rFonts w:hint="default"/>
                <w:color w:val="auto"/>
                <w:lang w:val="en-US" w:eastAsia="zh-CN"/>
              </w:rPr>
            </w:pPr>
            <w:r>
              <w:rPr>
                <w:rFonts w:hint="default"/>
                <w:color w:val="auto"/>
                <w:lang w:val="en-US" w:eastAsia="zh-CN"/>
              </w:rPr>
              <w:t>（6）水洗</w:t>
            </w:r>
          </w:p>
          <w:p w14:paraId="346DE1F7">
            <w:pPr>
              <w:bidi w:val="0"/>
              <w:rPr>
                <w:rFonts w:hint="default"/>
                <w:color w:val="auto"/>
                <w:lang w:val="en-US" w:eastAsia="zh-CN"/>
              </w:rPr>
            </w:pPr>
            <w:r>
              <w:rPr>
                <w:rFonts w:hint="default"/>
                <w:color w:val="auto"/>
                <w:lang w:val="en-US" w:eastAsia="zh-CN"/>
              </w:rPr>
              <w:t>筛分后的粗骨料经皮带输送进行水洗滚筒筛的水洗工序，皮带配套设有喷淋装置，将粗骨料附着的泥沙清洗后，由皮带输送机送至粗骨料堆存区（位于产品堆场内）。此工序有废水（W3）、噪声产生。</w:t>
            </w:r>
          </w:p>
          <w:p w14:paraId="3DEAE82C">
            <w:pPr>
              <w:bidi w:val="0"/>
              <w:rPr>
                <w:rFonts w:hint="default"/>
                <w:color w:val="auto"/>
                <w:lang w:val="en-US" w:eastAsia="zh-CN"/>
              </w:rPr>
            </w:pPr>
            <w:r>
              <w:rPr>
                <w:rFonts w:hint="default"/>
                <w:color w:val="auto"/>
                <w:lang w:val="en-US" w:eastAsia="zh-CN"/>
              </w:rPr>
              <w:t>（7）尾砂回收</w:t>
            </w:r>
          </w:p>
          <w:p w14:paraId="47D1EA24">
            <w:pPr>
              <w:bidi w:val="0"/>
              <w:rPr>
                <w:rFonts w:hint="default"/>
                <w:color w:val="auto"/>
                <w:lang w:val="en-US" w:eastAsia="zh-CN"/>
              </w:rPr>
            </w:pPr>
            <w:r>
              <w:rPr>
                <w:rFonts w:hint="default"/>
                <w:color w:val="auto"/>
                <w:lang w:val="en-US" w:eastAsia="zh-CN"/>
              </w:rPr>
              <w:t>水洗工序产生的水洗废水经尾砂回收器过滤后，可回收部分粉料，回收的粉料经皮带输送至成品堆场待外售。过滤后的水洗废水经三级沉淀池处理后汇入回用水池回用于水洗工序，沉淀池沉渣经板框压滤机脱水处理后运至外售给砖厂用于制砖。</w:t>
            </w:r>
          </w:p>
          <w:p w14:paraId="015016B4">
            <w:pPr>
              <w:bidi w:val="0"/>
              <w:rPr>
                <w:rFonts w:hint="default"/>
                <w:color w:val="auto"/>
                <w:lang w:val="en-US" w:eastAsia="zh-CN"/>
              </w:rPr>
            </w:pPr>
            <w:r>
              <w:rPr>
                <w:rFonts w:hint="default"/>
                <w:color w:val="auto"/>
                <w:lang w:val="en-US" w:eastAsia="zh-CN"/>
              </w:rPr>
              <w:t>（8）装车、外运</w:t>
            </w:r>
          </w:p>
          <w:p w14:paraId="22F4CE22">
            <w:pPr>
              <w:bidi w:val="0"/>
              <w:rPr>
                <w:rFonts w:hint="default"/>
                <w:color w:val="auto"/>
                <w:lang w:val="en-US" w:eastAsia="zh-CN"/>
              </w:rPr>
            </w:pPr>
            <w:r>
              <w:rPr>
                <w:rFonts w:hint="default"/>
                <w:color w:val="auto"/>
                <w:lang w:val="en-US" w:eastAsia="zh-CN"/>
              </w:rPr>
              <w:t>根据客户需求，利用铲车把堆存于产品堆场内的产品装入运输车辆，装载完毕后经过磅后外售。此工序有粉尘（G8）、噪声（N9）产生。</w:t>
            </w:r>
          </w:p>
          <w:p w14:paraId="50848617">
            <w:pPr>
              <w:pStyle w:val="4"/>
              <w:bidi w:val="0"/>
              <w:rPr>
                <w:rFonts w:hint="default"/>
                <w:color w:val="auto"/>
                <w:lang w:val="en-US" w:eastAsia="zh-CN"/>
              </w:rPr>
            </w:pPr>
            <w:bookmarkStart w:id="235" w:name="_Toc28329"/>
            <w:bookmarkStart w:id="236" w:name="_Toc21717"/>
            <w:bookmarkStart w:id="237" w:name="_Toc25409"/>
            <w:bookmarkStart w:id="238" w:name="_Toc22131"/>
            <w:bookmarkStart w:id="239" w:name="_Toc27546"/>
            <w:r>
              <w:rPr>
                <w:rFonts w:hint="default"/>
                <w:color w:val="auto"/>
                <w:lang w:val="en-US" w:eastAsia="zh-CN"/>
              </w:rPr>
              <w:t>3、现有项目污染源、污染防治措施及达标分析</w:t>
            </w:r>
            <w:bookmarkEnd w:id="235"/>
            <w:bookmarkEnd w:id="236"/>
            <w:bookmarkEnd w:id="237"/>
            <w:bookmarkEnd w:id="238"/>
            <w:bookmarkEnd w:id="239"/>
          </w:p>
          <w:p w14:paraId="7C022AE9">
            <w:pPr>
              <w:rPr>
                <w:rFonts w:hint="eastAsia"/>
                <w:color w:val="auto"/>
                <w:lang w:val="en-US" w:eastAsia="zh-CN"/>
              </w:rPr>
            </w:pPr>
            <w:r>
              <w:rPr>
                <w:rFonts w:hint="eastAsia"/>
                <w:color w:val="auto"/>
                <w:lang w:val="en-US" w:eastAsia="zh-CN"/>
              </w:rPr>
              <w:t>由于现有项目的清洗、水洗及泥水分离塔工序已取消，本次评价不再对其进行回顾性评价。</w:t>
            </w:r>
          </w:p>
          <w:p w14:paraId="085ED183">
            <w:pPr>
              <w:pStyle w:val="5"/>
              <w:bidi w:val="0"/>
              <w:rPr>
                <w:rFonts w:hint="eastAsia"/>
                <w:color w:val="auto"/>
                <w:lang w:val="en-US" w:eastAsia="zh-CN"/>
              </w:rPr>
            </w:pPr>
            <w:bookmarkStart w:id="240" w:name="_Toc16668"/>
            <w:bookmarkStart w:id="241" w:name="_Toc29984"/>
            <w:bookmarkStart w:id="242" w:name="_Toc11671"/>
            <w:bookmarkStart w:id="243" w:name="_Toc22414"/>
            <w:bookmarkStart w:id="244" w:name="_Toc30326"/>
            <w:r>
              <w:rPr>
                <w:rFonts w:hint="eastAsia"/>
                <w:color w:val="auto"/>
                <w:lang w:val="en-US" w:eastAsia="zh-CN"/>
              </w:rPr>
              <w:t>3.1 现有项目废气污染源分析</w:t>
            </w:r>
            <w:bookmarkEnd w:id="240"/>
            <w:bookmarkEnd w:id="241"/>
            <w:bookmarkEnd w:id="242"/>
            <w:bookmarkEnd w:id="243"/>
            <w:bookmarkEnd w:id="244"/>
          </w:p>
          <w:p w14:paraId="05D5E06B">
            <w:pPr>
              <w:rPr>
                <w:rFonts w:hint="default"/>
                <w:color w:val="auto"/>
                <w:lang w:val="en-US" w:eastAsia="zh-CN"/>
              </w:rPr>
            </w:pPr>
            <w:r>
              <w:rPr>
                <w:rFonts w:hint="eastAsia"/>
                <w:color w:val="auto"/>
                <w:lang w:val="en-US" w:eastAsia="zh-CN"/>
              </w:rPr>
              <w:t>（1）物料装卸粉尘</w:t>
            </w:r>
          </w:p>
          <w:p w14:paraId="0D890F4E">
            <w:pPr>
              <w:rPr>
                <w:rFonts w:hint="eastAsia"/>
                <w:color w:val="auto"/>
                <w:lang w:val="en-US" w:eastAsia="zh-CN"/>
              </w:rPr>
            </w:pPr>
            <w:r>
              <w:rPr>
                <w:rFonts w:hint="eastAsia"/>
                <w:color w:val="auto"/>
                <w:lang w:val="en-US" w:eastAsia="zh-CN"/>
              </w:rPr>
              <w:t>现有项目年最大处理建筑垃圾24万t/a；现有项目年最大生产粗骨料3.2万t/a，中骨料5.0万t/a，细骨料9.5万t/a和粉料4.8万t/a；装载车载重按30t计，则年装载车运输次数约15500次。采用山西环保科研所、武汉水运工程学院提出的经验公式估算：</w:t>
            </w:r>
          </w:p>
          <w:p w14:paraId="3CBAFEAB">
            <w:pPr>
              <w:pStyle w:val="17"/>
              <w:bidi w:val="0"/>
              <w:rPr>
                <w:rFonts w:hint="default"/>
                <w:color w:val="auto"/>
                <w:lang w:val="en-US" w:eastAsia="zh-CN"/>
              </w:rPr>
            </w:pPr>
            <w:r>
              <w:rPr>
                <w:rFonts w:hint="default"/>
                <w:color w:val="auto"/>
                <w:position w:val="-24"/>
                <w:lang w:val="en-US" w:eastAsia="zh-CN"/>
              </w:rPr>
              <w:object>
                <v:shape id="_x0000_i1034" o:spt="75" type="#_x0000_t75" style="height:31pt;width:70pt;" o:ole="t" filled="f" o:preferrelative="t" stroked="f" coordsize="21600,21600">
                  <v:path/>
                  <v:fill on="f" focussize="0,0"/>
                  <v:stroke on="f"/>
                  <v:imagedata r:id="rId28" o:title=""/>
                  <o:lock v:ext="edit" aspectratio="t"/>
                  <w10:wrap type="none"/>
                  <w10:anchorlock/>
                </v:shape>
                <o:OLEObject Type="Embed" ProgID="Equation.KSEE3" ShapeID="_x0000_i1034" DrawAspect="Content" ObjectID="_1468075734" r:id="rId27">
                  <o:LockedField>false</o:LockedField>
                </o:OLEObject>
              </w:object>
            </w:r>
          </w:p>
          <w:p w14:paraId="057F345C">
            <w:pPr>
              <w:bidi w:val="0"/>
              <w:rPr>
                <w:rFonts w:hint="eastAsia"/>
                <w:color w:val="auto"/>
                <w:lang w:val="en-US" w:eastAsia="zh-CN"/>
              </w:rPr>
            </w:pPr>
            <w:r>
              <w:rPr>
                <w:rFonts w:hint="eastAsia"/>
                <w:color w:val="auto"/>
                <w:lang w:val="en-US" w:eastAsia="zh-CN"/>
              </w:rPr>
              <w:t>式中：Q——自卸汽车装卸起尘量，g/次；</w:t>
            </w:r>
          </w:p>
          <w:p w14:paraId="7041CC23">
            <w:pPr>
              <w:keepNext w:val="0"/>
              <w:keepLines w:val="0"/>
              <w:pageBreakBefore w:val="0"/>
              <w:widowControl w:val="0"/>
              <w:kinsoku/>
              <w:wordWrap/>
              <w:overflowPunct/>
              <w:topLinePunct w:val="0"/>
              <w:autoSpaceDE/>
              <w:autoSpaceDN/>
              <w:bidi w:val="0"/>
              <w:adjustRightInd w:val="0"/>
              <w:snapToGrid w:val="0"/>
              <w:ind w:firstLine="1200" w:firstLineChars="500"/>
              <w:textAlignment w:val="auto"/>
              <w:rPr>
                <w:rFonts w:hint="eastAsia"/>
                <w:color w:val="auto"/>
                <w:lang w:val="en-US" w:eastAsia="zh-CN"/>
              </w:rPr>
            </w:pPr>
            <w:r>
              <w:rPr>
                <w:rFonts w:hint="eastAsia"/>
                <w:color w:val="auto"/>
                <w:lang w:val="en-US" w:eastAsia="zh-CN"/>
              </w:rPr>
              <w:t>u——平均风速，m/s，湖南省累年平均风速平均值取1.63m/s；</w:t>
            </w:r>
          </w:p>
          <w:p w14:paraId="62C1AF5F">
            <w:pPr>
              <w:keepNext w:val="0"/>
              <w:keepLines w:val="0"/>
              <w:pageBreakBefore w:val="0"/>
              <w:widowControl w:val="0"/>
              <w:kinsoku/>
              <w:wordWrap/>
              <w:overflowPunct/>
              <w:topLinePunct w:val="0"/>
              <w:autoSpaceDE/>
              <w:autoSpaceDN/>
              <w:bidi w:val="0"/>
              <w:adjustRightInd w:val="0"/>
              <w:snapToGrid w:val="0"/>
              <w:ind w:firstLine="1200" w:firstLineChars="500"/>
              <w:textAlignment w:val="auto"/>
              <w:rPr>
                <w:rFonts w:hint="eastAsia"/>
                <w:color w:val="auto"/>
                <w:lang w:val="en-US" w:eastAsia="zh-CN"/>
              </w:rPr>
            </w:pPr>
            <w:r>
              <w:rPr>
                <w:rFonts w:hint="eastAsia"/>
                <w:color w:val="auto"/>
                <w:lang w:val="en-US" w:eastAsia="zh-CN"/>
              </w:rPr>
              <w:t>M——汽车卸料量，t。</w:t>
            </w:r>
          </w:p>
          <w:p w14:paraId="40D9B112">
            <w:pPr>
              <w:bidi w:val="0"/>
              <w:rPr>
                <w:rFonts w:hint="eastAsia"/>
                <w:color w:val="auto"/>
                <w:lang w:val="en-US" w:eastAsia="zh-CN"/>
              </w:rPr>
            </w:pPr>
            <w:r>
              <w:rPr>
                <w:rFonts w:hint="eastAsia"/>
                <w:color w:val="auto"/>
                <w:lang w:val="en-US" w:eastAsia="zh-CN"/>
              </w:rPr>
              <w:t>根据上式可知，卸料过程中粉尘产生量为0.0931t/a（0.0388kg/h），无组织排放。项目堆场已采取以下措施降低扬尘：</w:t>
            </w:r>
          </w:p>
          <w:p w14:paraId="5CCCBCB1">
            <w:pPr>
              <w:bidi w:val="0"/>
              <w:rPr>
                <w:rFonts w:hint="eastAsia"/>
                <w:color w:val="auto"/>
                <w:lang w:val="en-US" w:eastAsia="zh-CN"/>
              </w:rPr>
            </w:pPr>
            <w:r>
              <w:rPr>
                <w:rFonts w:hint="eastAsia"/>
                <w:color w:val="auto"/>
                <w:lang w:val="en-US" w:eastAsia="zh-CN"/>
              </w:rPr>
              <w:t>①堆场设置三面围挡，围挡高度高于堆场高度；</w:t>
            </w:r>
          </w:p>
          <w:p w14:paraId="41390274">
            <w:pPr>
              <w:bidi w:val="0"/>
              <w:rPr>
                <w:rFonts w:hint="eastAsia"/>
                <w:color w:val="auto"/>
                <w:lang w:val="en-US" w:eastAsia="zh-CN"/>
              </w:rPr>
            </w:pPr>
            <w:r>
              <w:rPr>
                <w:rFonts w:hint="eastAsia"/>
                <w:color w:val="auto"/>
                <w:lang w:val="en-US" w:eastAsia="zh-CN"/>
              </w:rPr>
              <w:t>②设置喷淋降尘，进行湿法抑尘；</w:t>
            </w:r>
          </w:p>
          <w:p w14:paraId="5A33FBDC">
            <w:pPr>
              <w:bidi w:val="0"/>
              <w:rPr>
                <w:rFonts w:hint="eastAsia"/>
                <w:color w:val="auto"/>
                <w:lang w:val="en-US" w:eastAsia="zh-CN"/>
              </w:rPr>
            </w:pPr>
            <w:r>
              <w:rPr>
                <w:rFonts w:hint="eastAsia"/>
                <w:color w:val="auto"/>
                <w:lang w:val="en-US" w:eastAsia="zh-CN"/>
              </w:rPr>
              <w:t>③加盖棚罩并在堆场硬化，减少扬尘产生。</w:t>
            </w:r>
          </w:p>
          <w:p w14:paraId="6CB0F989">
            <w:pPr>
              <w:bidi w:val="0"/>
              <w:rPr>
                <w:rFonts w:hint="eastAsia"/>
                <w:color w:val="auto"/>
                <w:lang w:val="en-US" w:eastAsia="zh-CN"/>
              </w:rPr>
            </w:pPr>
            <w:r>
              <w:rPr>
                <w:rFonts w:hint="eastAsia"/>
                <w:color w:val="auto"/>
                <w:lang w:val="en-US" w:eastAsia="zh-CN"/>
              </w:rPr>
              <w:t>在采取以上措施后，物料装卸扬尘可以降低50%，则物料装卸粉尘排放量合计为0.0465t/a（0.0194kg/h）。</w:t>
            </w:r>
          </w:p>
          <w:p w14:paraId="5DCBA31F">
            <w:pPr>
              <w:bidi w:val="0"/>
              <w:rPr>
                <w:rFonts w:hint="default"/>
                <w:color w:val="auto"/>
                <w:lang w:val="en-US" w:eastAsia="zh-CN"/>
              </w:rPr>
            </w:pPr>
            <w:r>
              <w:rPr>
                <w:rFonts w:hint="eastAsia"/>
                <w:color w:val="auto"/>
                <w:lang w:val="en-US" w:eastAsia="zh-CN"/>
              </w:rPr>
              <w:t>（2）堆场扬尘</w:t>
            </w:r>
          </w:p>
          <w:p w14:paraId="28B674F8">
            <w:pPr>
              <w:bidi w:val="0"/>
              <w:rPr>
                <w:rFonts w:hint="eastAsia"/>
                <w:color w:val="auto"/>
                <w:lang w:val="en-US" w:eastAsia="zh-CN"/>
              </w:rPr>
            </w:pPr>
            <w:r>
              <w:rPr>
                <w:rFonts w:hint="eastAsia"/>
                <w:color w:val="auto"/>
                <w:lang w:val="en-US" w:eastAsia="zh-CN"/>
              </w:rPr>
              <w:t>根据同类项目建设经验，堆场扬尘可分为风力扬尘以及动力扬尘两种，主要以风力扬尘为主，本次评价主要分析风力扬尘量。项目堆场扬尘产生量采取西安冶金建筑学院的对扬尘计算公式估算：</w:t>
            </w:r>
          </w:p>
          <w:p w14:paraId="787FF9B8">
            <w:pPr>
              <w:pStyle w:val="17"/>
              <w:bidi w:val="0"/>
              <w:rPr>
                <w:rFonts w:hint="default"/>
                <w:color w:val="auto"/>
                <w:lang w:val="en-US" w:eastAsia="zh-CN"/>
              </w:rPr>
            </w:pPr>
            <w:r>
              <w:rPr>
                <w:rFonts w:hint="default"/>
                <w:color w:val="auto"/>
                <w:position w:val="-10"/>
                <w:lang w:val="en-US" w:eastAsia="zh-CN"/>
              </w:rPr>
              <w:object>
                <v:shape id="_x0000_i1035" o:spt="75" type="#_x0000_t75" style="height:18pt;width:100pt;" o:ole="t" filled="f" o:preferrelative="t" stroked="f" coordsize="21600,21600">
                  <v:path/>
                  <v:fill on="f" focussize="0,0"/>
                  <v:stroke on="f"/>
                  <v:imagedata r:id="rId30" o:title=""/>
                  <o:lock v:ext="edit" aspectratio="t"/>
                  <w10:wrap type="none"/>
                  <w10:anchorlock/>
                </v:shape>
                <o:OLEObject Type="Embed" ProgID="Equation.KSEE3" ShapeID="_x0000_i1035" DrawAspect="Content" ObjectID="_1468075735" r:id="rId29">
                  <o:LockedField>false</o:LockedField>
                </o:OLEObject>
              </w:object>
            </w:r>
          </w:p>
          <w:p w14:paraId="2AACD307">
            <w:pPr>
              <w:bidi w:val="0"/>
              <w:rPr>
                <w:rFonts w:hint="eastAsia"/>
                <w:color w:val="auto"/>
                <w:lang w:val="en-US" w:eastAsia="zh-CN"/>
              </w:rPr>
            </w:pPr>
            <w:r>
              <w:rPr>
                <w:rFonts w:hint="eastAsia"/>
                <w:color w:val="auto"/>
                <w:lang w:val="en-US" w:eastAsia="zh-CN"/>
              </w:rPr>
              <w:t>式中：Q——扬尘量，mg/s；</w:t>
            </w:r>
          </w:p>
          <w:p w14:paraId="51772620">
            <w:pPr>
              <w:keepNext w:val="0"/>
              <w:keepLines w:val="0"/>
              <w:pageBreakBefore w:val="0"/>
              <w:widowControl w:val="0"/>
              <w:kinsoku/>
              <w:wordWrap/>
              <w:overflowPunct/>
              <w:topLinePunct w:val="0"/>
              <w:autoSpaceDE/>
              <w:autoSpaceDN/>
              <w:bidi w:val="0"/>
              <w:adjustRightInd w:val="0"/>
              <w:snapToGrid w:val="0"/>
              <w:ind w:firstLine="1200" w:firstLineChars="500"/>
              <w:textAlignment w:val="auto"/>
              <w:rPr>
                <w:rFonts w:hint="eastAsia"/>
                <w:color w:val="auto"/>
                <w:lang w:val="en-US" w:eastAsia="zh-CN"/>
              </w:rPr>
            </w:pPr>
            <w:r>
              <w:rPr>
                <w:rFonts w:hint="eastAsia"/>
                <w:color w:val="auto"/>
                <w:lang w:val="en-US" w:eastAsia="zh-CN"/>
              </w:rPr>
              <w:t>S——起尘面积，m</w:t>
            </w:r>
            <w:r>
              <w:rPr>
                <w:rFonts w:hint="eastAsia"/>
                <w:color w:val="auto"/>
                <w:vertAlign w:val="superscript"/>
                <w:lang w:val="en-US" w:eastAsia="zh-CN"/>
              </w:rPr>
              <w:t>2</w:t>
            </w:r>
            <w:r>
              <w:rPr>
                <w:rFonts w:hint="eastAsia"/>
                <w:color w:val="auto"/>
                <w:lang w:val="en-US" w:eastAsia="zh-CN"/>
              </w:rPr>
              <w:t>，现有项目原料堆场1#1050m</w:t>
            </w:r>
            <w:r>
              <w:rPr>
                <w:rFonts w:hint="eastAsia"/>
                <w:color w:val="auto"/>
                <w:vertAlign w:val="superscript"/>
                <w:lang w:val="en-US" w:eastAsia="zh-CN"/>
              </w:rPr>
              <w:t>2</w:t>
            </w:r>
            <w:r>
              <w:rPr>
                <w:rFonts w:hint="eastAsia"/>
                <w:color w:val="auto"/>
                <w:lang w:val="en-US" w:eastAsia="zh-CN"/>
              </w:rPr>
              <w:t>，产品堆场1200m</w:t>
            </w:r>
            <w:r>
              <w:rPr>
                <w:rFonts w:hint="eastAsia"/>
                <w:color w:val="auto"/>
                <w:vertAlign w:val="superscript"/>
                <w:lang w:val="en-US" w:eastAsia="zh-CN"/>
              </w:rPr>
              <w:t>2</w:t>
            </w:r>
            <w:r>
              <w:rPr>
                <w:rFonts w:hint="eastAsia"/>
                <w:color w:val="auto"/>
                <w:lang w:val="en-US" w:eastAsia="zh-CN"/>
              </w:rPr>
              <w:t>；</w:t>
            </w:r>
          </w:p>
          <w:p w14:paraId="43FF9FBA">
            <w:pPr>
              <w:keepNext w:val="0"/>
              <w:keepLines w:val="0"/>
              <w:pageBreakBefore w:val="0"/>
              <w:widowControl w:val="0"/>
              <w:kinsoku/>
              <w:wordWrap/>
              <w:overflowPunct/>
              <w:topLinePunct w:val="0"/>
              <w:autoSpaceDE/>
              <w:autoSpaceDN/>
              <w:bidi w:val="0"/>
              <w:adjustRightInd w:val="0"/>
              <w:snapToGrid w:val="0"/>
              <w:ind w:firstLine="1200" w:firstLineChars="500"/>
              <w:textAlignment w:val="auto"/>
              <w:rPr>
                <w:rFonts w:hint="eastAsia"/>
                <w:color w:val="auto"/>
                <w:lang w:val="en-US" w:eastAsia="zh-CN"/>
              </w:rPr>
            </w:pPr>
            <w:r>
              <w:rPr>
                <w:rFonts w:hint="eastAsia"/>
                <w:color w:val="auto"/>
                <w:lang w:val="en-US" w:eastAsia="zh-CN"/>
              </w:rPr>
              <w:t>V——平均风速，m/s，湖南省累年平均风速平均值取1.63m/s。</w:t>
            </w:r>
          </w:p>
          <w:p w14:paraId="0A5C6083">
            <w:pPr>
              <w:bidi w:val="0"/>
              <w:rPr>
                <w:rFonts w:hint="eastAsia"/>
                <w:color w:val="auto"/>
                <w:lang w:val="en-US" w:eastAsia="zh-CN"/>
              </w:rPr>
            </w:pPr>
            <w:r>
              <w:rPr>
                <w:rFonts w:hint="eastAsia"/>
                <w:color w:val="auto"/>
                <w:lang w:val="en-US" w:eastAsia="zh-CN"/>
              </w:rPr>
              <w:t>根据上式可知，项目堆场扬尘量为10.429mg/s（0.3289t/a），无组织排放。产品堆场已采取以下措施降低扬尘：</w:t>
            </w:r>
          </w:p>
          <w:p w14:paraId="456854BE">
            <w:pPr>
              <w:bidi w:val="0"/>
              <w:rPr>
                <w:rFonts w:hint="eastAsia"/>
                <w:color w:val="auto"/>
                <w:lang w:val="en-US" w:eastAsia="zh-CN"/>
              </w:rPr>
            </w:pPr>
            <w:r>
              <w:rPr>
                <w:rFonts w:hint="eastAsia"/>
                <w:color w:val="auto"/>
                <w:lang w:val="en-US" w:eastAsia="zh-CN"/>
              </w:rPr>
              <w:t>①堆场设置三面围挡，围挡高度高于堆场高度；</w:t>
            </w:r>
          </w:p>
          <w:p w14:paraId="55BC8FC0">
            <w:pPr>
              <w:bidi w:val="0"/>
              <w:rPr>
                <w:rFonts w:hint="eastAsia"/>
                <w:color w:val="auto"/>
                <w:lang w:val="en-US" w:eastAsia="zh-CN"/>
              </w:rPr>
            </w:pPr>
            <w:r>
              <w:rPr>
                <w:rFonts w:hint="eastAsia"/>
                <w:color w:val="auto"/>
                <w:lang w:val="en-US" w:eastAsia="zh-CN"/>
              </w:rPr>
              <w:t>②设置喷淋降尘，进行湿法抑尘；</w:t>
            </w:r>
          </w:p>
          <w:p w14:paraId="69006566">
            <w:pPr>
              <w:bidi w:val="0"/>
              <w:rPr>
                <w:rFonts w:hint="eastAsia"/>
                <w:color w:val="auto"/>
                <w:lang w:val="en-US" w:eastAsia="zh-CN"/>
              </w:rPr>
            </w:pPr>
            <w:r>
              <w:rPr>
                <w:rFonts w:hint="eastAsia"/>
                <w:color w:val="auto"/>
                <w:lang w:val="en-US" w:eastAsia="zh-CN"/>
              </w:rPr>
              <w:t>③加盖棚罩并在堆场硬化，减少扬尘产生。</w:t>
            </w:r>
          </w:p>
          <w:p w14:paraId="62A1529B">
            <w:pPr>
              <w:bidi w:val="0"/>
              <w:rPr>
                <w:rFonts w:hint="eastAsia"/>
                <w:color w:val="auto"/>
                <w:lang w:val="en-US" w:eastAsia="zh-CN"/>
              </w:rPr>
            </w:pPr>
            <w:r>
              <w:rPr>
                <w:rFonts w:hint="eastAsia"/>
                <w:color w:val="auto"/>
                <w:lang w:val="en-US" w:eastAsia="zh-CN"/>
              </w:rPr>
              <w:t>在采取以上措施后，堆场扬尘可以降低50%，则项目堆场粉尘排放量为0.1644t/a（0.0188kg/h）。</w:t>
            </w:r>
          </w:p>
          <w:p w14:paraId="1AA373D1">
            <w:pPr>
              <w:bidi w:val="0"/>
              <w:rPr>
                <w:rFonts w:hint="eastAsia"/>
                <w:color w:val="auto"/>
                <w:lang w:val="en-US" w:eastAsia="zh-CN"/>
              </w:rPr>
            </w:pPr>
            <w:r>
              <w:rPr>
                <w:rFonts w:hint="eastAsia"/>
                <w:color w:val="auto"/>
                <w:lang w:val="en-US" w:eastAsia="zh-CN"/>
              </w:rPr>
              <w:t>（3）破碎、筛分粉尘</w:t>
            </w:r>
          </w:p>
          <w:p w14:paraId="2DE75D44">
            <w:pPr>
              <w:bidi w:val="0"/>
              <w:rPr>
                <w:rFonts w:hint="default"/>
                <w:color w:val="auto"/>
                <w:lang w:val="en-US" w:eastAsia="zh-CN"/>
              </w:rPr>
            </w:pPr>
            <w:r>
              <w:rPr>
                <w:rFonts w:hint="eastAsia"/>
                <w:color w:val="auto"/>
                <w:lang w:val="en-US" w:eastAsia="zh-CN"/>
              </w:rPr>
              <w:t>现有项目在破碎、筛分工序过程中会产生粉尘。项目共设有1条破碎生产线，参照《逸散性工业粉尘控制技术》，二级破碎筛分粉尘产污系数为0.75kg/t（破碎料）。现有项目年最大处理24万吨建筑垃圾，则二级破碎筛分粉尘产生量为180t/a。</w:t>
            </w:r>
          </w:p>
          <w:p w14:paraId="3BC74B5F">
            <w:pPr>
              <w:bidi w:val="0"/>
              <w:rPr>
                <w:rFonts w:hint="default"/>
                <w:color w:val="auto"/>
                <w:lang w:val="en-US" w:eastAsia="zh-CN"/>
              </w:rPr>
            </w:pPr>
            <w:r>
              <w:rPr>
                <w:rFonts w:hint="eastAsia"/>
                <w:color w:val="auto"/>
                <w:lang w:val="en-US" w:eastAsia="zh-CN"/>
              </w:rPr>
              <w:t>为了控制粉尘的无组织排放，项目针对皮带装载点均进行密闭，在破碎区域设置环保除尘雾炮对集气罩未收集的外溢无组织粉尘进行抑尘；项目破碎、筛分工序设有旋风除尘器和脉冲布袋除尘器对产生的粉尘进行处理，风机风量均为3000m</w:t>
            </w:r>
            <w:r>
              <w:rPr>
                <w:rFonts w:hint="eastAsia"/>
                <w:color w:val="auto"/>
                <w:vertAlign w:val="superscript"/>
                <w:lang w:val="en-US" w:eastAsia="zh-CN"/>
              </w:rPr>
              <w:t>3</w:t>
            </w:r>
            <w:r>
              <w:rPr>
                <w:rFonts w:hint="eastAsia"/>
                <w:color w:val="auto"/>
                <w:lang w:val="en-US" w:eastAsia="zh-CN"/>
              </w:rPr>
              <w:t>/h；在引风机的负压作用下，经集气罩收集（收集效率按90%计）、旋风除尘器（治理效率按65%计）、脉冲反吹袋式除尘器（治理效率按99%计）后经15m高排气筒（DA001）有组织排放。有组织排放量为0.567t/a（0.2363kg/h），风机风量合计为6000m</w:t>
            </w:r>
            <w:r>
              <w:rPr>
                <w:rFonts w:hint="eastAsia"/>
                <w:color w:val="auto"/>
                <w:vertAlign w:val="superscript"/>
                <w:lang w:val="en-US" w:eastAsia="zh-CN"/>
              </w:rPr>
              <w:t>3</w:t>
            </w:r>
            <w:r>
              <w:rPr>
                <w:rFonts w:hint="eastAsia"/>
                <w:color w:val="auto"/>
                <w:lang w:val="en-US" w:eastAsia="zh-CN"/>
              </w:rPr>
              <w:t>/h，则排放浓度为39.375mg/m</w:t>
            </w:r>
            <w:r>
              <w:rPr>
                <w:rFonts w:hint="eastAsia"/>
                <w:color w:val="auto"/>
                <w:vertAlign w:val="superscript"/>
                <w:lang w:val="en-US" w:eastAsia="zh-CN"/>
              </w:rPr>
              <w:t>3</w:t>
            </w:r>
            <w:r>
              <w:rPr>
                <w:rFonts w:hint="eastAsia"/>
                <w:color w:val="auto"/>
                <w:lang w:val="en-US" w:eastAsia="zh-CN"/>
              </w:rPr>
              <w:t>。未被集气罩收集的粉尘量为18t/a，经全封闭车间沉降以及环保除尘雾炮机处理（治理效率按95%计）后，无组织粉尘排放量为0.9t/a（0.375kg/h）。</w:t>
            </w:r>
          </w:p>
          <w:p w14:paraId="2279E5AC">
            <w:pPr>
              <w:bidi w:val="0"/>
              <w:rPr>
                <w:rFonts w:hint="eastAsia"/>
                <w:color w:val="auto"/>
                <w:lang w:val="en-US" w:eastAsia="zh-CN"/>
              </w:rPr>
            </w:pPr>
            <w:r>
              <w:rPr>
                <w:rFonts w:hint="eastAsia"/>
                <w:color w:val="auto"/>
                <w:lang w:val="en-US" w:eastAsia="zh-CN"/>
              </w:rPr>
              <w:t>（4）输送粉尘</w:t>
            </w:r>
          </w:p>
          <w:p w14:paraId="5518526C">
            <w:pPr>
              <w:bidi w:val="0"/>
              <w:rPr>
                <w:rFonts w:hint="eastAsia"/>
                <w:color w:val="auto"/>
                <w:lang w:val="en-US" w:eastAsia="zh-CN"/>
              </w:rPr>
            </w:pPr>
            <w:r>
              <w:rPr>
                <w:rFonts w:hint="eastAsia"/>
                <w:color w:val="auto"/>
                <w:lang w:val="en-US" w:eastAsia="zh-CN"/>
              </w:rPr>
              <w:t>原料破碎筛分过程中在各个工段转运通过输送带完成，输送过程中会产生少量扬尘。</w:t>
            </w:r>
          </w:p>
          <w:p w14:paraId="66299532">
            <w:pPr>
              <w:bidi w:val="0"/>
              <w:rPr>
                <w:rFonts w:hint="default"/>
                <w:color w:val="auto"/>
                <w:lang w:val="en-US" w:eastAsia="zh-CN"/>
              </w:rPr>
            </w:pPr>
            <w:r>
              <w:rPr>
                <w:rFonts w:hint="eastAsia"/>
                <w:color w:val="auto"/>
                <w:lang w:val="en-US" w:eastAsia="zh-CN"/>
              </w:rPr>
              <w:t>输送过程为平稳输送，项目采用密封廊道，粉尘产生量较小。类比同类工程，并考虑到本项目采用密闭输送措施预计相比一般敞开输送工程可以有效减少输送过程中产生的粉尘，且输送产生粉尘经喷淋装置处理后无组织排放，产尘系数取0.00005%，现有项目年最大处理建筑垃圾、装修垃圾和一般工业固体废物24万t/a，则输送粉尘产生量为0.12t/a（0.05kg/h），无组织排放。</w:t>
            </w:r>
          </w:p>
          <w:p w14:paraId="280647FD">
            <w:pPr>
              <w:bidi w:val="0"/>
              <w:rPr>
                <w:rFonts w:hint="eastAsia"/>
                <w:color w:val="auto"/>
                <w:lang w:val="en-US" w:eastAsia="zh-CN"/>
              </w:rPr>
            </w:pPr>
            <w:r>
              <w:rPr>
                <w:rFonts w:hint="eastAsia"/>
                <w:color w:val="auto"/>
                <w:lang w:val="en-US" w:eastAsia="zh-CN"/>
              </w:rPr>
              <w:t>（5）道路扬尘</w:t>
            </w:r>
          </w:p>
          <w:p w14:paraId="70B31047">
            <w:pPr>
              <w:bidi w:val="0"/>
              <w:rPr>
                <w:rFonts w:hint="eastAsia"/>
                <w:color w:val="auto"/>
                <w:lang w:val="en-US" w:eastAsia="zh-CN"/>
              </w:rPr>
            </w:pPr>
            <w:r>
              <w:rPr>
                <w:rFonts w:hint="eastAsia"/>
                <w:color w:val="auto"/>
                <w:lang w:val="en-US" w:eastAsia="zh-CN"/>
              </w:rPr>
              <w:t>项目产品及原料厂区内的运输过程由于外力会产生运输扬尘。根据相关文献资料，车辆行驶产生的扬尘量占总扬尘量60%以上，车辆行驶过程中产生的扬尘，在道路完全干燥的情况下，可按以下经验公式进行计算：</w:t>
            </w:r>
          </w:p>
          <w:p w14:paraId="6BFDAB8E">
            <w:pPr>
              <w:pStyle w:val="17"/>
              <w:bidi w:val="0"/>
              <w:rPr>
                <w:rFonts w:hint="default"/>
                <w:color w:val="auto"/>
                <w:lang w:val="en-US" w:eastAsia="zh-CN"/>
              </w:rPr>
            </w:pPr>
            <w:r>
              <w:rPr>
                <w:rFonts w:hint="default"/>
                <w:color w:val="auto"/>
                <w:position w:val="-28"/>
                <w:lang w:val="en-US" w:eastAsia="zh-CN"/>
              </w:rPr>
              <w:object>
                <v:shape id="_x0000_i1036" o:spt="75" type="#_x0000_t75" style="height:37pt;width:155pt;" o:ole="t" filled="f" o:preferrelative="t" stroked="f" coordsize="21600,21600">
                  <v:path/>
                  <v:fill on="f" focussize="0,0"/>
                  <v:stroke on="f"/>
                  <v:imagedata r:id="rId32" o:title=""/>
                  <o:lock v:ext="edit" aspectratio="t"/>
                  <w10:wrap type="none"/>
                  <w10:anchorlock/>
                </v:shape>
                <o:OLEObject Type="Embed" ProgID="Equation.KSEE3" ShapeID="_x0000_i1036" DrawAspect="Content" ObjectID="_1468075736" r:id="rId31">
                  <o:LockedField>false</o:LockedField>
                </o:OLEObject>
              </w:object>
            </w:r>
          </w:p>
          <w:p w14:paraId="06B4E3FB">
            <w:pPr>
              <w:bidi w:val="0"/>
              <w:rPr>
                <w:rFonts w:hint="eastAsia"/>
                <w:color w:val="auto"/>
                <w:lang w:val="en-US" w:eastAsia="zh-CN"/>
              </w:rPr>
            </w:pPr>
            <w:r>
              <w:rPr>
                <w:rFonts w:hint="eastAsia"/>
                <w:color w:val="auto"/>
                <w:lang w:val="en-US" w:eastAsia="zh-CN"/>
              </w:rPr>
              <w:t>式中：Q——汽车行驶时的扬尘，kg/km·辆；</w:t>
            </w:r>
          </w:p>
          <w:p w14:paraId="1A4398FF">
            <w:pPr>
              <w:keepNext w:val="0"/>
              <w:keepLines w:val="0"/>
              <w:pageBreakBefore w:val="0"/>
              <w:widowControl w:val="0"/>
              <w:kinsoku/>
              <w:wordWrap/>
              <w:overflowPunct/>
              <w:topLinePunct w:val="0"/>
              <w:autoSpaceDE/>
              <w:autoSpaceDN/>
              <w:bidi w:val="0"/>
              <w:adjustRightInd w:val="0"/>
              <w:snapToGrid w:val="0"/>
              <w:ind w:firstLine="1200" w:firstLineChars="500"/>
              <w:textAlignment w:val="auto"/>
              <w:rPr>
                <w:rFonts w:hint="eastAsia"/>
                <w:color w:val="auto"/>
                <w:lang w:val="en-US" w:eastAsia="zh-CN"/>
              </w:rPr>
            </w:pPr>
            <w:r>
              <w:rPr>
                <w:rFonts w:hint="eastAsia"/>
                <w:color w:val="auto"/>
                <w:lang w:val="en-US" w:eastAsia="zh-CN"/>
              </w:rPr>
              <w:t>V——汽车速度，km/h，本次评价取10km/h；</w:t>
            </w:r>
          </w:p>
          <w:p w14:paraId="347B3C27">
            <w:pPr>
              <w:keepNext w:val="0"/>
              <w:keepLines w:val="0"/>
              <w:pageBreakBefore w:val="0"/>
              <w:widowControl w:val="0"/>
              <w:kinsoku/>
              <w:wordWrap/>
              <w:overflowPunct/>
              <w:topLinePunct w:val="0"/>
              <w:autoSpaceDE/>
              <w:autoSpaceDN/>
              <w:bidi w:val="0"/>
              <w:adjustRightInd w:val="0"/>
              <w:snapToGrid w:val="0"/>
              <w:ind w:firstLine="1200" w:firstLineChars="500"/>
              <w:textAlignment w:val="auto"/>
              <w:rPr>
                <w:rFonts w:hint="eastAsia"/>
                <w:color w:val="auto"/>
                <w:lang w:val="en-US" w:eastAsia="zh-CN"/>
              </w:rPr>
            </w:pPr>
            <w:r>
              <w:rPr>
                <w:rFonts w:hint="eastAsia"/>
                <w:color w:val="auto"/>
                <w:lang w:val="en-US" w:eastAsia="zh-CN"/>
              </w:rPr>
              <w:t>W——汽车载重量，t；</w:t>
            </w:r>
          </w:p>
          <w:p w14:paraId="5CD175B5">
            <w:pPr>
              <w:keepNext w:val="0"/>
              <w:keepLines w:val="0"/>
              <w:pageBreakBefore w:val="0"/>
              <w:widowControl w:val="0"/>
              <w:kinsoku/>
              <w:wordWrap/>
              <w:overflowPunct/>
              <w:topLinePunct w:val="0"/>
              <w:autoSpaceDE/>
              <w:autoSpaceDN/>
              <w:bidi w:val="0"/>
              <w:adjustRightInd w:val="0"/>
              <w:snapToGrid w:val="0"/>
              <w:ind w:firstLine="1200" w:firstLineChars="500"/>
              <w:textAlignment w:val="auto"/>
              <w:rPr>
                <w:rFonts w:hint="eastAsia"/>
                <w:color w:val="auto"/>
                <w:lang w:val="en-US" w:eastAsia="zh-CN"/>
              </w:rPr>
            </w:pPr>
            <w:r>
              <w:rPr>
                <w:rFonts w:hint="eastAsia"/>
                <w:color w:val="auto"/>
                <w:lang w:val="en-US" w:eastAsia="zh-CN"/>
              </w:rPr>
              <w:t>P——道路表面粉尘量，kg/m</w:t>
            </w:r>
            <w:r>
              <w:rPr>
                <w:rFonts w:hint="eastAsia"/>
                <w:color w:val="auto"/>
                <w:vertAlign w:val="superscript"/>
                <w:lang w:val="en-US" w:eastAsia="zh-CN"/>
              </w:rPr>
              <w:t>2</w:t>
            </w:r>
            <w:r>
              <w:rPr>
                <w:rFonts w:hint="eastAsia"/>
                <w:color w:val="auto"/>
                <w:lang w:val="en-US" w:eastAsia="zh-CN"/>
              </w:rPr>
              <w:t>。</w:t>
            </w:r>
          </w:p>
          <w:p w14:paraId="4C7A9280">
            <w:pPr>
              <w:bidi w:val="0"/>
              <w:rPr>
                <w:rFonts w:hint="eastAsia"/>
                <w:color w:val="auto"/>
                <w:lang w:val="en-US" w:eastAsia="zh-CN"/>
              </w:rPr>
            </w:pPr>
            <w:r>
              <w:rPr>
                <w:rFonts w:hint="eastAsia"/>
                <w:color w:val="auto"/>
                <w:lang w:val="en-US" w:eastAsia="zh-CN"/>
              </w:rPr>
              <w:t>项目车辆在厂区行驶距离按200米计，每年发车空、重载各15500辆·次，由于道路扬尘只在晴天时路面干燥的情况下发生，根据衡阳市气象局发布的《2022衡阳气候概况》，全市年平均雨日为135.8天，占比37.21%，则引发道路扬尘的发车空、重载约为9733辆/a。空车重约10t，重载车重约40t。以行驶速度10km/h计，在不同路面清洁度情况下的扬尘量详见表2-11。</w:t>
            </w:r>
          </w:p>
          <w:p w14:paraId="3713774A">
            <w:pPr>
              <w:pStyle w:val="18"/>
              <w:bidi w:val="0"/>
              <w:rPr>
                <w:rFonts w:hint="eastAsia"/>
                <w:color w:val="auto"/>
                <w:lang w:val="en-US" w:eastAsia="zh-CN"/>
              </w:rPr>
            </w:pPr>
            <w:r>
              <w:rPr>
                <w:rFonts w:hint="eastAsia"/>
                <w:color w:val="auto"/>
                <w:lang w:val="en-US" w:eastAsia="zh-CN"/>
              </w:rPr>
              <w:t>表2-11 不同路面清洁程度情况下的扬尘量统计表（单位：kg/辆·次）</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1074"/>
              <w:gridCol w:w="1196"/>
              <w:gridCol w:w="1197"/>
              <w:gridCol w:w="1198"/>
              <w:gridCol w:w="1198"/>
              <w:gridCol w:w="1198"/>
            </w:tblGrid>
            <w:tr w14:paraId="33253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18"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D64A53C">
                  <w:pPr>
                    <w:pStyle w:val="17"/>
                    <w:snapToGrid w:val="0"/>
                    <w:jc w:val="center"/>
                    <w:rPr>
                      <w:rFonts w:hint="eastAsia"/>
                      <w:color w:val="auto"/>
                      <w:vertAlign w:val="baseline"/>
                      <w:lang w:val="en-US" w:eastAsia="zh-CN"/>
                    </w:rPr>
                  </w:pPr>
                </w:p>
                <w:p w14:paraId="0A6DF29C">
                  <w:pPr>
                    <w:pStyle w:val="17"/>
                    <w:snapToGrid w:val="0"/>
                    <w:jc w:val="center"/>
                    <mc:AlternateContent>
                      <mc:Choice Requires="wpsCustomData">
                        <wpsCustomData:diagonalParaType/>
                      </mc:Choice>
                    </mc:AlternateContent>
                    <w:rPr>
                      <w:rFonts w:hint="default"/>
                      <w:color w:val="auto"/>
                      <w:vertAlign w:val="baseline"/>
                      <w:lang w:val="en-US" w:eastAsia="zh-CN"/>
                    </w:rPr>
                  </w:pPr>
                  <w:r>
                    <w:rPr>
                      <w:rFonts w:hint="eastAsia"/>
                      <w:color w:val="auto"/>
                      <w:vertAlign w:val="baseline"/>
                      <w:lang w:val="en-US" w:eastAsia="zh-CN"/>
                    </w:rPr>
                    <w:t>车况</w:t>
                  </w:r>
                </w:p>
                <w:p w14:paraId="530610BD">
                  <w:pPr>
                    <w:pStyle w:val="17"/>
                    <w:jc w:val="center"/>
                    <w:rPr>
                      <w:rFonts w:hint="default"/>
                      <w:color w:val="auto"/>
                      <w:vertAlign w:val="baseline"/>
                      <w:lang w:val="en-US" w:eastAsia="zh-CN"/>
                    </w:rPr>
                  </w:pPr>
                  <w:r>
                    <w:rPr>
                      <w:rFonts w:hint="eastAsia"/>
                      <w:color w:val="auto"/>
                      <w:vertAlign w:val="baseline"/>
                      <w:lang w:val="en-US" w:eastAsia="zh-CN"/>
                    </w:rPr>
                    <w:t>路况</w:t>
                  </w:r>
                </w:p>
              </w:tc>
              <w:tc>
                <w:tcPr>
                  <w:tcW w:w="1074" w:type="dxa"/>
                  <w:vAlign w:val="center"/>
                </w:tcPr>
                <w:p w14:paraId="6367DBDC">
                  <w:pPr>
                    <w:pStyle w:val="17"/>
                    <w:jc w:val="center"/>
                    <w:rPr>
                      <w:rFonts w:hint="default"/>
                      <w:color w:val="auto"/>
                      <w:vertAlign w:val="baseline"/>
                      <w:lang w:val="en-US" w:eastAsia="zh-CN"/>
                    </w:rPr>
                  </w:pPr>
                  <w:r>
                    <w:rPr>
                      <w:rFonts w:hint="eastAsia"/>
                      <w:color w:val="auto"/>
                      <w:vertAlign w:val="baseline"/>
                      <w:lang w:val="en-US" w:eastAsia="zh-CN"/>
                    </w:rPr>
                    <w:t>0.1kg/m</w:t>
                  </w:r>
                  <w:r>
                    <w:rPr>
                      <w:rFonts w:hint="eastAsia"/>
                      <w:color w:val="auto"/>
                      <w:vertAlign w:val="superscript"/>
                      <w:lang w:val="en-US" w:eastAsia="zh-CN"/>
                    </w:rPr>
                    <w:t>2</w:t>
                  </w:r>
                </w:p>
              </w:tc>
              <w:tc>
                <w:tcPr>
                  <w:tcW w:w="1196" w:type="dxa"/>
                  <w:vAlign w:val="center"/>
                </w:tcPr>
                <w:p w14:paraId="0EEE13A9">
                  <w:pPr>
                    <w:pStyle w:val="17"/>
                    <w:jc w:val="center"/>
                    <w:rPr>
                      <w:rFonts w:hint="default"/>
                      <w:color w:val="auto"/>
                      <w:vertAlign w:val="baseline"/>
                      <w:lang w:val="en-US" w:eastAsia="zh-CN"/>
                    </w:rPr>
                  </w:pPr>
                  <w:r>
                    <w:rPr>
                      <w:rFonts w:hint="eastAsia"/>
                      <w:color w:val="auto"/>
                      <w:vertAlign w:val="baseline"/>
                      <w:lang w:val="en-US" w:eastAsia="zh-CN"/>
                    </w:rPr>
                    <w:t>0.2kg/m</w:t>
                  </w:r>
                  <w:r>
                    <w:rPr>
                      <w:rFonts w:hint="eastAsia"/>
                      <w:color w:val="auto"/>
                      <w:vertAlign w:val="superscript"/>
                      <w:lang w:val="en-US" w:eastAsia="zh-CN"/>
                    </w:rPr>
                    <w:t>2</w:t>
                  </w:r>
                </w:p>
              </w:tc>
              <w:tc>
                <w:tcPr>
                  <w:tcW w:w="1197" w:type="dxa"/>
                  <w:vAlign w:val="center"/>
                </w:tcPr>
                <w:p w14:paraId="48CCD3F6">
                  <w:pPr>
                    <w:pStyle w:val="17"/>
                    <w:jc w:val="center"/>
                    <w:rPr>
                      <w:rFonts w:hint="default"/>
                      <w:color w:val="auto"/>
                      <w:vertAlign w:val="baseline"/>
                      <w:lang w:val="en-US" w:eastAsia="zh-CN"/>
                    </w:rPr>
                  </w:pPr>
                  <w:r>
                    <w:rPr>
                      <w:rFonts w:hint="eastAsia"/>
                      <w:color w:val="auto"/>
                      <w:vertAlign w:val="baseline"/>
                      <w:lang w:val="en-US" w:eastAsia="zh-CN"/>
                    </w:rPr>
                    <w:t>0.3kg/m</w:t>
                  </w:r>
                  <w:r>
                    <w:rPr>
                      <w:rFonts w:hint="eastAsia"/>
                      <w:color w:val="auto"/>
                      <w:vertAlign w:val="superscript"/>
                      <w:lang w:val="en-US" w:eastAsia="zh-CN"/>
                    </w:rPr>
                    <w:t>2</w:t>
                  </w:r>
                </w:p>
              </w:tc>
              <w:tc>
                <w:tcPr>
                  <w:tcW w:w="1198" w:type="dxa"/>
                  <w:vAlign w:val="center"/>
                </w:tcPr>
                <w:p w14:paraId="3002F57F">
                  <w:pPr>
                    <w:pStyle w:val="17"/>
                    <w:jc w:val="center"/>
                    <w:rPr>
                      <w:rFonts w:hint="default"/>
                      <w:color w:val="auto"/>
                      <w:vertAlign w:val="baseline"/>
                      <w:lang w:val="en-US" w:eastAsia="zh-CN"/>
                    </w:rPr>
                  </w:pPr>
                  <w:r>
                    <w:rPr>
                      <w:rFonts w:hint="eastAsia"/>
                      <w:color w:val="auto"/>
                      <w:vertAlign w:val="baseline"/>
                      <w:lang w:val="en-US" w:eastAsia="zh-CN"/>
                    </w:rPr>
                    <w:t>0.4kg/m</w:t>
                  </w:r>
                  <w:r>
                    <w:rPr>
                      <w:rFonts w:hint="eastAsia"/>
                      <w:color w:val="auto"/>
                      <w:vertAlign w:val="superscript"/>
                      <w:lang w:val="en-US" w:eastAsia="zh-CN"/>
                    </w:rPr>
                    <w:t>2</w:t>
                  </w:r>
                </w:p>
              </w:tc>
              <w:tc>
                <w:tcPr>
                  <w:tcW w:w="1198" w:type="dxa"/>
                  <w:vAlign w:val="center"/>
                </w:tcPr>
                <w:p w14:paraId="0C25DB26">
                  <w:pPr>
                    <w:pStyle w:val="17"/>
                    <w:jc w:val="center"/>
                    <w:rPr>
                      <w:rFonts w:hint="default"/>
                      <w:color w:val="auto"/>
                      <w:vertAlign w:val="baseline"/>
                      <w:lang w:val="en-US" w:eastAsia="zh-CN"/>
                    </w:rPr>
                  </w:pPr>
                  <w:r>
                    <w:rPr>
                      <w:rFonts w:hint="eastAsia"/>
                      <w:color w:val="auto"/>
                      <w:vertAlign w:val="baseline"/>
                      <w:lang w:val="en-US" w:eastAsia="zh-CN"/>
                    </w:rPr>
                    <w:t>0.5kg/m</w:t>
                  </w:r>
                  <w:r>
                    <w:rPr>
                      <w:rFonts w:hint="eastAsia"/>
                      <w:color w:val="auto"/>
                      <w:vertAlign w:val="superscript"/>
                      <w:lang w:val="en-US" w:eastAsia="zh-CN"/>
                    </w:rPr>
                    <w:t>2</w:t>
                  </w:r>
                </w:p>
              </w:tc>
              <w:tc>
                <w:tcPr>
                  <w:tcW w:w="1198" w:type="dxa"/>
                  <w:vAlign w:val="center"/>
                </w:tcPr>
                <w:p w14:paraId="1345F7A1">
                  <w:pPr>
                    <w:pStyle w:val="17"/>
                    <w:jc w:val="center"/>
                    <w:rPr>
                      <w:rFonts w:hint="default"/>
                      <w:color w:val="auto"/>
                      <w:vertAlign w:val="baseline"/>
                      <w:lang w:val="en-US" w:eastAsia="zh-CN"/>
                    </w:rPr>
                  </w:pPr>
                  <w:r>
                    <w:rPr>
                      <w:rFonts w:hint="eastAsia"/>
                      <w:color w:val="auto"/>
                      <w:vertAlign w:val="baseline"/>
                      <w:lang w:val="en-US" w:eastAsia="zh-CN"/>
                    </w:rPr>
                    <w:t>1.0kg/m</w:t>
                  </w:r>
                  <w:r>
                    <w:rPr>
                      <w:rFonts w:hint="eastAsia"/>
                      <w:color w:val="auto"/>
                      <w:vertAlign w:val="superscript"/>
                      <w:lang w:val="en-US" w:eastAsia="zh-CN"/>
                    </w:rPr>
                    <w:t>2</w:t>
                  </w:r>
                </w:p>
              </w:tc>
            </w:tr>
            <w:tr w14:paraId="577A4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18" w:type="dxa"/>
                  <w:vAlign w:val="center"/>
                </w:tcPr>
                <w:p w14:paraId="52EBBB3C">
                  <w:pPr>
                    <w:pStyle w:val="17"/>
                    <w:jc w:val="center"/>
                    <w:rPr>
                      <w:rFonts w:hint="default"/>
                      <w:color w:val="auto"/>
                      <w:vertAlign w:val="baseline"/>
                      <w:lang w:val="en-US" w:eastAsia="zh-CN"/>
                    </w:rPr>
                  </w:pPr>
                  <w:r>
                    <w:rPr>
                      <w:rFonts w:hint="eastAsia"/>
                      <w:color w:val="auto"/>
                      <w:vertAlign w:val="baseline"/>
                      <w:lang w:val="en-US" w:eastAsia="zh-CN"/>
                    </w:rPr>
                    <w:t>空载车</w:t>
                  </w:r>
                </w:p>
              </w:tc>
              <w:tc>
                <w:tcPr>
                  <w:tcW w:w="1074" w:type="dxa"/>
                  <w:vAlign w:val="center"/>
                </w:tcPr>
                <w:p w14:paraId="5049E7F2">
                  <w:pPr>
                    <w:pStyle w:val="17"/>
                    <w:jc w:val="center"/>
                    <w:rPr>
                      <w:rFonts w:hint="default"/>
                      <w:color w:val="auto"/>
                      <w:vertAlign w:val="baseline"/>
                      <w:lang w:val="en-US" w:eastAsia="zh-CN"/>
                    </w:rPr>
                  </w:pPr>
                  <w:r>
                    <w:rPr>
                      <w:rFonts w:hint="eastAsia"/>
                      <w:color w:val="auto"/>
                      <w:vertAlign w:val="baseline"/>
                      <w:lang w:val="en-US" w:eastAsia="zh-CN"/>
                    </w:rPr>
                    <w:t>0.1021</w:t>
                  </w:r>
                </w:p>
              </w:tc>
              <w:tc>
                <w:tcPr>
                  <w:tcW w:w="1196" w:type="dxa"/>
                  <w:vAlign w:val="center"/>
                </w:tcPr>
                <w:p w14:paraId="5594E3DC">
                  <w:pPr>
                    <w:pStyle w:val="17"/>
                    <w:jc w:val="center"/>
                    <w:rPr>
                      <w:rFonts w:hint="default"/>
                      <w:color w:val="auto"/>
                      <w:vertAlign w:val="baseline"/>
                      <w:lang w:val="en-US" w:eastAsia="zh-CN"/>
                    </w:rPr>
                  </w:pPr>
                  <w:r>
                    <w:rPr>
                      <w:rFonts w:hint="eastAsia"/>
                      <w:color w:val="auto"/>
                      <w:vertAlign w:val="baseline"/>
                      <w:lang w:val="en-US" w:eastAsia="zh-CN"/>
                    </w:rPr>
                    <w:t>0.1717</w:t>
                  </w:r>
                </w:p>
              </w:tc>
              <w:tc>
                <w:tcPr>
                  <w:tcW w:w="1197" w:type="dxa"/>
                  <w:vAlign w:val="center"/>
                </w:tcPr>
                <w:p w14:paraId="6DC4C3CA">
                  <w:pPr>
                    <w:pStyle w:val="17"/>
                    <w:jc w:val="center"/>
                    <w:rPr>
                      <w:rFonts w:hint="default"/>
                      <w:color w:val="auto"/>
                      <w:vertAlign w:val="baseline"/>
                      <w:lang w:val="en-US" w:eastAsia="zh-CN"/>
                    </w:rPr>
                  </w:pPr>
                  <w:r>
                    <w:rPr>
                      <w:rFonts w:hint="eastAsia"/>
                      <w:color w:val="auto"/>
                      <w:vertAlign w:val="baseline"/>
                      <w:lang w:val="en-US" w:eastAsia="zh-CN"/>
                    </w:rPr>
                    <w:t>0.2328</w:t>
                  </w:r>
                </w:p>
              </w:tc>
              <w:tc>
                <w:tcPr>
                  <w:tcW w:w="1198" w:type="dxa"/>
                  <w:vAlign w:val="center"/>
                </w:tcPr>
                <w:p w14:paraId="56015767">
                  <w:pPr>
                    <w:pStyle w:val="17"/>
                    <w:jc w:val="center"/>
                    <w:rPr>
                      <w:rFonts w:hint="default"/>
                      <w:color w:val="auto"/>
                      <w:vertAlign w:val="baseline"/>
                      <w:lang w:val="en-US" w:eastAsia="zh-CN"/>
                    </w:rPr>
                  </w:pPr>
                  <w:r>
                    <w:rPr>
                      <w:rFonts w:hint="eastAsia"/>
                      <w:color w:val="auto"/>
                      <w:vertAlign w:val="baseline"/>
                      <w:lang w:val="en-US" w:eastAsia="zh-CN"/>
                    </w:rPr>
                    <w:t>0.2888</w:t>
                  </w:r>
                </w:p>
              </w:tc>
              <w:tc>
                <w:tcPr>
                  <w:tcW w:w="1198" w:type="dxa"/>
                  <w:vAlign w:val="center"/>
                </w:tcPr>
                <w:p w14:paraId="242F2072">
                  <w:pPr>
                    <w:pStyle w:val="17"/>
                    <w:jc w:val="center"/>
                    <w:rPr>
                      <w:rFonts w:hint="default"/>
                      <w:color w:val="auto"/>
                      <w:vertAlign w:val="baseline"/>
                      <w:lang w:val="en-US" w:eastAsia="zh-CN"/>
                    </w:rPr>
                  </w:pPr>
                  <w:r>
                    <w:rPr>
                      <w:rFonts w:hint="eastAsia"/>
                      <w:color w:val="auto"/>
                      <w:vertAlign w:val="baseline"/>
                      <w:lang w:val="en-US" w:eastAsia="zh-CN"/>
                    </w:rPr>
                    <w:t>0.3414</w:t>
                  </w:r>
                </w:p>
              </w:tc>
              <w:tc>
                <w:tcPr>
                  <w:tcW w:w="1198" w:type="dxa"/>
                  <w:vAlign w:val="center"/>
                </w:tcPr>
                <w:p w14:paraId="26CC472F">
                  <w:pPr>
                    <w:pStyle w:val="17"/>
                    <w:jc w:val="center"/>
                    <w:rPr>
                      <w:rFonts w:hint="default"/>
                      <w:color w:val="auto"/>
                      <w:vertAlign w:val="baseline"/>
                      <w:lang w:val="en-US" w:eastAsia="zh-CN"/>
                    </w:rPr>
                  </w:pPr>
                  <w:r>
                    <w:rPr>
                      <w:rFonts w:hint="eastAsia"/>
                      <w:color w:val="auto"/>
                      <w:vertAlign w:val="baseline"/>
                      <w:lang w:val="en-US" w:eastAsia="zh-CN"/>
                    </w:rPr>
                    <w:t>0.5742</w:t>
                  </w:r>
                </w:p>
              </w:tc>
            </w:tr>
            <w:tr w14:paraId="490CE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Align w:val="center"/>
                </w:tcPr>
                <w:p w14:paraId="060676E5">
                  <w:pPr>
                    <w:pStyle w:val="17"/>
                    <w:jc w:val="center"/>
                    <w:rPr>
                      <w:rFonts w:hint="default"/>
                      <w:color w:val="auto"/>
                      <w:vertAlign w:val="baseline"/>
                      <w:lang w:val="en-US" w:eastAsia="zh-CN"/>
                    </w:rPr>
                  </w:pPr>
                  <w:r>
                    <w:rPr>
                      <w:rFonts w:hint="eastAsia"/>
                      <w:color w:val="auto"/>
                      <w:vertAlign w:val="baseline"/>
                      <w:lang w:val="en-US" w:eastAsia="zh-CN"/>
                    </w:rPr>
                    <w:t>重载车</w:t>
                  </w:r>
                </w:p>
              </w:tc>
              <w:tc>
                <w:tcPr>
                  <w:tcW w:w="1074" w:type="dxa"/>
                  <w:vAlign w:val="center"/>
                </w:tcPr>
                <w:p w14:paraId="11BF9E6E">
                  <w:pPr>
                    <w:pStyle w:val="17"/>
                    <w:jc w:val="center"/>
                    <w:rPr>
                      <w:rFonts w:hint="default"/>
                      <w:color w:val="auto"/>
                      <w:vertAlign w:val="baseline"/>
                      <w:lang w:val="en-US" w:eastAsia="zh-CN"/>
                    </w:rPr>
                  </w:pPr>
                  <w:r>
                    <w:rPr>
                      <w:rFonts w:hint="eastAsia"/>
                      <w:color w:val="auto"/>
                      <w:vertAlign w:val="baseline"/>
                      <w:lang w:val="en-US" w:eastAsia="zh-CN"/>
                    </w:rPr>
                    <w:t>0.3318</w:t>
                  </w:r>
                </w:p>
              </w:tc>
              <w:tc>
                <w:tcPr>
                  <w:tcW w:w="1196" w:type="dxa"/>
                  <w:vAlign w:val="center"/>
                </w:tcPr>
                <w:p w14:paraId="4F3BB6AD">
                  <w:pPr>
                    <w:pStyle w:val="17"/>
                    <w:jc w:val="center"/>
                    <w:rPr>
                      <w:rFonts w:hint="default"/>
                      <w:color w:val="auto"/>
                      <w:vertAlign w:val="baseline"/>
                      <w:lang w:val="en-US" w:eastAsia="zh-CN"/>
                    </w:rPr>
                  </w:pPr>
                  <w:r>
                    <w:rPr>
                      <w:rFonts w:hint="eastAsia"/>
                      <w:color w:val="auto"/>
                      <w:vertAlign w:val="baseline"/>
                      <w:lang w:val="en-US" w:eastAsia="zh-CN"/>
                    </w:rPr>
                    <w:t>0.5580</w:t>
                  </w:r>
                </w:p>
              </w:tc>
              <w:tc>
                <w:tcPr>
                  <w:tcW w:w="1197" w:type="dxa"/>
                  <w:vAlign w:val="center"/>
                </w:tcPr>
                <w:p w14:paraId="2F373895">
                  <w:pPr>
                    <w:pStyle w:val="17"/>
                    <w:jc w:val="center"/>
                    <w:rPr>
                      <w:rFonts w:hint="default"/>
                      <w:color w:val="auto"/>
                      <w:vertAlign w:val="baseline"/>
                      <w:lang w:val="en-US" w:eastAsia="zh-CN"/>
                    </w:rPr>
                  </w:pPr>
                  <w:r>
                    <w:rPr>
                      <w:rFonts w:hint="eastAsia"/>
                      <w:color w:val="auto"/>
                      <w:vertAlign w:val="baseline"/>
                      <w:lang w:val="en-US" w:eastAsia="zh-CN"/>
                    </w:rPr>
                    <w:t>0.7563</w:t>
                  </w:r>
                </w:p>
              </w:tc>
              <w:tc>
                <w:tcPr>
                  <w:tcW w:w="1198" w:type="dxa"/>
                  <w:vAlign w:val="center"/>
                </w:tcPr>
                <w:p w14:paraId="303522B7">
                  <w:pPr>
                    <w:pStyle w:val="17"/>
                    <w:jc w:val="center"/>
                    <w:rPr>
                      <w:rFonts w:hint="default"/>
                      <w:color w:val="auto"/>
                      <w:vertAlign w:val="baseline"/>
                      <w:lang w:val="en-US" w:eastAsia="zh-CN"/>
                    </w:rPr>
                  </w:pPr>
                  <w:r>
                    <w:rPr>
                      <w:rFonts w:hint="eastAsia"/>
                      <w:color w:val="auto"/>
                      <w:vertAlign w:val="baseline"/>
                      <w:lang w:val="en-US" w:eastAsia="zh-CN"/>
                    </w:rPr>
                    <w:t>0.9384</w:t>
                  </w:r>
                </w:p>
              </w:tc>
              <w:tc>
                <w:tcPr>
                  <w:tcW w:w="1198" w:type="dxa"/>
                  <w:vAlign w:val="center"/>
                </w:tcPr>
                <w:p w14:paraId="0645D8EC">
                  <w:pPr>
                    <w:pStyle w:val="17"/>
                    <w:jc w:val="center"/>
                    <w:rPr>
                      <w:rFonts w:hint="default"/>
                      <w:color w:val="auto"/>
                      <w:vertAlign w:val="baseline"/>
                      <w:lang w:val="en-US" w:eastAsia="zh-CN"/>
                    </w:rPr>
                  </w:pPr>
                  <w:r>
                    <w:rPr>
                      <w:rFonts w:hint="eastAsia"/>
                      <w:color w:val="auto"/>
                      <w:vertAlign w:val="baseline"/>
                      <w:lang w:val="en-US" w:eastAsia="zh-CN"/>
                    </w:rPr>
                    <w:t>1.1093</w:t>
                  </w:r>
                </w:p>
              </w:tc>
              <w:tc>
                <w:tcPr>
                  <w:tcW w:w="1198" w:type="dxa"/>
                  <w:vAlign w:val="center"/>
                </w:tcPr>
                <w:p w14:paraId="48D162EC">
                  <w:pPr>
                    <w:pStyle w:val="17"/>
                    <w:jc w:val="center"/>
                    <w:rPr>
                      <w:rFonts w:hint="default"/>
                      <w:color w:val="auto"/>
                      <w:vertAlign w:val="baseline"/>
                      <w:lang w:val="en-US" w:eastAsia="zh-CN"/>
                    </w:rPr>
                  </w:pPr>
                  <w:r>
                    <w:rPr>
                      <w:rFonts w:hint="eastAsia"/>
                      <w:color w:val="auto"/>
                      <w:vertAlign w:val="baseline"/>
                      <w:lang w:val="en-US" w:eastAsia="zh-CN"/>
                    </w:rPr>
                    <w:t>1.8656</w:t>
                  </w:r>
                </w:p>
              </w:tc>
            </w:tr>
            <w:tr w14:paraId="50DD9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Align w:val="center"/>
                </w:tcPr>
                <w:p w14:paraId="775F8ECA">
                  <w:pPr>
                    <w:pStyle w:val="17"/>
                    <w:jc w:val="center"/>
                    <w:rPr>
                      <w:rFonts w:hint="default"/>
                      <w:color w:val="auto"/>
                      <w:vertAlign w:val="baseline"/>
                      <w:lang w:val="en-US" w:eastAsia="zh-CN"/>
                    </w:rPr>
                  </w:pPr>
                  <w:r>
                    <w:rPr>
                      <w:rFonts w:hint="eastAsia"/>
                      <w:color w:val="auto"/>
                      <w:vertAlign w:val="baseline"/>
                      <w:lang w:val="en-US" w:eastAsia="zh-CN"/>
                    </w:rPr>
                    <w:t>合计</w:t>
                  </w:r>
                </w:p>
              </w:tc>
              <w:tc>
                <w:tcPr>
                  <w:tcW w:w="1074" w:type="dxa"/>
                  <w:vAlign w:val="center"/>
                </w:tcPr>
                <w:p w14:paraId="313DC4F3">
                  <w:pPr>
                    <w:pStyle w:val="17"/>
                    <w:jc w:val="center"/>
                    <w:rPr>
                      <w:rFonts w:hint="default"/>
                      <w:color w:val="auto"/>
                      <w:vertAlign w:val="baseline"/>
                      <w:lang w:val="en-US" w:eastAsia="zh-CN"/>
                    </w:rPr>
                  </w:pPr>
                  <w:r>
                    <w:rPr>
                      <w:rFonts w:hint="eastAsia"/>
                      <w:color w:val="auto"/>
                      <w:vertAlign w:val="baseline"/>
                      <w:lang w:val="en-US" w:eastAsia="zh-CN"/>
                    </w:rPr>
                    <w:t>0.4339</w:t>
                  </w:r>
                </w:p>
              </w:tc>
              <w:tc>
                <w:tcPr>
                  <w:tcW w:w="1196" w:type="dxa"/>
                  <w:vAlign w:val="center"/>
                </w:tcPr>
                <w:p w14:paraId="487373F2">
                  <w:pPr>
                    <w:pStyle w:val="17"/>
                    <w:jc w:val="center"/>
                    <w:rPr>
                      <w:rFonts w:hint="default"/>
                      <w:color w:val="auto"/>
                      <w:vertAlign w:val="baseline"/>
                      <w:lang w:val="en-US" w:eastAsia="zh-CN"/>
                    </w:rPr>
                  </w:pPr>
                  <w:r>
                    <w:rPr>
                      <w:rFonts w:hint="eastAsia"/>
                      <w:color w:val="auto"/>
                      <w:vertAlign w:val="baseline"/>
                      <w:lang w:val="en-US" w:eastAsia="zh-CN"/>
                    </w:rPr>
                    <w:t>0.7297</w:t>
                  </w:r>
                </w:p>
              </w:tc>
              <w:tc>
                <w:tcPr>
                  <w:tcW w:w="1197" w:type="dxa"/>
                  <w:vAlign w:val="center"/>
                </w:tcPr>
                <w:p w14:paraId="4053A3D0">
                  <w:pPr>
                    <w:pStyle w:val="17"/>
                    <w:jc w:val="center"/>
                    <w:rPr>
                      <w:rFonts w:hint="default"/>
                      <w:color w:val="auto"/>
                      <w:vertAlign w:val="baseline"/>
                      <w:lang w:val="en-US" w:eastAsia="zh-CN"/>
                    </w:rPr>
                  </w:pPr>
                  <w:r>
                    <w:rPr>
                      <w:rFonts w:hint="eastAsia"/>
                      <w:color w:val="auto"/>
                      <w:vertAlign w:val="baseline"/>
                      <w:lang w:val="en-US" w:eastAsia="zh-CN"/>
                    </w:rPr>
                    <w:t>0.9890</w:t>
                  </w:r>
                </w:p>
              </w:tc>
              <w:tc>
                <w:tcPr>
                  <w:tcW w:w="1198" w:type="dxa"/>
                  <w:vAlign w:val="center"/>
                </w:tcPr>
                <w:p w14:paraId="552044BC">
                  <w:pPr>
                    <w:pStyle w:val="17"/>
                    <w:jc w:val="center"/>
                    <w:rPr>
                      <w:rFonts w:hint="default"/>
                      <w:color w:val="auto"/>
                      <w:vertAlign w:val="baseline"/>
                      <w:lang w:val="en-US" w:eastAsia="zh-CN"/>
                    </w:rPr>
                  </w:pPr>
                  <w:r>
                    <w:rPr>
                      <w:rFonts w:hint="eastAsia"/>
                      <w:color w:val="auto"/>
                      <w:vertAlign w:val="baseline"/>
                      <w:lang w:val="en-US" w:eastAsia="zh-CN"/>
                    </w:rPr>
                    <w:t>1.2272</w:t>
                  </w:r>
                </w:p>
              </w:tc>
              <w:tc>
                <w:tcPr>
                  <w:tcW w:w="1198" w:type="dxa"/>
                  <w:vAlign w:val="center"/>
                </w:tcPr>
                <w:p w14:paraId="0E0CAEA2">
                  <w:pPr>
                    <w:pStyle w:val="17"/>
                    <w:jc w:val="center"/>
                    <w:rPr>
                      <w:rFonts w:hint="default"/>
                      <w:color w:val="auto"/>
                      <w:vertAlign w:val="baseline"/>
                      <w:lang w:val="en-US" w:eastAsia="zh-CN"/>
                    </w:rPr>
                  </w:pPr>
                  <w:r>
                    <w:rPr>
                      <w:rFonts w:hint="eastAsia"/>
                      <w:color w:val="auto"/>
                      <w:vertAlign w:val="baseline"/>
                      <w:lang w:val="en-US" w:eastAsia="zh-CN"/>
                    </w:rPr>
                    <w:t>1.4507</w:t>
                  </w:r>
                </w:p>
              </w:tc>
              <w:tc>
                <w:tcPr>
                  <w:tcW w:w="1198" w:type="dxa"/>
                  <w:vAlign w:val="center"/>
                </w:tcPr>
                <w:p w14:paraId="1CFC4320">
                  <w:pPr>
                    <w:pStyle w:val="17"/>
                    <w:jc w:val="center"/>
                    <w:rPr>
                      <w:rFonts w:hint="default"/>
                      <w:color w:val="auto"/>
                      <w:vertAlign w:val="baseline"/>
                      <w:lang w:val="en-US" w:eastAsia="zh-CN"/>
                    </w:rPr>
                  </w:pPr>
                  <w:r>
                    <w:rPr>
                      <w:rFonts w:hint="eastAsia"/>
                      <w:color w:val="auto"/>
                      <w:vertAlign w:val="baseline"/>
                      <w:lang w:val="en-US" w:eastAsia="zh-CN"/>
                    </w:rPr>
                    <w:t>2.4398</w:t>
                  </w:r>
                </w:p>
              </w:tc>
            </w:tr>
          </w:tbl>
          <w:p w14:paraId="5F9EDA9A">
            <w:pPr>
              <w:bidi w:val="0"/>
              <w:rPr>
                <w:rFonts w:hint="eastAsia"/>
                <w:color w:val="auto"/>
                <w:vertAlign w:val="baseline"/>
                <w:lang w:val="en-US" w:eastAsia="zh-CN"/>
              </w:rPr>
            </w:pPr>
            <w:r>
              <w:rPr>
                <w:rFonts w:hint="eastAsia"/>
                <w:color w:val="auto"/>
                <w:lang w:val="en-US" w:eastAsia="zh-CN"/>
              </w:rPr>
              <w:t>由此可见，在同样车速情况下，路面越脏，则扬尘量越大。根据项目实际情况，项目对厂区内运输地面进行硬化、运输车辆篷布遮盖以及定期清洗车辆等措施。基于这种情况，本环评对道路路况以0.1</w:t>
            </w:r>
            <w:r>
              <w:rPr>
                <w:rFonts w:hint="eastAsia"/>
                <w:color w:val="auto"/>
                <w:vertAlign w:val="baseline"/>
                <w:lang w:val="en-US" w:eastAsia="zh-CN"/>
              </w:rPr>
              <w:t>kg/m</w:t>
            </w:r>
            <w:r>
              <w:rPr>
                <w:rFonts w:hint="eastAsia"/>
                <w:color w:val="auto"/>
                <w:vertAlign w:val="superscript"/>
                <w:lang w:val="en-US" w:eastAsia="zh-CN"/>
              </w:rPr>
              <w:t>2</w:t>
            </w:r>
            <w:r>
              <w:rPr>
                <w:rFonts w:hint="eastAsia"/>
                <w:color w:val="auto"/>
                <w:vertAlign w:val="baseline"/>
                <w:lang w:val="en-US" w:eastAsia="zh-CN"/>
              </w:rPr>
              <w:t>计，则项目汽车动力起尘量约为4.2231t/a。项目厂区运输道路及生产区地面全部硬化、厂区内限速、出入口设车辆清洗台、定时对厂区地面进行洒水抑尘、运输车辆篷布遮盖等，可抑尘80%，则扬尘排放量为0.8446t/a（0.221kg/h），无组织排放。</w:t>
            </w:r>
          </w:p>
          <w:p w14:paraId="4CA15A6B">
            <w:pPr>
              <w:bidi w:val="0"/>
              <w:rPr>
                <w:rFonts w:hint="default"/>
                <w:color w:val="auto"/>
                <w:vertAlign w:val="baseline"/>
                <w:lang w:val="en-US" w:eastAsia="zh-CN"/>
              </w:rPr>
            </w:pPr>
            <w:r>
              <w:rPr>
                <w:rFonts w:hint="eastAsia"/>
                <w:color w:val="auto"/>
                <w:vertAlign w:val="baseline"/>
                <w:lang w:val="en-US" w:eastAsia="zh-CN"/>
              </w:rPr>
              <w:t>（6）运输车辆尾气</w:t>
            </w:r>
          </w:p>
          <w:p w14:paraId="62ADC867">
            <w:pPr>
              <w:bidi w:val="0"/>
              <w:rPr>
                <w:rFonts w:hint="eastAsia"/>
                <w:color w:val="auto"/>
                <w:vertAlign w:val="baseline"/>
                <w:lang w:val="en-US" w:eastAsia="zh-CN"/>
              </w:rPr>
            </w:pPr>
            <w:r>
              <w:rPr>
                <w:rFonts w:hint="eastAsia"/>
                <w:color w:val="auto"/>
                <w:vertAlign w:val="baseline"/>
                <w:lang w:val="en-US" w:eastAsia="zh-CN"/>
              </w:rPr>
              <w:t>项目车辆产生尾气，其中主要含有CO、NO</w:t>
            </w:r>
            <w:r>
              <w:rPr>
                <w:rFonts w:hint="eastAsia"/>
                <w:color w:val="auto"/>
                <w:vertAlign w:val="subscript"/>
                <w:lang w:val="en-US" w:eastAsia="zh-CN"/>
              </w:rPr>
              <w:t>X</w:t>
            </w:r>
            <w:r>
              <w:rPr>
                <w:rFonts w:hint="eastAsia"/>
                <w:color w:val="auto"/>
                <w:vertAlign w:val="baseline"/>
                <w:lang w:val="en-US" w:eastAsia="zh-CN"/>
              </w:rPr>
              <w:t>、THC等污染物。这些废气排放局限于原料和产品运输沿线内，为非连续性的污染源，排放量较小，且运输路线、生产场地地势开阔，易于通风，对周围环境影响较小。</w:t>
            </w:r>
          </w:p>
          <w:p w14:paraId="23991688">
            <w:pPr>
              <w:bidi w:val="0"/>
              <w:rPr>
                <w:rFonts w:hint="eastAsia"/>
                <w:color w:val="auto"/>
                <w:vertAlign w:val="baseline"/>
                <w:lang w:val="en-US" w:eastAsia="zh-CN"/>
              </w:rPr>
            </w:pPr>
            <w:r>
              <w:rPr>
                <w:rFonts w:hint="eastAsia"/>
                <w:color w:val="auto"/>
                <w:vertAlign w:val="baseline"/>
                <w:lang w:val="en-US" w:eastAsia="zh-CN"/>
              </w:rPr>
              <w:t>综上所述，项目有组织废气和无组织废气产排情况详见表2-12、表2-13。</w:t>
            </w:r>
          </w:p>
          <w:p w14:paraId="398B6B2A">
            <w:pPr>
              <w:pStyle w:val="18"/>
              <w:bidi w:val="0"/>
              <w:rPr>
                <w:rFonts w:hint="default"/>
                <w:color w:val="auto"/>
                <w:lang w:val="en-US" w:eastAsia="zh-CN"/>
              </w:rPr>
            </w:pPr>
            <w:r>
              <w:rPr>
                <w:rFonts w:hint="eastAsia"/>
                <w:color w:val="auto"/>
                <w:lang w:val="en-US" w:eastAsia="zh-CN"/>
              </w:rPr>
              <w:t>表2-12 项目有组织废气产排情况一览表</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36"/>
              <w:gridCol w:w="448"/>
              <w:gridCol w:w="989"/>
              <w:gridCol w:w="728"/>
              <w:gridCol w:w="927"/>
              <w:gridCol w:w="724"/>
              <w:gridCol w:w="726"/>
              <w:gridCol w:w="701"/>
              <w:gridCol w:w="1034"/>
              <w:gridCol w:w="729"/>
              <w:gridCol w:w="938"/>
            </w:tblGrid>
            <w:tr w14:paraId="52B53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0" w:type="pct"/>
                  <w:vMerge w:val="restart"/>
                  <w:vAlign w:val="center"/>
                </w:tcPr>
                <w:p w14:paraId="026FF5EC">
                  <w:pPr>
                    <w:pStyle w:val="17"/>
                    <w:jc w:val="center"/>
                    <w:rPr>
                      <w:rFonts w:hint="default"/>
                      <w:color w:val="auto"/>
                      <w:vertAlign w:val="baseline"/>
                      <w:lang w:val="en-US" w:eastAsia="zh-CN"/>
                    </w:rPr>
                  </w:pPr>
                  <w:r>
                    <w:rPr>
                      <w:rFonts w:hint="eastAsia"/>
                      <w:color w:val="auto"/>
                      <w:vertAlign w:val="baseline"/>
                      <w:lang w:val="en-US" w:eastAsia="zh-CN"/>
                    </w:rPr>
                    <w:t>污染因子</w:t>
                  </w:r>
                </w:p>
              </w:tc>
              <w:tc>
                <w:tcPr>
                  <w:tcW w:w="267" w:type="pct"/>
                  <w:vMerge w:val="restart"/>
                  <w:vAlign w:val="center"/>
                </w:tcPr>
                <w:p w14:paraId="28352197">
                  <w:pPr>
                    <w:pStyle w:val="17"/>
                    <w:jc w:val="center"/>
                    <w:rPr>
                      <w:rFonts w:hint="default"/>
                      <w:color w:val="auto"/>
                      <w:vertAlign w:val="baseline"/>
                      <w:lang w:val="en-US" w:eastAsia="zh-CN"/>
                    </w:rPr>
                  </w:pPr>
                  <w:r>
                    <w:rPr>
                      <w:rFonts w:hint="eastAsia"/>
                      <w:color w:val="auto"/>
                      <w:vertAlign w:val="baseline"/>
                      <w:lang w:val="en-US" w:eastAsia="zh-CN"/>
                    </w:rPr>
                    <w:t>产污环节</w:t>
                  </w:r>
                </w:p>
              </w:tc>
              <w:tc>
                <w:tcPr>
                  <w:tcW w:w="1577" w:type="pct"/>
                  <w:gridSpan w:val="3"/>
                  <w:vAlign w:val="center"/>
                </w:tcPr>
                <w:p w14:paraId="16A739BD">
                  <w:pPr>
                    <w:pStyle w:val="17"/>
                    <w:jc w:val="center"/>
                    <w:rPr>
                      <w:rFonts w:hint="default"/>
                      <w:color w:val="auto"/>
                      <w:vertAlign w:val="baseline"/>
                      <w:lang w:val="en-US" w:eastAsia="zh-CN"/>
                    </w:rPr>
                  </w:pPr>
                  <w:r>
                    <w:rPr>
                      <w:rFonts w:hint="eastAsia"/>
                      <w:color w:val="auto"/>
                      <w:vertAlign w:val="baseline"/>
                      <w:lang w:val="en-US" w:eastAsia="zh-CN"/>
                    </w:rPr>
                    <w:t>产生情况</w:t>
                  </w:r>
                </w:p>
              </w:tc>
              <w:tc>
                <w:tcPr>
                  <w:tcW w:w="431" w:type="pct"/>
                  <w:vMerge w:val="restart"/>
                  <w:vAlign w:val="center"/>
                </w:tcPr>
                <w:p w14:paraId="26B08C76">
                  <w:pPr>
                    <w:pStyle w:val="17"/>
                    <w:jc w:val="center"/>
                    <w:rPr>
                      <w:rFonts w:hint="default"/>
                      <w:color w:val="auto"/>
                      <w:vertAlign w:val="baseline"/>
                      <w:lang w:val="en-US" w:eastAsia="zh-CN"/>
                    </w:rPr>
                  </w:pPr>
                  <w:r>
                    <w:rPr>
                      <w:rFonts w:hint="eastAsia"/>
                      <w:color w:val="auto"/>
                      <w:vertAlign w:val="baseline"/>
                      <w:lang w:val="en-US" w:eastAsia="zh-CN"/>
                    </w:rPr>
                    <w:t>收集效率（%）</w:t>
                  </w:r>
                </w:p>
              </w:tc>
              <w:tc>
                <w:tcPr>
                  <w:tcW w:w="433" w:type="pct"/>
                  <w:vMerge w:val="restart"/>
                  <w:vAlign w:val="center"/>
                </w:tcPr>
                <w:p w14:paraId="252A59EE">
                  <w:pPr>
                    <w:pStyle w:val="17"/>
                    <w:jc w:val="center"/>
                    <w:rPr>
                      <w:rFonts w:hint="default"/>
                      <w:color w:val="auto"/>
                      <w:vertAlign w:val="baseline"/>
                      <w:lang w:val="en-US" w:eastAsia="zh-CN"/>
                    </w:rPr>
                  </w:pPr>
                  <w:r>
                    <w:rPr>
                      <w:rFonts w:hint="eastAsia"/>
                      <w:color w:val="auto"/>
                      <w:vertAlign w:val="baseline"/>
                      <w:lang w:val="en-US" w:eastAsia="zh-CN"/>
                    </w:rPr>
                    <w:t>治理效率（%）</w:t>
                  </w:r>
                </w:p>
              </w:tc>
              <w:tc>
                <w:tcPr>
                  <w:tcW w:w="2029" w:type="pct"/>
                  <w:gridSpan w:val="4"/>
                  <w:vAlign w:val="center"/>
                </w:tcPr>
                <w:p w14:paraId="5734A939">
                  <w:pPr>
                    <w:pStyle w:val="17"/>
                    <w:jc w:val="center"/>
                    <w:rPr>
                      <w:rFonts w:hint="default"/>
                      <w:color w:val="auto"/>
                      <w:vertAlign w:val="baseline"/>
                      <w:lang w:val="en-US" w:eastAsia="zh-CN"/>
                    </w:rPr>
                  </w:pPr>
                  <w:r>
                    <w:rPr>
                      <w:rFonts w:hint="eastAsia"/>
                      <w:color w:val="auto"/>
                      <w:vertAlign w:val="baseline"/>
                      <w:lang w:val="en-US" w:eastAsia="zh-CN"/>
                    </w:rPr>
                    <w:t>排放情况</w:t>
                  </w:r>
                </w:p>
              </w:tc>
            </w:tr>
            <w:tr w14:paraId="776F7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0" w:type="pct"/>
                  <w:vMerge w:val="continue"/>
                  <w:vAlign w:val="center"/>
                </w:tcPr>
                <w:p w14:paraId="24495D74">
                  <w:pPr>
                    <w:pStyle w:val="17"/>
                    <w:jc w:val="center"/>
                    <w:rPr>
                      <w:rFonts w:hint="default"/>
                      <w:color w:val="auto"/>
                      <w:vertAlign w:val="baseline"/>
                      <w:lang w:val="en-US" w:eastAsia="zh-CN"/>
                    </w:rPr>
                  </w:pPr>
                </w:p>
              </w:tc>
              <w:tc>
                <w:tcPr>
                  <w:tcW w:w="267" w:type="pct"/>
                  <w:vMerge w:val="continue"/>
                  <w:vAlign w:val="center"/>
                </w:tcPr>
                <w:p w14:paraId="4E653541">
                  <w:pPr>
                    <w:pStyle w:val="17"/>
                    <w:jc w:val="center"/>
                    <w:rPr>
                      <w:rFonts w:hint="default"/>
                      <w:color w:val="auto"/>
                      <w:vertAlign w:val="baseline"/>
                      <w:lang w:val="en-US" w:eastAsia="zh-CN"/>
                    </w:rPr>
                  </w:pPr>
                </w:p>
              </w:tc>
              <w:tc>
                <w:tcPr>
                  <w:tcW w:w="590" w:type="pct"/>
                  <w:vAlign w:val="center"/>
                </w:tcPr>
                <w:p w14:paraId="64BE54BB">
                  <w:pPr>
                    <w:pStyle w:val="17"/>
                    <w:jc w:val="center"/>
                    <w:rPr>
                      <w:rFonts w:hint="default"/>
                      <w:color w:val="auto"/>
                      <w:vertAlign w:val="baseline"/>
                      <w:lang w:val="en-US" w:eastAsia="zh-CN"/>
                    </w:rPr>
                  </w:pPr>
                  <w:r>
                    <w:rPr>
                      <w:rFonts w:hint="eastAsia"/>
                      <w:color w:val="auto"/>
                      <w:vertAlign w:val="baseline"/>
                      <w:lang w:val="en-US" w:eastAsia="zh-CN"/>
                    </w:rPr>
                    <w:t>产生浓度（mg/m</w:t>
                  </w:r>
                  <w:r>
                    <w:rPr>
                      <w:rFonts w:hint="eastAsia"/>
                      <w:color w:val="auto"/>
                      <w:vertAlign w:val="superscript"/>
                      <w:lang w:val="en-US" w:eastAsia="zh-CN"/>
                    </w:rPr>
                    <w:t>3</w:t>
                  </w:r>
                  <w:r>
                    <w:rPr>
                      <w:rFonts w:hint="eastAsia"/>
                      <w:color w:val="auto"/>
                      <w:vertAlign w:val="baseline"/>
                      <w:lang w:val="en-US" w:eastAsia="zh-CN"/>
                    </w:rPr>
                    <w:t>）</w:t>
                  </w:r>
                </w:p>
              </w:tc>
              <w:tc>
                <w:tcPr>
                  <w:tcW w:w="434" w:type="pct"/>
                  <w:vAlign w:val="center"/>
                </w:tcPr>
                <w:p w14:paraId="12BBD979">
                  <w:pPr>
                    <w:pStyle w:val="17"/>
                    <w:jc w:val="center"/>
                    <w:rPr>
                      <w:rFonts w:hint="default"/>
                      <w:color w:val="auto"/>
                      <w:vertAlign w:val="baseline"/>
                      <w:lang w:val="en-US" w:eastAsia="zh-CN"/>
                    </w:rPr>
                  </w:pPr>
                  <w:r>
                    <w:rPr>
                      <w:rFonts w:hint="eastAsia"/>
                      <w:color w:val="auto"/>
                      <w:vertAlign w:val="baseline"/>
                      <w:lang w:val="en-US" w:eastAsia="zh-CN"/>
                    </w:rPr>
                    <w:t>产生量（t/a）</w:t>
                  </w:r>
                </w:p>
              </w:tc>
              <w:tc>
                <w:tcPr>
                  <w:tcW w:w="553" w:type="pct"/>
                  <w:vAlign w:val="center"/>
                </w:tcPr>
                <w:p w14:paraId="02E84228">
                  <w:pPr>
                    <w:pStyle w:val="17"/>
                    <w:jc w:val="center"/>
                    <w:rPr>
                      <w:rFonts w:hint="default"/>
                      <w:color w:val="auto"/>
                      <w:vertAlign w:val="baseline"/>
                      <w:lang w:val="en-US" w:eastAsia="zh-CN"/>
                    </w:rPr>
                  </w:pPr>
                  <w:r>
                    <w:rPr>
                      <w:rFonts w:hint="eastAsia"/>
                      <w:color w:val="auto"/>
                      <w:vertAlign w:val="baseline"/>
                      <w:lang w:val="en-US" w:eastAsia="zh-CN"/>
                    </w:rPr>
                    <w:t>产生速率（kg/h）</w:t>
                  </w:r>
                </w:p>
              </w:tc>
              <w:tc>
                <w:tcPr>
                  <w:tcW w:w="431" w:type="pct"/>
                  <w:vMerge w:val="continue"/>
                  <w:vAlign w:val="center"/>
                </w:tcPr>
                <w:p w14:paraId="59466118">
                  <w:pPr>
                    <w:pStyle w:val="17"/>
                    <w:jc w:val="center"/>
                    <w:rPr>
                      <w:rFonts w:hint="eastAsia"/>
                      <w:color w:val="auto"/>
                      <w:vertAlign w:val="baseline"/>
                      <w:lang w:val="en-US" w:eastAsia="zh-CN"/>
                    </w:rPr>
                  </w:pPr>
                </w:p>
              </w:tc>
              <w:tc>
                <w:tcPr>
                  <w:tcW w:w="433" w:type="pct"/>
                  <w:vMerge w:val="continue"/>
                  <w:vAlign w:val="center"/>
                </w:tcPr>
                <w:p w14:paraId="58C57F25">
                  <w:pPr>
                    <w:pStyle w:val="17"/>
                    <w:jc w:val="center"/>
                    <w:rPr>
                      <w:rFonts w:hint="default"/>
                      <w:color w:val="auto"/>
                      <w:vertAlign w:val="baseline"/>
                      <w:lang w:val="en-US" w:eastAsia="zh-CN"/>
                    </w:rPr>
                  </w:pPr>
                </w:p>
              </w:tc>
              <w:tc>
                <w:tcPr>
                  <w:tcW w:w="418" w:type="pct"/>
                  <w:vAlign w:val="center"/>
                </w:tcPr>
                <w:p w14:paraId="3C871A0F">
                  <w:pPr>
                    <w:pStyle w:val="17"/>
                    <w:jc w:val="center"/>
                    <w:rPr>
                      <w:rFonts w:hint="default"/>
                      <w:color w:val="auto"/>
                      <w:vertAlign w:val="baseline"/>
                      <w:lang w:val="en-US" w:eastAsia="zh-CN"/>
                    </w:rPr>
                  </w:pPr>
                  <w:r>
                    <w:rPr>
                      <w:rFonts w:hint="eastAsia"/>
                      <w:color w:val="auto"/>
                      <w:vertAlign w:val="baseline"/>
                      <w:lang w:val="en-US" w:eastAsia="zh-CN"/>
                    </w:rPr>
                    <w:t>排气筒</w:t>
                  </w:r>
                </w:p>
              </w:tc>
              <w:tc>
                <w:tcPr>
                  <w:tcW w:w="616" w:type="pct"/>
                  <w:vAlign w:val="center"/>
                </w:tcPr>
                <w:p w14:paraId="1655F087">
                  <w:pPr>
                    <w:pStyle w:val="17"/>
                    <w:jc w:val="center"/>
                    <w:rPr>
                      <w:rFonts w:hint="default"/>
                      <w:color w:val="auto"/>
                      <w:vertAlign w:val="baseline"/>
                      <w:lang w:val="en-US" w:eastAsia="zh-CN"/>
                    </w:rPr>
                  </w:pPr>
                  <w:r>
                    <w:rPr>
                      <w:rFonts w:hint="eastAsia"/>
                      <w:color w:val="auto"/>
                      <w:vertAlign w:val="baseline"/>
                      <w:lang w:val="en-US" w:eastAsia="zh-CN"/>
                    </w:rPr>
                    <w:t>排放浓度（mg/m</w:t>
                  </w:r>
                  <w:r>
                    <w:rPr>
                      <w:rFonts w:hint="eastAsia"/>
                      <w:color w:val="auto"/>
                      <w:vertAlign w:val="superscript"/>
                      <w:lang w:val="en-US" w:eastAsia="zh-CN"/>
                    </w:rPr>
                    <w:t>3</w:t>
                  </w:r>
                  <w:r>
                    <w:rPr>
                      <w:rFonts w:hint="eastAsia"/>
                      <w:color w:val="auto"/>
                      <w:vertAlign w:val="baseline"/>
                      <w:lang w:val="en-US" w:eastAsia="zh-CN"/>
                    </w:rPr>
                    <w:t>）</w:t>
                  </w:r>
                </w:p>
              </w:tc>
              <w:tc>
                <w:tcPr>
                  <w:tcW w:w="434" w:type="pct"/>
                  <w:vAlign w:val="center"/>
                </w:tcPr>
                <w:p w14:paraId="39C34BED">
                  <w:pPr>
                    <w:pStyle w:val="17"/>
                    <w:jc w:val="center"/>
                    <w:rPr>
                      <w:rFonts w:hint="default"/>
                      <w:color w:val="auto"/>
                      <w:vertAlign w:val="baseline"/>
                      <w:lang w:val="en-US" w:eastAsia="zh-CN"/>
                    </w:rPr>
                  </w:pPr>
                  <w:r>
                    <w:rPr>
                      <w:rFonts w:hint="eastAsia"/>
                      <w:color w:val="auto"/>
                      <w:vertAlign w:val="baseline"/>
                      <w:lang w:val="en-US" w:eastAsia="zh-CN"/>
                    </w:rPr>
                    <w:t>排放量（t/a）</w:t>
                  </w:r>
                </w:p>
              </w:tc>
              <w:tc>
                <w:tcPr>
                  <w:tcW w:w="559" w:type="pct"/>
                  <w:vAlign w:val="center"/>
                </w:tcPr>
                <w:p w14:paraId="145284D0">
                  <w:pPr>
                    <w:pStyle w:val="17"/>
                    <w:jc w:val="center"/>
                    <w:rPr>
                      <w:rFonts w:hint="default"/>
                      <w:color w:val="auto"/>
                      <w:vertAlign w:val="baseline"/>
                      <w:lang w:val="en-US" w:eastAsia="zh-CN"/>
                    </w:rPr>
                  </w:pPr>
                  <w:r>
                    <w:rPr>
                      <w:rFonts w:hint="eastAsia"/>
                      <w:color w:val="auto"/>
                      <w:vertAlign w:val="baseline"/>
                      <w:lang w:val="en-US" w:eastAsia="zh-CN"/>
                    </w:rPr>
                    <w:t>排放速率（kg/h）</w:t>
                  </w:r>
                </w:p>
              </w:tc>
            </w:tr>
            <w:tr w14:paraId="022A5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260" w:type="pct"/>
                  <w:vMerge w:val="restart"/>
                  <w:vAlign w:val="center"/>
                </w:tcPr>
                <w:p w14:paraId="383042D1">
                  <w:pPr>
                    <w:pStyle w:val="17"/>
                    <w:jc w:val="center"/>
                    <w:rPr>
                      <w:rFonts w:hint="default"/>
                      <w:color w:val="auto"/>
                      <w:vertAlign w:val="baseline"/>
                      <w:lang w:val="en-US" w:eastAsia="zh-CN"/>
                    </w:rPr>
                  </w:pPr>
                  <w:r>
                    <w:rPr>
                      <w:rFonts w:hint="eastAsia"/>
                      <w:color w:val="auto"/>
                      <w:vertAlign w:val="baseline"/>
                      <w:lang w:val="en-US" w:eastAsia="zh-CN"/>
                    </w:rPr>
                    <w:t>TSP</w:t>
                  </w:r>
                </w:p>
              </w:tc>
              <w:tc>
                <w:tcPr>
                  <w:tcW w:w="267" w:type="pct"/>
                  <w:vMerge w:val="restart"/>
                  <w:vAlign w:val="center"/>
                </w:tcPr>
                <w:p w14:paraId="18CA8A14">
                  <w:pPr>
                    <w:pStyle w:val="17"/>
                    <w:jc w:val="center"/>
                    <w:rPr>
                      <w:rFonts w:hint="default"/>
                      <w:color w:val="auto"/>
                      <w:vertAlign w:val="baseline"/>
                      <w:lang w:val="en-US" w:eastAsia="zh-CN"/>
                    </w:rPr>
                  </w:pPr>
                  <w:r>
                    <w:rPr>
                      <w:rFonts w:hint="eastAsia"/>
                      <w:color w:val="auto"/>
                      <w:vertAlign w:val="baseline"/>
                      <w:lang w:val="en-US" w:eastAsia="zh-CN"/>
                    </w:rPr>
                    <w:t>二级破碎筛分</w:t>
                  </w:r>
                </w:p>
              </w:tc>
              <w:tc>
                <w:tcPr>
                  <w:tcW w:w="590" w:type="pct"/>
                  <w:vMerge w:val="restart"/>
                  <w:vAlign w:val="center"/>
                </w:tcPr>
                <w:p w14:paraId="3B9CCA70">
                  <w:pPr>
                    <w:pStyle w:val="17"/>
                    <w:jc w:val="center"/>
                    <w:rPr>
                      <w:rFonts w:hint="default"/>
                      <w:color w:val="auto"/>
                      <w:vertAlign w:val="baseline"/>
                      <w:lang w:val="en-US" w:eastAsia="zh-CN"/>
                    </w:rPr>
                  </w:pPr>
                  <w:r>
                    <w:rPr>
                      <w:rFonts w:hint="eastAsia"/>
                      <w:color w:val="auto"/>
                      <w:vertAlign w:val="baseline"/>
                      <w:lang w:val="en-US" w:eastAsia="zh-CN"/>
                    </w:rPr>
                    <w:t>11250</w:t>
                  </w:r>
                </w:p>
              </w:tc>
              <w:tc>
                <w:tcPr>
                  <w:tcW w:w="434" w:type="pct"/>
                  <w:vMerge w:val="restart"/>
                  <w:vAlign w:val="center"/>
                </w:tcPr>
                <w:p w14:paraId="0F835CD0">
                  <w:pPr>
                    <w:pStyle w:val="17"/>
                    <w:jc w:val="center"/>
                    <w:rPr>
                      <w:rFonts w:hint="default"/>
                      <w:color w:val="auto"/>
                      <w:vertAlign w:val="baseline"/>
                      <w:lang w:val="en-US" w:eastAsia="zh-CN"/>
                    </w:rPr>
                  </w:pPr>
                  <w:r>
                    <w:rPr>
                      <w:rFonts w:hint="eastAsia"/>
                      <w:color w:val="auto"/>
                      <w:vertAlign w:val="baseline"/>
                      <w:lang w:val="en-US" w:eastAsia="zh-CN"/>
                    </w:rPr>
                    <w:t>180</w:t>
                  </w:r>
                </w:p>
              </w:tc>
              <w:tc>
                <w:tcPr>
                  <w:tcW w:w="553" w:type="pct"/>
                  <w:vMerge w:val="restart"/>
                  <w:vAlign w:val="center"/>
                </w:tcPr>
                <w:p w14:paraId="5934EE6E">
                  <w:pPr>
                    <w:pStyle w:val="17"/>
                    <w:jc w:val="center"/>
                    <w:rPr>
                      <w:rFonts w:hint="default"/>
                      <w:color w:val="auto"/>
                      <w:vertAlign w:val="baseline"/>
                      <w:lang w:val="en-US" w:eastAsia="zh-CN"/>
                    </w:rPr>
                  </w:pPr>
                  <w:r>
                    <w:rPr>
                      <w:rFonts w:hint="eastAsia"/>
                      <w:color w:val="auto"/>
                      <w:vertAlign w:val="baseline"/>
                      <w:lang w:val="en-US" w:eastAsia="zh-CN"/>
                    </w:rPr>
                    <w:t>75</w:t>
                  </w:r>
                </w:p>
              </w:tc>
              <w:tc>
                <w:tcPr>
                  <w:tcW w:w="431" w:type="pct"/>
                  <w:vMerge w:val="restart"/>
                  <w:vAlign w:val="center"/>
                </w:tcPr>
                <w:p w14:paraId="2B926605">
                  <w:pPr>
                    <w:pStyle w:val="17"/>
                    <w:jc w:val="center"/>
                    <w:rPr>
                      <w:rFonts w:hint="default"/>
                      <w:color w:val="auto"/>
                      <w:vertAlign w:val="baseline"/>
                      <w:lang w:val="en-US" w:eastAsia="zh-CN"/>
                    </w:rPr>
                  </w:pPr>
                  <w:r>
                    <w:rPr>
                      <w:rFonts w:hint="eastAsia"/>
                      <w:color w:val="auto"/>
                      <w:vertAlign w:val="baseline"/>
                      <w:lang w:val="en-US" w:eastAsia="zh-CN"/>
                    </w:rPr>
                    <w:t>90</w:t>
                  </w:r>
                </w:p>
              </w:tc>
              <w:tc>
                <w:tcPr>
                  <w:tcW w:w="433" w:type="pct"/>
                  <w:vAlign w:val="center"/>
                </w:tcPr>
                <w:p w14:paraId="34AACD35">
                  <w:pPr>
                    <w:pStyle w:val="17"/>
                    <w:jc w:val="center"/>
                    <w:rPr>
                      <w:rFonts w:hint="default"/>
                      <w:color w:val="auto"/>
                      <w:vertAlign w:val="baseline"/>
                      <w:lang w:val="en-US" w:eastAsia="zh-CN"/>
                    </w:rPr>
                  </w:pPr>
                  <w:r>
                    <w:rPr>
                      <w:rFonts w:hint="eastAsia"/>
                      <w:color w:val="auto"/>
                      <w:vertAlign w:val="baseline"/>
                      <w:lang w:val="en-US" w:eastAsia="zh-CN"/>
                    </w:rPr>
                    <w:t>99.65</w:t>
                  </w:r>
                </w:p>
              </w:tc>
              <w:tc>
                <w:tcPr>
                  <w:tcW w:w="418" w:type="pct"/>
                  <w:vAlign w:val="center"/>
                </w:tcPr>
                <w:p w14:paraId="23CA0691">
                  <w:pPr>
                    <w:pStyle w:val="17"/>
                    <w:jc w:val="center"/>
                    <w:rPr>
                      <w:rFonts w:hint="default"/>
                      <w:color w:val="auto"/>
                      <w:vertAlign w:val="baseline"/>
                      <w:lang w:val="en-US" w:eastAsia="zh-CN"/>
                    </w:rPr>
                  </w:pPr>
                  <w:r>
                    <w:rPr>
                      <w:rFonts w:hint="eastAsia"/>
                      <w:color w:val="auto"/>
                      <w:vertAlign w:val="baseline"/>
                      <w:lang w:val="en-US" w:eastAsia="zh-CN"/>
                    </w:rPr>
                    <w:t>DA001</w:t>
                  </w:r>
                </w:p>
              </w:tc>
              <w:tc>
                <w:tcPr>
                  <w:tcW w:w="616" w:type="pct"/>
                  <w:vAlign w:val="center"/>
                </w:tcPr>
                <w:p w14:paraId="6384608C">
                  <w:pPr>
                    <w:pStyle w:val="17"/>
                    <w:jc w:val="center"/>
                    <w:rPr>
                      <w:rFonts w:hint="default"/>
                      <w:color w:val="auto"/>
                      <w:vertAlign w:val="baseline"/>
                      <w:lang w:val="en-US" w:eastAsia="zh-CN"/>
                    </w:rPr>
                  </w:pPr>
                  <w:r>
                    <w:rPr>
                      <w:rFonts w:hint="eastAsia"/>
                      <w:color w:val="auto"/>
                      <w:vertAlign w:val="baseline"/>
                      <w:lang w:val="en-US" w:eastAsia="zh-CN"/>
                    </w:rPr>
                    <w:t>39.375</w:t>
                  </w:r>
                </w:p>
              </w:tc>
              <w:tc>
                <w:tcPr>
                  <w:tcW w:w="434" w:type="pct"/>
                  <w:vAlign w:val="center"/>
                </w:tcPr>
                <w:p w14:paraId="3D77A852">
                  <w:pPr>
                    <w:pStyle w:val="17"/>
                    <w:jc w:val="center"/>
                    <w:rPr>
                      <w:rFonts w:hint="default"/>
                      <w:color w:val="auto"/>
                      <w:vertAlign w:val="baseline"/>
                      <w:lang w:val="en-US" w:eastAsia="zh-CN"/>
                    </w:rPr>
                  </w:pPr>
                  <w:r>
                    <w:rPr>
                      <w:rFonts w:hint="eastAsia"/>
                      <w:color w:val="auto"/>
                      <w:vertAlign w:val="baseline"/>
                      <w:lang w:val="en-US" w:eastAsia="zh-CN"/>
                    </w:rPr>
                    <w:t>0.567</w:t>
                  </w:r>
                </w:p>
              </w:tc>
              <w:tc>
                <w:tcPr>
                  <w:tcW w:w="559" w:type="pct"/>
                  <w:vAlign w:val="center"/>
                </w:tcPr>
                <w:p w14:paraId="729CE782">
                  <w:pPr>
                    <w:pStyle w:val="17"/>
                    <w:jc w:val="center"/>
                    <w:rPr>
                      <w:rFonts w:hint="default"/>
                      <w:color w:val="auto"/>
                      <w:vertAlign w:val="baseline"/>
                      <w:lang w:val="en-US" w:eastAsia="zh-CN"/>
                    </w:rPr>
                  </w:pPr>
                  <w:r>
                    <w:rPr>
                      <w:rFonts w:hint="eastAsia"/>
                      <w:color w:val="auto"/>
                      <w:vertAlign w:val="baseline"/>
                      <w:lang w:val="en-US" w:eastAsia="zh-CN"/>
                    </w:rPr>
                    <w:t>0.2363</w:t>
                  </w:r>
                </w:p>
              </w:tc>
            </w:tr>
            <w:tr w14:paraId="334C6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0" w:type="pct"/>
                  <w:vMerge w:val="continue"/>
                  <w:vAlign w:val="center"/>
                </w:tcPr>
                <w:p w14:paraId="6D6CC994">
                  <w:pPr>
                    <w:pStyle w:val="17"/>
                    <w:jc w:val="center"/>
                    <w:rPr>
                      <w:rFonts w:hint="eastAsia"/>
                      <w:color w:val="auto"/>
                      <w:vertAlign w:val="baseline"/>
                      <w:lang w:val="en-US" w:eastAsia="zh-CN"/>
                    </w:rPr>
                  </w:pPr>
                </w:p>
              </w:tc>
              <w:tc>
                <w:tcPr>
                  <w:tcW w:w="267" w:type="pct"/>
                  <w:vMerge w:val="continue"/>
                  <w:vAlign w:val="center"/>
                </w:tcPr>
                <w:p w14:paraId="15DECF81">
                  <w:pPr>
                    <w:pStyle w:val="17"/>
                    <w:jc w:val="center"/>
                    <w:rPr>
                      <w:rFonts w:hint="eastAsia"/>
                      <w:color w:val="auto"/>
                      <w:vertAlign w:val="baseline"/>
                      <w:lang w:val="en-US" w:eastAsia="zh-CN"/>
                    </w:rPr>
                  </w:pPr>
                </w:p>
              </w:tc>
              <w:tc>
                <w:tcPr>
                  <w:tcW w:w="590" w:type="pct"/>
                  <w:vMerge w:val="continue"/>
                  <w:vAlign w:val="center"/>
                </w:tcPr>
                <w:p w14:paraId="20D3A923">
                  <w:pPr>
                    <w:pStyle w:val="17"/>
                    <w:jc w:val="center"/>
                    <w:rPr>
                      <w:rFonts w:hint="eastAsia"/>
                      <w:color w:val="auto"/>
                      <w:vertAlign w:val="baseline"/>
                      <w:lang w:val="en-US" w:eastAsia="zh-CN"/>
                    </w:rPr>
                  </w:pPr>
                </w:p>
              </w:tc>
              <w:tc>
                <w:tcPr>
                  <w:tcW w:w="434" w:type="pct"/>
                  <w:vMerge w:val="continue"/>
                  <w:vAlign w:val="center"/>
                </w:tcPr>
                <w:p w14:paraId="4C2735D1">
                  <w:pPr>
                    <w:pStyle w:val="17"/>
                    <w:jc w:val="center"/>
                    <w:rPr>
                      <w:rFonts w:hint="eastAsia"/>
                      <w:color w:val="auto"/>
                      <w:vertAlign w:val="baseline"/>
                      <w:lang w:val="en-US" w:eastAsia="zh-CN"/>
                    </w:rPr>
                  </w:pPr>
                </w:p>
              </w:tc>
              <w:tc>
                <w:tcPr>
                  <w:tcW w:w="553" w:type="pct"/>
                  <w:vMerge w:val="continue"/>
                  <w:vAlign w:val="center"/>
                </w:tcPr>
                <w:p w14:paraId="7C021407">
                  <w:pPr>
                    <w:pStyle w:val="17"/>
                    <w:jc w:val="center"/>
                    <w:rPr>
                      <w:rFonts w:hint="eastAsia"/>
                      <w:color w:val="auto"/>
                      <w:vertAlign w:val="baseline"/>
                      <w:lang w:val="en-US" w:eastAsia="zh-CN"/>
                    </w:rPr>
                  </w:pPr>
                </w:p>
              </w:tc>
              <w:tc>
                <w:tcPr>
                  <w:tcW w:w="431" w:type="pct"/>
                  <w:vMerge w:val="continue"/>
                  <w:vAlign w:val="center"/>
                </w:tcPr>
                <w:p w14:paraId="06B50B6A">
                  <w:pPr>
                    <w:pStyle w:val="17"/>
                    <w:jc w:val="center"/>
                    <w:rPr>
                      <w:rFonts w:hint="eastAsia"/>
                      <w:color w:val="auto"/>
                      <w:vertAlign w:val="baseline"/>
                      <w:lang w:val="en-US" w:eastAsia="zh-CN"/>
                    </w:rPr>
                  </w:pPr>
                </w:p>
              </w:tc>
              <w:tc>
                <w:tcPr>
                  <w:tcW w:w="433" w:type="pct"/>
                  <w:vAlign w:val="center"/>
                </w:tcPr>
                <w:p w14:paraId="5F1844EA">
                  <w:pPr>
                    <w:pStyle w:val="17"/>
                    <w:jc w:val="center"/>
                    <w:rPr>
                      <w:rFonts w:hint="default"/>
                      <w:color w:val="auto"/>
                      <w:vertAlign w:val="baseline"/>
                      <w:lang w:val="en-US" w:eastAsia="zh-CN"/>
                    </w:rPr>
                  </w:pPr>
                  <w:r>
                    <w:rPr>
                      <w:rFonts w:hint="eastAsia"/>
                      <w:color w:val="auto"/>
                      <w:vertAlign w:val="baseline"/>
                      <w:lang w:val="en-US" w:eastAsia="zh-CN"/>
                    </w:rPr>
                    <w:t>95</w:t>
                  </w:r>
                </w:p>
              </w:tc>
              <w:tc>
                <w:tcPr>
                  <w:tcW w:w="418" w:type="pct"/>
                  <w:vAlign w:val="center"/>
                </w:tcPr>
                <w:p w14:paraId="06CA1029">
                  <w:pPr>
                    <w:pStyle w:val="17"/>
                    <w:jc w:val="center"/>
                    <w:rPr>
                      <w:rFonts w:hint="default"/>
                      <w:color w:val="auto"/>
                      <w:vertAlign w:val="baseline"/>
                      <w:lang w:val="en-US" w:eastAsia="zh-CN"/>
                    </w:rPr>
                  </w:pPr>
                  <w:r>
                    <w:rPr>
                      <w:rFonts w:hint="eastAsia"/>
                      <w:color w:val="auto"/>
                      <w:vertAlign w:val="baseline"/>
                      <w:lang w:val="en-US" w:eastAsia="zh-CN"/>
                    </w:rPr>
                    <w:t>无组织</w:t>
                  </w:r>
                </w:p>
              </w:tc>
              <w:tc>
                <w:tcPr>
                  <w:tcW w:w="616" w:type="pct"/>
                  <w:vAlign w:val="center"/>
                </w:tcPr>
                <w:p w14:paraId="1CB2D95E">
                  <w:pPr>
                    <w:pStyle w:val="17"/>
                    <w:jc w:val="center"/>
                    <w:rPr>
                      <w:rFonts w:hint="default"/>
                      <w:color w:val="auto"/>
                      <w:vertAlign w:val="baseline"/>
                      <w:lang w:val="en-US" w:eastAsia="zh-CN"/>
                    </w:rPr>
                  </w:pPr>
                  <w:r>
                    <w:rPr>
                      <w:rFonts w:hint="eastAsia"/>
                      <w:color w:val="auto"/>
                      <w:vertAlign w:val="baseline"/>
                      <w:lang w:val="en-US" w:eastAsia="zh-CN"/>
                    </w:rPr>
                    <w:t>/</w:t>
                  </w:r>
                </w:p>
              </w:tc>
              <w:tc>
                <w:tcPr>
                  <w:tcW w:w="434" w:type="pct"/>
                  <w:vAlign w:val="center"/>
                </w:tcPr>
                <w:p w14:paraId="7A25E7FB">
                  <w:pPr>
                    <w:pStyle w:val="17"/>
                    <w:jc w:val="center"/>
                    <w:rPr>
                      <w:rFonts w:hint="default"/>
                      <w:color w:val="auto"/>
                      <w:vertAlign w:val="baseline"/>
                      <w:lang w:val="en-US" w:eastAsia="zh-CN"/>
                    </w:rPr>
                  </w:pPr>
                  <w:r>
                    <w:rPr>
                      <w:rFonts w:hint="eastAsia"/>
                      <w:color w:val="auto"/>
                      <w:vertAlign w:val="baseline"/>
                      <w:lang w:val="en-US" w:eastAsia="zh-CN"/>
                    </w:rPr>
                    <w:t>0.9</w:t>
                  </w:r>
                </w:p>
              </w:tc>
              <w:tc>
                <w:tcPr>
                  <w:tcW w:w="559" w:type="pct"/>
                  <w:vAlign w:val="center"/>
                </w:tcPr>
                <w:p w14:paraId="0E88620F">
                  <w:pPr>
                    <w:pStyle w:val="17"/>
                    <w:jc w:val="center"/>
                    <w:rPr>
                      <w:rFonts w:hint="default"/>
                      <w:color w:val="auto"/>
                      <w:vertAlign w:val="baseline"/>
                      <w:lang w:val="en-US" w:eastAsia="zh-CN"/>
                    </w:rPr>
                  </w:pPr>
                  <w:r>
                    <w:rPr>
                      <w:rFonts w:hint="eastAsia"/>
                      <w:color w:val="auto"/>
                      <w:vertAlign w:val="baseline"/>
                      <w:lang w:val="en-US" w:eastAsia="zh-CN"/>
                    </w:rPr>
                    <w:t>0.375</w:t>
                  </w:r>
                </w:p>
              </w:tc>
            </w:tr>
          </w:tbl>
          <w:p w14:paraId="22C5316D">
            <w:pPr>
              <w:pStyle w:val="18"/>
              <w:bidi w:val="0"/>
              <w:rPr>
                <w:rFonts w:hint="eastAsia"/>
                <w:color w:val="auto"/>
                <w:lang w:val="en-US" w:eastAsia="zh-CN"/>
              </w:rPr>
            </w:pPr>
            <w:r>
              <w:rPr>
                <w:rFonts w:hint="eastAsia"/>
                <w:color w:val="auto"/>
                <w:lang w:val="en-US" w:eastAsia="zh-CN"/>
              </w:rPr>
              <w:t>表2-13 项目无组织废气产排情况一览表</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1373"/>
              <w:gridCol w:w="1068"/>
              <w:gridCol w:w="1306"/>
              <w:gridCol w:w="1105"/>
              <w:gridCol w:w="1069"/>
              <w:gridCol w:w="1309"/>
            </w:tblGrid>
            <w:tr w14:paraId="0A336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686" w:type="pct"/>
                  <w:vMerge w:val="restart"/>
                  <w:vAlign w:val="center"/>
                </w:tcPr>
                <w:p w14:paraId="21662E6B">
                  <w:pPr>
                    <w:pStyle w:val="17"/>
                    <w:jc w:val="center"/>
                    <w:rPr>
                      <w:rFonts w:hint="default"/>
                      <w:color w:val="auto"/>
                      <w:vertAlign w:val="baseline"/>
                      <w:lang w:val="en-US" w:eastAsia="zh-CN"/>
                    </w:rPr>
                  </w:pPr>
                  <w:r>
                    <w:rPr>
                      <w:rFonts w:hint="eastAsia"/>
                      <w:color w:val="auto"/>
                      <w:vertAlign w:val="baseline"/>
                      <w:lang w:val="en-US" w:eastAsia="zh-CN"/>
                    </w:rPr>
                    <w:t>污染因子</w:t>
                  </w:r>
                </w:p>
              </w:tc>
              <w:tc>
                <w:tcPr>
                  <w:tcW w:w="819" w:type="pct"/>
                  <w:vMerge w:val="restart"/>
                  <w:vAlign w:val="center"/>
                </w:tcPr>
                <w:p w14:paraId="4E107E70">
                  <w:pPr>
                    <w:pStyle w:val="17"/>
                    <w:jc w:val="center"/>
                    <w:rPr>
                      <w:rFonts w:hint="default"/>
                      <w:color w:val="auto"/>
                      <w:vertAlign w:val="baseline"/>
                      <w:lang w:val="en-US" w:eastAsia="zh-CN"/>
                    </w:rPr>
                  </w:pPr>
                  <w:r>
                    <w:rPr>
                      <w:rFonts w:hint="eastAsia"/>
                      <w:color w:val="auto"/>
                      <w:vertAlign w:val="baseline"/>
                      <w:lang w:val="en-US" w:eastAsia="zh-CN"/>
                    </w:rPr>
                    <w:t>产污环节</w:t>
                  </w:r>
                </w:p>
              </w:tc>
              <w:tc>
                <w:tcPr>
                  <w:tcW w:w="1416" w:type="pct"/>
                  <w:gridSpan w:val="2"/>
                  <w:vAlign w:val="center"/>
                </w:tcPr>
                <w:p w14:paraId="0235CC78">
                  <w:pPr>
                    <w:pStyle w:val="17"/>
                    <w:jc w:val="center"/>
                    <w:rPr>
                      <w:rFonts w:hint="default"/>
                      <w:color w:val="auto"/>
                      <w:vertAlign w:val="baseline"/>
                      <w:lang w:val="en-US" w:eastAsia="zh-CN"/>
                    </w:rPr>
                  </w:pPr>
                  <w:r>
                    <w:rPr>
                      <w:rFonts w:hint="eastAsia"/>
                      <w:color w:val="auto"/>
                      <w:vertAlign w:val="baseline"/>
                      <w:lang w:val="en-US" w:eastAsia="zh-CN"/>
                    </w:rPr>
                    <w:t>产生情况</w:t>
                  </w:r>
                </w:p>
              </w:tc>
              <w:tc>
                <w:tcPr>
                  <w:tcW w:w="659" w:type="pct"/>
                  <w:vMerge w:val="restart"/>
                  <w:vAlign w:val="center"/>
                </w:tcPr>
                <w:p w14:paraId="6868415E">
                  <w:pPr>
                    <w:pStyle w:val="17"/>
                    <w:jc w:val="center"/>
                    <w:rPr>
                      <w:rFonts w:hint="default"/>
                      <w:color w:val="auto"/>
                      <w:vertAlign w:val="baseline"/>
                      <w:lang w:val="en-US" w:eastAsia="zh-CN"/>
                    </w:rPr>
                  </w:pPr>
                  <w:r>
                    <w:rPr>
                      <w:rFonts w:hint="eastAsia"/>
                      <w:color w:val="auto"/>
                      <w:vertAlign w:val="baseline"/>
                      <w:lang w:val="en-US" w:eastAsia="zh-CN"/>
                    </w:rPr>
                    <w:t>处理效率（%）</w:t>
                  </w:r>
                </w:p>
              </w:tc>
              <w:tc>
                <w:tcPr>
                  <w:tcW w:w="1418" w:type="pct"/>
                  <w:gridSpan w:val="2"/>
                  <w:vAlign w:val="center"/>
                </w:tcPr>
                <w:p w14:paraId="7F19F362">
                  <w:pPr>
                    <w:pStyle w:val="17"/>
                    <w:jc w:val="center"/>
                    <w:rPr>
                      <w:rFonts w:hint="default"/>
                      <w:color w:val="auto"/>
                      <w:vertAlign w:val="baseline"/>
                      <w:lang w:val="en-US" w:eastAsia="zh-CN"/>
                    </w:rPr>
                  </w:pPr>
                  <w:r>
                    <w:rPr>
                      <w:rFonts w:hint="eastAsia"/>
                      <w:color w:val="auto"/>
                      <w:vertAlign w:val="baseline"/>
                      <w:lang w:val="en-US" w:eastAsia="zh-CN"/>
                    </w:rPr>
                    <w:t>排放情况</w:t>
                  </w:r>
                </w:p>
              </w:tc>
            </w:tr>
            <w:tr w14:paraId="35A46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pct"/>
                  <w:vMerge w:val="continue"/>
                  <w:vAlign w:val="center"/>
                </w:tcPr>
                <w:p w14:paraId="22C05E5A">
                  <w:pPr>
                    <w:pStyle w:val="17"/>
                    <w:jc w:val="center"/>
                    <w:rPr>
                      <w:rFonts w:hint="default"/>
                      <w:color w:val="auto"/>
                      <w:vertAlign w:val="baseline"/>
                      <w:lang w:val="en-US" w:eastAsia="zh-CN"/>
                    </w:rPr>
                  </w:pPr>
                </w:p>
              </w:tc>
              <w:tc>
                <w:tcPr>
                  <w:tcW w:w="819" w:type="pct"/>
                  <w:vMerge w:val="continue"/>
                  <w:vAlign w:val="center"/>
                </w:tcPr>
                <w:p w14:paraId="6EF2113F">
                  <w:pPr>
                    <w:pStyle w:val="17"/>
                    <w:jc w:val="center"/>
                    <w:rPr>
                      <w:rFonts w:hint="default"/>
                      <w:color w:val="auto"/>
                      <w:vertAlign w:val="baseline"/>
                      <w:lang w:val="en-US" w:eastAsia="zh-CN"/>
                    </w:rPr>
                  </w:pPr>
                </w:p>
              </w:tc>
              <w:tc>
                <w:tcPr>
                  <w:tcW w:w="637" w:type="pct"/>
                  <w:vAlign w:val="center"/>
                </w:tcPr>
                <w:p w14:paraId="0F8BCEEF">
                  <w:pPr>
                    <w:pStyle w:val="17"/>
                    <w:jc w:val="center"/>
                    <w:rPr>
                      <w:rFonts w:hint="default"/>
                      <w:color w:val="auto"/>
                      <w:vertAlign w:val="baseline"/>
                      <w:lang w:val="en-US" w:eastAsia="zh-CN"/>
                    </w:rPr>
                  </w:pPr>
                  <w:r>
                    <w:rPr>
                      <w:rFonts w:hint="eastAsia"/>
                      <w:color w:val="auto"/>
                      <w:vertAlign w:val="baseline"/>
                      <w:lang w:val="en-US" w:eastAsia="zh-CN"/>
                    </w:rPr>
                    <w:t>产生量（t/a）</w:t>
                  </w:r>
                </w:p>
              </w:tc>
              <w:tc>
                <w:tcPr>
                  <w:tcW w:w="779" w:type="pct"/>
                  <w:vAlign w:val="center"/>
                </w:tcPr>
                <w:p w14:paraId="58BEA80E">
                  <w:pPr>
                    <w:pStyle w:val="17"/>
                    <w:jc w:val="center"/>
                    <w:rPr>
                      <w:rFonts w:hint="default"/>
                      <w:color w:val="auto"/>
                      <w:vertAlign w:val="baseline"/>
                      <w:lang w:val="en-US" w:eastAsia="zh-CN"/>
                    </w:rPr>
                  </w:pPr>
                  <w:r>
                    <w:rPr>
                      <w:rFonts w:hint="eastAsia"/>
                      <w:color w:val="auto"/>
                      <w:vertAlign w:val="baseline"/>
                      <w:lang w:val="en-US" w:eastAsia="zh-CN"/>
                    </w:rPr>
                    <w:t>产生速率（kg/h）</w:t>
                  </w:r>
                </w:p>
              </w:tc>
              <w:tc>
                <w:tcPr>
                  <w:tcW w:w="659" w:type="pct"/>
                  <w:vMerge w:val="continue"/>
                  <w:vAlign w:val="center"/>
                </w:tcPr>
                <w:p w14:paraId="5FEADB99">
                  <w:pPr>
                    <w:pStyle w:val="17"/>
                    <w:jc w:val="center"/>
                    <w:rPr>
                      <w:rFonts w:hint="default"/>
                      <w:color w:val="auto"/>
                      <w:vertAlign w:val="baseline"/>
                      <w:lang w:val="en-US" w:eastAsia="zh-CN"/>
                    </w:rPr>
                  </w:pPr>
                </w:p>
              </w:tc>
              <w:tc>
                <w:tcPr>
                  <w:tcW w:w="637" w:type="pct"/>
                  <w:vAlign w:val="center"/>
                </w:tcPr>
                <w:p w14:paraId="518360A5">
                  <w:pPr>
                    <w:pStyle w:val="17"/>
                    <w:jc w:val="center"/>
                    <w:rPr>
                      <w:rFonts w:hint="default"/>
                      <w:color w:val="auto"/>
                      <w:vertAlign w:val="baseline"/>
                      <w:lang w:val="en-US" w:eastAsia="zh-CN"/>
                    </w:rPr>
                  </w:pPr>
                  <w:r>
                    <w:rPr>
                      <w:rFonts w:hint="eastAsia"/>
                      <w:color w:val="auto"/>
                      <w:vertAlign w:val="baseline"/>
                      <w:lang w:val="en-US" w:eastAsia="zh-CN"/>
                    </w:rPr>
                    <w:t>排放量（t/a）</w:t>
                  </w:r>
                </w:p>
              </w:tc>
              <w:tc>
                <w:tcPr>
                  <w:tcW w:w="781" w:type="pct"/>
                  <w:vAlign w:val="center"/>
                </w:tcPr>
                <w:p w14:paraId="79E80EFA">
                  <w:pPr>
                    <w:pStyle w:val="17"/>
                    <w:jc w:val="center"/>
                    <w:rPr>
                      <w:rFonts w:hint="default"/>
                      <w:color w:val="auto"/>
                      <w:vertAlign w:val="baseline"/>
                      <w:lang w:val="en-US" w:eastAsia="zh-CN"/>
                    </w:rPr>
                  </w:pPr>
                  <w:r>
                    <w:rPr>
                      <w:rFonts w:hint="eastAsia"/>
                      <w:color w:val="auto"/>
                      <w:vertAlign w:val="baseline"/>
                      <w:lang w:val="en-US" w:eastAsia="zh-CN"/>
                    </w:rPr>
                    <w:t>排放速率（kg/h）</w:t>
                  </w:r>
                </w:p>
              </w:tc>
            </w:tr>
            <w:tr w14:paraId="54732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pct"/>
                  <w:vMerge w:val="restart"/>
                  <w:vAlign w:val="center"/>
                </w:tcPr>
                <w:p w14:paraId="5081BF64">
                  <w:pPr>
                    <w:pStyle w:val="17"/>
                    <w:jc w:val="center"/>
                    <w:rPr>
                      <w:rFonts w:hint="default"/>
                      <w:color w:val="auto"/>
                      <w:vertAlign w:val="baseline"/>
                      <w:lang w:val="en-US" w:eastAsia="zh-CN"/>
                    </w:rPr>
                  </w:pPr>
                  <w:r>
                    <w:rPr>
                      <w:rFonts w:hint="eastAsia"/>
                      <w:color w:val="auto"/>
                      <w:vertAlign w:val="baseline"/>
                      <w:lang w:val="en-US" w:eastAsia="zh-CN"/>
                    </w:rPr>
                    <w:t>TSP</w:t>
                  </w:r>
                </w:p>
              </w:tc>
              <w:tc>
                <w:tcPr>
                  <w:tcW w:w="819" w:type="pct"/>
                  <w:vAlign w:val="center"/>
                </w:tcPr>
                <w:p w14:paraId="1A19A4BD">
                  <w:pPr>
                    <w:pStyle w:val="17"/>
                    <w:jc w:val="center"/>
                    <w:rPr>
                      <w:rFonts w:hint="default"/>
                      <w:color w:val="auto"/>
                      <w:vertAlign w:val="baseline"/>
                      <w:lang w:val="en-US" w:eastAsia="zh-CN"/>
                    </w:rPr>
                  </w:pPr>
                  <w:r>
                    <w:rPr>
                      <w:rFonts w:hint="eastAsia"/>
                      <w:color w:val="auto"/>
                      <w:vertAlign w:val="baseline"/>
                      <w:lang w:val="en-US" w:eastAsia="zh-CN"/>
                    </w:rPr>
                    <w:t>物料装卸</w:t>
                  </w:r>
                </w:p>
              </w:tc>
              <w:tc>
                <w:tcPr>
                  <w:tcW w:w="637" w:type="pct"/>
                  <w:vAlign w:val="center"/>
                </w:tcPr>
                <w:p w14:paraId="73978064">
                  <w:pPr>
                    <w:pStyle w:val="17"/>
                    <w:jc w:val="center"/>
                    <w:rPr>
                      <w:rFonts w:hint="default"/>
                      <w:color w:val="auto"/>
                      <w:vertAlign w:val="baseline"/>
                      <w:lang w:val="en-US" w:eastAsia="zh-CN"/>
                    </w:rPr>
                  </w:pPr>
                  <w:r>
                    <w:rPr>
                      <w:rFonts w:hint="eastAsia"/>
                      <w:color w:val="auto"/>
                      <w:vertAlign w:val="baseline"/>
                      <w:lang w:val="en-US" w:eastAsia="zh-CN"/>
                    </w:rPr>
                    <w:t>0.0931</w:t>
                  </w:r>
                </w:p>
              </w:tc>
              <w:tc>
                <w:tcPr>
                  <w:tcW w:w="779" w:type="pct"/>
                  <w:vAlign w:val="center"/>
                </w:tcPr>
                <w:p w14:paraId="5E0B5577">
                  <w:pPr>
                    <w:pStyle w:val="17"/>
                    <w:jc w:val="center"/>
                    <w:rPr>
                      <w:rFonts w:hint="default"/>
                      <w:color w:val="auto"/>
                      <w:vertAlign w:val="baseline"/>
                      <w:lang w:val="en-US" w:eastAsia="zh-CN"/>
                    </w:rPr>
                  </w:pPr>
                  <w:r>
                    <w:rPr>
                      <w:rFonts w:hint="eastAsia"/>
                      <w:color w:val="auto"/>
                      <w:vertAlign w:val="baseline"/>
                      <w:lang w:val="en-US" w:eastAsia="zh-CN"/>
                    </w:rPr>
                    <w:t>0.0388</w:t>
                  </w:r>
                </w:p>
              </w:tc>
              <w:tc>
                <w:tcPr>
                  <w:tcW w:w="659" w:type="pct"/>
                  <w:vAlign w:val="center"/>
                </w:tcPr>
                <w:p w14:paraId="1E1A8D2A">
                  <w:pPr>
                    <w:pStyle w:val="17"/>
                    <w:jc w:val="center"/>
                    <w:rPr>
                      <w:rFonts w:hint="default"/>
                      <w:color w:val="auto"/>
                      <w:vertAlign w:val="baseline"/>
                      <w:lang w:val="en-US" w:eastAsia="zh-CN"/>
                    </w:rPr>
                  </w:pPr>
                  <w:r>
                    <w:rPr>
                      <w:rFonts w:hint="eastAsia"/>
                      <w:color w:val="auto"/>
                      <w:vertAlign w:val="baseline"/>
                      <w:lang w:val="en-US" w:eastAsia="zh-CN"/>
                    </w:rPr>
                    <w:t>50</w:t>
                  </w:r>
                </w:p>
              </w:tc>
              <w:tc>
                <w:tcPr>
                  <w:tcW w:w="637" w:type="pct"/>
                  <w:vAlign w:val="center"/>
                </w:tcPr>
                <w:p w14:paraId="314DC60D">
                  <w:pPr>
                    <w:pStyle w:val="17"/>
                    <w:jc w:val="center"/>
                    <w:rPr>
                      <w:rFonts w:hint="default"/>
                      <w:color w:val="auto"/>
                      <w:vertAlign w:val="baseline"/>
                      <w:lang w:val="en-US" w:eastAsia="zh-CN"/>
                    </w:rPr>
                  </w:pPr>
                  <w:r>
                    <w:rPr>
                      <w:rFonts w:hint="eastAsia"/>
                      <w:color w:val="auto"/>
                      <w:vertAlign w:val="baseline"/>
                      <w:lang w:val="en-US" w:eastAsia="zh-CN"/>
                    </w:rPr>
                    <w:t>0.0465</w:t>
                  </w:r>
                </w:p>
              </w:tc>
              <w:tc>
                <w:tcPr>
                  <w:tcW w:w="781" w:type="pct"/>
                  <w:vAlign w:val="center"/>
                </w:tcPr>
                <w:p w14:paraId="49C704A2">
                  <w:pPr>
                    <w:pStyle w:val="17"/>
                    <w:jc w:val="center"/>
                    <w:rPr>
                      <w:rFonts w:hint="default"/>
                      <w:color w:val="auto"/>
                      <w:vertAlign w:val="baseline"/>
                      <w:lang w:val="en-US" w:eastAsia="zh-CN"/>
                    </w:rPr>
                  </w:pPr>
                  <w:r>
                    <w:rPr>
                      <w:rFonts w:hint="eastAsia"/>
                      <w:color w:val="auto"/>
                      <w:vertAlign w:val="baseline"/>
                      <w:lang w:val="en-US" w:eastAsia="zh-CN"/>
                    </w:rPr>
                    <w:t>0.0194</w:t>
                  </w:r>
                </w:p>
              </w:tc>
            </w:tr>
            <w:tr w14:paraId="6945E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pct"/>
                  <w:vMerge w:val="continue"/>
                  <w:vAlign w:val="center"/>
                </w:tcPr>
                <w:p w14:paraId="777B4CF6">
                  <w:pPr>
                    <w:pStyle w:val="17"/>
                    <w:jc w:val="center"/>
                    <w:rPr>
                      <w:rFonts w:hint="default"/>
                      <w:color w:val="auto"/>
                      <w:vertAlign w:val="baseline"/>
                      <w:lang w:val="en-US" w:eastAsia="zh-CN"/>
                    </w:rPr>
                  </w:pPr>
                </w:p>
              </w:tc>
              <w:tc>
                <w:tcPr>
                  <w:tcW w:w="819" w:type="pct"/>
                  <w:vAlign w:val="center"/>
                </w:tcPr>
                <w:p w14:paraId="556FF43E">
                  <w:pPr>
                    <w:pStyle w:val="17"/>
                    <w:jc w:val="center"/>
                    <w:rPr>
                      <w:rFonts w:hint="default"/>
                      <w:color w:val="auto"/>
                      <w:vertAlign w:val="baseline"/>
                      <w:lang w:val="en-US" w:eastAsia="zh-CN"/>
                    </w:rPr>
                  </w:pPr>
                  <w:r>
                    <w:rPr>
                      <w:rFonts w:hint="eastAsia"/>
                      <w:color w:val="auto"/>
                      <w:vertAlign w:val="baseline"/>
                      <w:lang w:val="en-US" w:eastAsia="zh-CN"/>
                    </w:rPr>
                    <w:t>堆场扬尘</w:t>
                  </w:r>
                </w:p>
              </w:tc>
              <w:tc>
                <w:tcPr>
                  <w:tcW w:w="637" w:type="pct"/>
                  <w:vAlign w:val="center"/>
                </w:tcPr>
                <w:p w14:paraId="69977D85">
                  <w:pPr>
                    <w:pStyle w:val="17"/>
                    <w:jc w:val="center"/>
                    <w:rPr>
                      <w:rFonts w:hint="default"/>
                      <w:color w:val="auto"/>
                      <w:vertAlign w:val="baseline"/>
                      <w:lang w:val="en-US" w:eastAsia="zh-CN"/>
                    </w:rPr>
                  </w:pPr>
                  <w:r>
                    <w:rPr>
                      <w:rFonts w:hint="eastAsia"/>
                      <w:color w:val="auto"/>
                      <w:vertAlign w:val="baseline"/>
                      <w:lang w:val="en-US" w:eastAsia="zh-CN"/>
                    </w:rPr>
                    <w:t>0.3289</w:t>
                  </w:r>
                </w:p>
              </w:tc>
              <w:tc>
                <w:tcPr>
                  <w:tcW w:w="779" w:type="pct"/>
                  <w:vAlign w:val="center"/>
                </w:tcPr>
                <w:p w14:paraId="4E33D1FD">
                  <w:pPr>
                    <w:pStyle w:val="17"/>
                    <w:jc w:val="center"/>
                    <w:rPr>
                      <w:rFonts w:hint="default"/>
                      <w:color w:val="auto"/>
                      <w:vertAlign w:val="baseline"/>
                      <w:lang w:val="en-US" w:eastAsia="zh-CN"/>
                    </w:rPr>
                  </w:pPr>
                  <w:r>
                    <w:rPr>
                      <w:rFonts w:hint="eastAsia"/>
                      <w:color w:val="auto"/>
                      <w:vertAlign w:val="baseline"/>
                      <w:lang w:val="en-US" w:eastAsia="zh-CN"/>
                    </w:rPr>
                    <w:t>0.0375</w:t>
                  </w:r>
                </w:p>
              </w:tc>
              <w:tc>
                <w:tcPr>
                  <w:tcW w:w="659" w:type="pct"/>
                  <w:vAlign w:val="center"/>
                </w:tcPr>
                <w:p w14:paraId="52901CE3">
                  <w:pPr>
                    <w:pStyle w:val="17"/>
                    <w:jc w:val="center"/>
                    <w:rPr>
                      <w:rFonts w:hint="default"/>
                      <w:color w:val="auto"/>
                      <w:vertAlign w:val="baseline"/>
                      <w:lang w:val="en-US" w:eastAsia="zh-CN"/>
                    </w:rPr>
                  </w:pPr>
                  <w:r>
                    <w:rPr>
                      <w:rFonts w:hint="eastAsia"/>
                      <w:color w:val="auto"/>
                      <w:vertAlign w:val="baseline"/>
                      <w:lang w:val="en-US" w:eastAsia="zh-CN"/>
                    </w:rPr>
                    <w:t>50</w:t>
                  </w:r>
                </w:p>
              </w:tc>
              <w:tc>
                <w:tcPr>
                  <w:tcW w:w="637" w:type="pct"/>
                  <w:vAlign w:val="center"/>
                </w:tcPr>
                <w:p w14:paraId="1F602C3F">
                  <w:pPr>
                    <w:pStyle w:val="17"/>
                    <w:jc w:val="center"/>
                    <w:rPr>
                      <w:rFonts w:hint="default"/>
                      <w:color w:val="auto"/>
                      <w:vertAlign w:val="baseline"/>
                      <w:lang w:val="en-US" w:eastAsia="zh-CN"/>
                    </w:rPr>
                  </w:pPr>
                  <w:r>
                    <w:rPr>
                      <w:rFonts w:hint="eastAsia"/>
                      <w:color w:val="auto"/>
                      <w:vertAlign w:val="baseline"/>
                      <w:lang w:val="en-US" w:eastAsia="zh-CN"/>
                    </w:rPr>
                    <w:t>0.1644</w:t>
                  </w:r>
                </w:p>
              </w:tc>
              <w:tc>
                <w:tcPr>
                  <w:tcW w:w="781" w:type="pct"/>
                  <w:vAlign w:val="center"/>
                </w:tcPr>
                <w:p w14:paraId="53B6512E">
                  <w:pPr>
                    <w:pStyle w:val="17"/>
                    <w:jc w:val="center"/>
                    <w:rPr>
                      <w:rFonts w:hint="default"/>
                      <w:color w:val="auto"/>
                      <w:vertAlign w:val="baseline"/>
                      <w:lang w:val="en-US" w:eastAsia="zh-CN"/>
                    </w:rPr>
                  </w:pPr>
                  <w:r>
                    <w:rPr>
                      <w:rFonts w:hint="eastAsia"/>
                      <w:color w:val="auto"/>
                      <w:vertAlign w:val="baseline"/>
                      <w:lang w:val="en-US" w:eastAsia="zh-CN"/>
                    </w:rPr>
                    <w:t>0.0188</w:t>
                  </w:r>
                </w:p>
              </w:tc>
            </w:tr>
            <w:tr w14:paraId="6951C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pct"/>
                  <w:vMerge w:val="continue"/>
                  <w:vAlign w:val="center"/>
                </w:tcPr>
                <w:p w14:paraId="6A9C9BD7">
                  <w:pPr>
                    <w:pStyle w:val="17"/>
                    <w:jc w:val="center"/>
                    <w:rPr>
                      <w:rFonts w:hint="default"/>
                      <w:color w:val="auto"/>
                      <w:vertAlign w:val="baseline"/>
                      <w:lang w:val="en-US" w:eastAsia="zh-CN"/>
                    </w:rPr>
                  </w:pPr>
                </w:p>
              </w:tc>
              <w:tc>
                <w:tcPr>
                  <w:tcW w:w="819" w:type="pct"/>
                  <w:vAlign w:val="center"/>
                </w:tcPr>
                <w:p w14:paraId="72237D89">
                  <w:pPr>
                    <w:pStyle w:val="17"/>
                    <w:jc w:val="center"/>
                    <w:rPr>
                      <w:rFonts w:hint="default"/>
                      <w:color w:val="auto"/>
                      <w:vertAlign w:val="baseline"/>
                      <w:lang w:val="en-US" w:eastAsia="zh-CN"/>
                    </w:rPr>
                  </w:pPr>
                  <w:r>
                    <w:rPr>
                      <w:rFonts w:hint="eastAsia"/>
                      <w:color w:val="auto"/>
                      <w:vertAlign w:val="baseline"/>
                      <w:lang w:val="en-US" w:eastAsia="zh-CN"/>
                    </w:rPr>
                    <w:t>输送粉尘</w:t>
                  </w:r>
                </w:p>
              </w:tc>
              <w:tc>
                <w:tcPr>
                  <w:tcW w:w="1068" w:type="dxa"/>
                  <w:vAlign w:val="center"/>
                </w:tcPr>
                <w:p w14:paraId="77F4B6A2">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0.12</w:t>
                  </w:r>
                </w:p>
              </w:tc>
              <w:tc>
                <w:tcPr>
                  <w:tcW w:w="1306" w:type="dxa"/>
                  <w:vAlign w:val="center"/>
                </w:tcPr>
                <w:p w14:paraId="70045ED2">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0.05</w:t>
                  </w:r>
                </w:p>
              </w:tc>
              <w:tc>
                <w:tcPr>
                  <w:tcW w:w="659" w:type="pct"/>
                  <w:vAlign w:val="center"/>
                </w:tcPr>
                <w:p w14:paraId="02675EA1">
                  <w:pPr>
                    <w:pStyle w:val="17"/>
                    <w:jc w:val="center"/>
                    <w:rPr>
                      <w:rFonts w:hint="default"/>
                      <w:color w:val="auto"/>
                      <w:vertAlign w:val="baseline"/>
                      <w:lang w:val="en-US" w:eastAsia="zh-CN"/>
                    </w:rPr>
                  </w:pPr>
                  <w:r>
                    <w:rPr>
                      <w:rFonts w:hint="eastAsia"/>
                      <w:color w:val="auto"/>
                      <w:vertAlign w:val="baseline"/>
                      <w:lang w:val="en-US" w:eastAsia="zh-CN"/>
                    </w:rPr>
                    <w:t>/</w:t>
                  </w:r>
                </w:p>
              </w:tc>
              <w:tc>
                <w:tcPr>
                  <w:tcW w:w="637" w:type="pct"/>
                  <w:vAlign w:val="center"/>
                </w:tcPr>
                <w:p w14:paraId="7EDCD178">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0.12</w:t>
                  </w:r>
                </w:p>
              </w:tc>
              <w:tc>
                <w:tcPr>
                  <w:tcW w:w="781" w:type="pct"/>
                  <w:vAlign w:val="center"/>
                </w:tcPr>
                <w:p w14:paraId="3AB84C55">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0.05</w:t>
                  </w:r>
                </w:p>
              </w:tc>
            </w:tr>
            <w:tr w14:paraId="627E0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pct"/>
                  <w:vMerge w:val="continue"/>
                  <w:vAlign w:val="center"/>
                </w:tcPr>
                <w:p w14:paraId="1E33D836">
                  <w:pPr>
                    <w:pStyle w:val="17"/>
                    <w:jc w:val="center"/>
                    <w:rPr>
                      <w:rFonts w:hint="default"/>
                      <w:color w:val="auto"/>
                      <w:vertAlign w:val="baseline"/>
                      <w:lang w:val="en-US" w:eastAsia="zh-CN"/>
                    </w:rPr>
                  </w:pPr>
                </w:p>
              </w:tc>
              <w:tc>
                <w:tcPr>
                  <w:tcW w:w="819" w:type="pct"/>
                  <w:vAlign w:val="center"/>
                </w:tcPr>
                <w:p w14:paraId="6B842B1D">
                  <w:pPr>
                    <w:pStyle w:val="17"/>
                    <w:jc w:val="center"/>
                    <w:rPr>
                      <w:rFonts w:hint="default"/>
                      <w:color w:val="auto"/>
                      <w:vertAlign w:val="baseline"/>
                      <w:lang w:val="en-US" w:eastAsia="zh-CN"/>
                    </w:rPr>
                  </w:pPr>
                  <w:r>
                    <w:rPr>
                      <w:rFonts w:hint="eastAsia"/>
                      <w:color w:val="auto"/>
                      <w:vertAlign w:val="baseline"/>
                      <w:lang w:val="en-US" w:eastAsia="zh-CN"/>
                    </w:rPr>
                    <w:t>道路扬尘</w:t>
                  </w:r>
                </w:p>
              </w:tc>
              <w:tc>
                <w:tcPr>
                  <w:tcW w:w="637" w:type="pct"/>
                  <w:vAlign w:val="center"/>
                </w:tcPr>
                <w:p w14:paraId="6B40DED2">
                  <w:pPr>
                    <w:pStyle w:val="17"/>
                    <w:jc w:val="center"/>
                    <w:rPr>
                      <w:rFonts w:hint="default"/>
                      <w:color w:val="auto"/>
                      <w:vertAlign w:val="baseline"/>
                      <w:lang w:val="en-US" w:eastAsia="zh-CN"/>
                    </w:rPr>
                  </w:pPr>
                  <w:r>
                    <w:rPr>
                      <w:rFonts w:hint="eastAsia"/>
                      <w:color w:val="auto"/>
                      <w:vertAlign w:val="baseline"/>
                      <w:lang w:val="en-US" w:eastAsia="zh-CN"/>
                    </w:rPr>
                    <w:t>4.2231</w:t>
                  </w:r>
                </w:p>
              </w:tc>
              <w:tc>
                <w:tcPr>
                  <w:tcW w:w="779" w:type="pct"/>
                  <w:vAlign w:val="center"/>
                </w:tcPr>
                <w:p w14:paraId="2B8F2DBB">
                  <w:pPr>
                    <w:pStyle w:val="17"/>
                    <w:jc w:val="center"/>
                    <w:rPr>
                      <w:rFonts w:hint="default"/>
                      <w:color w:val="auto"/>
                      <w:vertAlign w:val="baseline"/>
                      <w:lang w:val="en-US" w:eastAsia="zh-CN"/>
                    </w:rPr>
                  </w:pPr>
                  <w:r>
                    <w:rPr>
                      <w:rFonts w:hint="eastAsia"/>
                      <w:color w:val="auto"/>
                      <w:vertAlign w:val="baseline"/>
                      <w:lang w:val="en-US" w:eastAsia="zh-CN"/>
                    </w:rPr>
                    <w:t>1.1049</w:t>
                  </w:r>
                </w:p>
              </w:tc>
              <w:tc>
                <w:tcPr>
                  <w:tcW w:w="659" w:type="pct"/>
                  <w:vAlign w:val="center"/>
                </w:tcPr>
                <w:p w14:paraId="5B901B5D">
                  <w:pPr>
                    <w:pStyle w:val="17"/>
                    <w:jc w:val="center"/>
                    <w:rPr>
                      <w:rFonts w:hint="default"/>
                      <w:color w:val="auto"/>
                      <w:vertAlign w:val="baseline"/>
                      <w:lang w:val="en-US" w:eastAsia="zh-CN"/>
                    </w:rPr>
                  </w:pPr>
                  <w:r>
                    <w:rPr>
                      <w:rFonts w:hint="eastAsia"/>
                      <w:color w:val="auto"/>
                      <w:vertAlign w:val="baseline"/>
                      <w:lang w:val="en-US" w:eastAsia="zh-CN"/>
                    </w:rPr>
                    <w:t>80</w:t>
                  </w:r>
                </w:p>
              </w:tc>
              <w:tc>
                <w:tcPr>
                  <w:tcW w:w="637" w:type="pct"/>
                  <w:vAlign w:val="center"/>
                </w:tcPr>
                <w:p w14:paraId="5AADF3E3">
                  <w:pPr>
                    <w:pStyle w:val="17"/>
                    <w:jc w:val="center"/>
                    <w:rPr>
                      <w:rFonts w:hint="default"/>
                      <w:color w:val="auto"/>
                      <w:vertAlign w:val="baseline"/>
                      <w:lang w:val="en-US" w:eastAsia="zh-CN"/>
                    </w:rPr>
                  </w:pPr>
                  <w:r>
                    <w:rPr>
                      <w:rFonts w:hint="eastAsia"/>
                      <w:color w:val="auto"/>
                      <w:vertAlign w:val="baseline"/>
                      <w:lang w:val="en-US" w:eastAsia="zh-CN"/>
                    </w:rPr>
                    <w:t>0.8446</w:t>
                  </w:r>
                </w:p>
              </w:tc>
              <w:tc>
                <w:tcPr>
                  <w:tcW w:w="781" w:type="pct"/>
                  <w:vAlign w:val="center"/>
                </w:tcPr>
                <w:p w14:paraId="7BAB0D82">
                  <w:pPr>
                    <w:pStyle w:val="17"/>
                    <w:jc w:val="center"/>
                    <w:rPr>
                      <w:rFonts w:hint="default"/>
                      <w:color w:val="auto"/>
                      <w:vertAlign w:val="baseline"/>
                      <w:lang w:val="en-US" w:eastAsia="zh-CN"/>
                    </w:rPr>
                  </w:pPr>
                  <w:r>
                    <w:rPr>
                      <w:rFonts w:hint="eastAsia"/>
                      <w:color w:val="auto"/>
                      <w:vertAlign w:val="baseline"/>
                      <w:lang w:val="en-US" w:eastAsia="zh-CN"/>
                    </w:rPr>
                    <w:t>0.221</w:t>
                  </w:r>
                </w:p>
              </w:tc>
            </w:tr>
            <w:tr w14:paraId="5C9E2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686" w:type="pct"/>
                  <w:vAlign w:val="center"/>
                </w:tcPr>
                <w:p w14:paraId="6ACC9CB2">
                  <w:pPr>
                    <w:pStyle w:val="17"/>
                    <w:jc w:val="center"/>
                    <w:rPr>
                      <w:rFonts w:hint="default"/>
                      <w:color w:val="auto"/>
                      <w:vertAlign w:val="baseline"/>
                      <w:lang w:val="en-US" w:eastAsia="zh-CN"/>
                    </w:rPr>
                  </w:pPr>
                  <w:r>
                    <w:rPr>
                      <w:rFonts w:hint="eastAsia"/>
                      <w:color w:val="auto"/>
                      <w:vertAlign w:val="baseline"/>
                      <w:lang w:val="en-US" w:eastAsia="zh-CN"/>
                    </w:rPr>
                    <w:t>CO、NO</w:t>
                  </w:r>
                  <w:r>
                    <w:rPr>
                      <w:rFonts w:hint="eastAsia"/>
                      <w:color w:val="auto"/>
                      <w:vertAlign w:val="subscript"/>
                      <w:lang w:val="en-US" w:eastAsia="zh-CN"/>
                    </w:rPr>
                    <w:t>X</w:t>
                  </w:r>
                  <w:r>
                    <w:rPr>
                      <w:rFonts w:hint="eastAsia"/>
                      <w:color w:val="auto"/>
                      <w:vertAlign w:val="baseline"/>
                      <w:lang w:val="en-US" w:eastAsia="zh-CN"/>
                    </w:rPr>
                    <w:t>、THC</w:t>
                  </w:r>
                </w:p>
              </w:tc>
              <w:tc>
                <w:tcPr>
                  <w:tcW w:w="819" w:type="pct"/>
                  <w:vAlign w:val="center"/>
                </w:tcPr>
                <w:p w14:paraId="37554C40">
                  <w:pPr>
                    <w:pStyle w:val="17"/>
                    <w:jc w:val="center"/>
                    <w:rPr>
                      <w:rFonts w:hint="default"/>
                      <w:color w:val="auto"/>
                      <w:vertAlign w:val="baseline"/>
                      <w:lang w:val="en-US" w:eastAsia="zh-CN"/>
                    </w:rPr>
                  </w:pPr>
                  <w:r>
                    <w:rPr>
                      <w:rFonts w:hint="eastAsia"/>
                      <w:color w:val="auto"/>
                      <w:vertAlign w:val="baseline"/>
                      <w:lang w:val="en-US" w:eastAsia="zh-CN"/>
                    </w:rPr>
                    <w:t>运输车辆尾气</w:t>
                  </w:r>
                </w:p>
              </w:tc>
              <w:tc>
                <w:tcPr>
                  <w:tcW w:w="1416" w:type="pct"/>
                  <w:gridSpan w:val="2"/>
                  <w:vAlign w:val="center"/>
                </w:tcPr>
                <w:p w14:paraId="1D9BFC8A">
                  <w:pPr>
                    <w:pStyle w:val="17"/>
                    <w:jc w:val="center"/>
                    <w:rPr>
                      <w:rFonts w:hint="default"/>
                      <w:color w:val="auto"/>
                      <w:vertAlign w:val="baseline"/>
                      <w:lang w:val="en-US" w:eastAsia="zh-CN"/>
                    </w:rPr>
                  </w:pPr>
                  <w:r>
                    <w:rPr>
                      <w:rFonts w:hint="eastAsia"/>
                      <w:color w:val="auto"/>
                      <w:vertAlign w:val="baseline"/>
                      <w:lang w:val="en-US" w:eastAsia="zh-CN"/>
                    </w:rPr>
                    <w:t>少量</w:t>
                  </w:r>
                </w:p>
              </w:tc>
              <w:tc>
                <w:tcPr>
                  <w:tcW w:w="659" w:type="pct"/>
                  <w:vAlign w:val="center"/>
                </w:tcPr>
                <w:p w14:paraId="1EF9D26E">
                  <w:pPr>
                    <w:pStyle w:val="17"/>
                    <w:jc w:val="center"/>
                    <w:rPr>
                      <w:rFonts w:hint="default"/>
                      <w:color w:val="auto"/>
                      <w:vertAlign w:val="baseline"/>
                      <w:lang w:val="en-US" w:eastAsia="zh-CN"/>
                    </w:rPr>
                  </w:pPr>
                  <w:r>
                    <w:rPr>
                      <w:rFonts w:hint="eastAsia"/>
                      <w:color w:val="auto"/>
                      <w:vertAlign w:val="baseline"/>
                      <w:lang w:val="en-US" w:eastAsia="zh-CN"/>
                    </w:rPr>
                    <w:t>/</w:t>
                  </w:r>
                </w:p>
              </w:tc>
              <w:tc>
                <w:tcPr>
                  <w:tcW w:w="1418" w:type="pct"/>
                  <w:gridSpan w:val="2"/>
                  <w:vAlign w:val="center"/>
                </w:tcPr>
                <w:p w14:paraId="1C036AF9">
                  <w:pPr>
                    <w:pStyle w:val="17"/>
                    <w:jc w:val="center"/>
                    <w:rPr>
                      <w:rFonts w:hint="default"/>
                      <w:color w:val="auto"/>
                      <w:vertAlign w:val="baseline"/>
                      <w:lang w:val="en-US" w:eastAsia="zh-CN"/>
                    </w:rPr>
                  </w:pPr>
                  <w:r>
                    <w:rPr>
                      <w:rFonts w:hint="eastAsia"/>
                      <w:color w:val="auto"/>
                      <w:vertAlign w:val="baseline"/>
                      <w:lang w:val="en-US" w:eastAsia="zh-CN"/>
                    </w:rPr>
                    <w:t>少量</w:t>
                  </w:r>
                </w:p>
              </w:tc>
            </w:tr>
          </w:tbl>
          <w:p w14:paraId="506C8D69">
            <w:pPr>
              <w:bidi w:val="0"/>
              <w:rPr>
                <w:rFonts w:hint="eastAsia"/>
                <w:color w:val="auto"/>
                <w:lang w:val="en-US" w:eastAsia="zh-CN"/>
              </w:rPr>
            </w:pPr>
            <w:r>
              <w:rPr>
                <w:rFonts w:hint="eastAsia"/>
                <w:color w:val="auto"/>
                <w:lang w:val="en-US" w:eastAsia="zh-CN"/>
              </w:rPr>
              <w:t>参考2022年《衡阳京泰建材有限公司建筑垃圾处理及利用项目竣工环境保护验收检测报告表》中建设项目竣工验收检测报告，其检测结果详见表2-14、表2-15。</w:t>
            </w:r>
          </w:p>
          <w:p w14:paraId="22B20BF8">
            <w:pPr>
              <w:pStyle w:val="18"/>
              <w:bidi w:val="0"/>
              <w:rPr>
                <w:rFonts w:hint="eastAsia"/>
                <w:color w:val="auto"/>
                <w:lang w:val="en-US" w:eastAsia="zh-CN"/>
              </w:rPr>
            </w:pPr>
            <w:r>
              <w:rPr>
                <w:rFonts w:hint="eastAsia"/>
                <w:color w:val="auto"/>
                <w:lang w:val="en-US" w:eastAsia="zh-CN"/>
              </w:rPr>
              <w:t>表2-14 项目现有工程有组织废气检测报告</w:t>
            </w:r>
          </w:p>
          <w:tbl>
            <w:tblPr>
              <w:tblStyle w:val="13"/>
              <w:tblW w:w="8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6"/>
              <w:gridCol w:w="513"/>
              <w:gridCol w:w="1137"/>
              <w:gridCol w:w="781"/>
              <w:gridCol w:w="781"/>
              <w:gridCol w:w="781"/>
              <w:gridCol w:w="781"/>
              <w:gridCol w:w="781"/>
              <w:gridCol w:w="783"/>
              <w:gridCol w:w="500"/>
              <w:gridCol w:w="616"/>
            </w:tblGrid>
            <w:tr w14:paraId="1FB78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36" w:type="dxa"/>
                  <w:vMerge w:val="restart"/>
                  <w:vAlign w:val="center"/>
                </w:tcPr>
                <w:p w14:paraId="4FAB4939">
                  <w:pPr>
                    <w:pStyle w:val="17"/>
                    <w:jc w:val="center"/>
                    <w:rPr>
                      <w:rFonts w:hint="default"/>
                      <w:color w:val="auto"/>
                      <w:vertAlign w:val="baseline"/>
                      <w:lang w:val="en-US" w:eastAsia="zh-CN"/>
                    </w:rPr>
                  </w:pPr>
                  <w:r>
                    <w:rPr>
                      <w:rFonts w:hint="eastAsia"/>
                      <w:color w:val="auto"/>
                      <w:vertAlign w:val="baseline"/>
                      <w:lang w:val="en-US" w:eastAsia="zh-CN"/>
                    </w:rPr>
                    <w:t>检测地点</w:t>
                  </w:r>
                </w:p>
              </w:tc>
              <w:tc>
                <w:tcPr>
                  <w:tcW w:w="1650" w:type="dxa"/>
                  <w:gridSpan w:val="2"/>
                  <w:vMerge w:val="restart"/>
                  <w:vAlign w:val="center"/>
                </w:tcPr>
                <w:p w14:paraId="5E176B58">
                  <w:pPr>
                    <w:pStyle w:val="17"/>
                    <w:jc w:val="center"/>
                    <w:rPr>
                      <w:rFonts w:hint="default"/>
                      <w:color w:val="auto"/>
                      <w:vertAlign w:val="baseline"/>
                      <w:lang w:val="en-US" w:eastAsia="zh-CN"/>
                    </w:rPr>
                  </w:pPr>
                  <w:r>
                    <w:rPr>
                      <w:rFonts w:hint="eastAsia"/>
                      <w:color w:val="auto"/>
                      <w:vertAlign w:val="baseline"/>
                      <w:lang w:val="en-US" w:eastAsia="zh-CN"/>
                    </w:rPr>
                    <w:t>检测项目</w:t>
                  </w:r>
                </w:p>
              </w:tc>
              <w:tc>
                <w:tcPr>
                  <w:tcW w:w="4688" w:type="dxa"/>
                  <w:gridSpan w:val="6"/>
                  <w:vAlign w:val="center"/>
                </w:tcPr>
                <w:p w14:paraId="41A6E7C6">
                  <w:pPr>
                    <w:pStyle w:val="17"/>
                    <w:jc w:val="center"/>
                    <w:rPr>
                      <w:rFonts w:hint="default"/>
                      <w:color w:val="auto"/>
                      <w:vertAlign w:val="baseline"/>
                      <w:lang w:val="en-US" w:eastAsia="zh-CN"/>
                    </w:rPr>
                  </w:pPr>
                  <w:r>
                    <w:rPr>
                      <w:rFonts w:hint="eastAsia"/>
                      <w:color w:val="auto"/>
                      <w:vertAlign w:val="baseline"/>
                      <w:lang w:val="en-US" w:eastAsia="zh-CN"/>
                    </w:rPr>
                    <w:t>检测结果</w:t>
                  </w:r>
                </w:p>
              </w:tc>
              <w:tc>
                <w:tcPr>
                  <w:tcW w:w="500" w:type="dxa"/>
                  <w:vMerge w:val="restart"/>
                  <w:vAlign w:val="center"/>
                </w:tcPr>
                <w:p w14:paraId="7FF1C913">
                  <w:pPr>
                    <w:pStyle w:val="17"/>
                    <w:jc w:val="center"/>
                    <w:rPr>
                      <w:rFonts w:hint="default"/>
                      <w:color w:val="auto"/>
                      <w:vertAlign w:val="baseline"/>
                      <w:lang w:val="en-US" w:eastAsia="zh-CN"/>
                    </w:rPr>
                  </w:pPr>
                  <w:r>
                    <w:rPr>
                      <w:rFonts w:hint="eastAsia"/>
                      <w:color w:val="auto"/>
                      <w:vertAlign w:val="baseline"/>
                      <w:lang w:val="en-US" w:eastAsia="zh-CN"/>
                    </w:rPr>
                    <w:t>标准限值</w:t>
                  </w:r>
                </w:p>
              </w:tc>
              <w:tc>
                <w:tcPr>
                  <w:tcW w:w="616" w:type="dxa"/>
                  <w:vMerge w:val="restart"/>
                  <w:vAlign w:val="center"/>
                </w:tcPr>
                <w:p w14:paraId="17E03066">
                  <w:pPr>
                    <w:pStyle w:val="17"/>
                    <w:jc w:val="center"/>
                    <w:rPr>
                      <w:rFonts w:hint="default"/>
                      <w:color w:val="auto"/>
                      <w:vertAlign w:val="baseline"/>
                      <w:lang w:val="en-US" w:eastAsia="zh-CN"/>
                    </w:rPr>
                  </w:pPr>
                  <w:r>
                    <w:rPr>
                      <w:rFonts w:hint="eastAsia"/>
                      <w:color w:val="auto"/>
                      <w:vertAlign w:val="baseline"/>
                      <w:lang w:val="en-US" w:eastAsia="zh-CN"/>
                    </w:rPr>
                    <w:t>单位</w:t>
                  </w:r>
                </w:p>
              </w:tc>
            </w:tr>
            <w:tr w14:paraId="69A96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36" w:type="dxa"/>
                  <w:vMerge w:val="continue"/>
                  <w:vAlign w:val="center"/>
                </w:tcPr>
                <w:p w14:paraId="71C4F52F">
                  <w:pPr>
                    <w:pStyle w:val="17"/>
                    <w:jc w:val="center"/>
                    <w:rPr>
                      <w:rFonts w:hint="default"/>
                      <w:color w:val="auto"/>
                      <w:vertAlign w:val="baseline"/>
                      <w:lang w:val="en-US" w:eastAsia="zh-CN"/>
                    </w:rPr>
                  </w:pPr>
                </w:p>
              </w:tc>
              <w:tc>
                <w:tcPr>
                  <w:tcW w:w="1650" w:type="dxa"/>
                  <w:gridSpan w:val="2"/>
                  <w:vMerge w:val="continue"/>
                  <w:vAlign w:val="center"/>
                </w:tcPr>
                <w:p w14:paraId="3D224892">
                  <w:pPr>
                    <w:pStyle w:val="17"/>
                    <w:jc w:val="center"/>
                    <w:rPr>
                      <w:rFonts w:hint="default"/>
                      <w:color w:val="auto"/>
                      <w:vertAlign w:val="baseline"/>
                      <w:lang w:val="en-US" w:eastAsia="zh-CN"/>
                    </w:rPr>
                  </w:pPr>
                </w:p>
              </w:tc>
              <w:tc>
                <w:tcPr>
                  <w:tcW w:w="2343" w:type="dxa"/>
                  <w:gridSpan w:val="3"/>
                  <w:vAlign w:val="center"/>
                </w:tcPr>
                <w:p w14:paraId="4597D465">
                  <w:pPr>
                    <w:pStyle w:val="17"/>
                    <w:jc w:val="center"/>
                    <w:rPr>
                      <w:rFonts w:hint="default"/>
                      <w:color w:val="auto"/>
                      <w:vertAlign w:val="baseline"/>
                      <w:lang w:val="en-US" w:eastAsia="zh-CN"/>
                    </w:rPr>
                  </w:pPr>
                  <w:r>
                    <w:rPr>
                      <w:rFonts w:hint="eastAsia"/>
                      <w:color w:val="auto"/>
                      <w:vertAlign w:val="baseline"/>
                      <w:lang w:val="en-US" w:eastAsia="zh-CN"/>
                    </w:rPr>
                    <w:t>2022.04.05</w:t>
                  </w:r>
                </w:p>
              </w:tc>
              <w:tc>
                <w:tcPr>
                  <w:tcW w:w="2345" w:type="dxa"/>
                  <w:gridSpan w:val="3"/>
                  <w:vAlign w:val="center"/>
                </w:tcPr>
                <w:p w14:paraId="1FA43734">
                  <w:pPr>
                    <w:pStyle w:val="17"/>
                    <w:jc w:val="center"/>
                    <w:rPr>
                      <w:rFonts w:hint="default"/>
                      <w:color w:val="auto"/>
                      <w:vertAlign w:val="baseline"/>
                      <w:lang w:val="en-US" w:eastAsia="zh-CN"/>
                    </w:rPr>
                  </w:pPr>
                  <w:r>
                    <w:rPr>
                      <w:rFonts w:hint="eastAsia"/>
                      <w:color w:val="auto"/>
                      <w:vertAlign w:val="baseline"/>
                      <w:lang w:val="en-US" w:eastAsia="zh-CN"/>
                    </w:rPr>
                    <w:t>2022.04.06</w:t>
                  </w:r>
                </w:p>
              </w:tc>
              <w:tc>
                <w:tcPr>
                  <w:tcW w:w="500" w:type="dxa"/>
                  <w:vMerge w:val="continue"/>
                  <w:vAlign w:val="center"/>
                </w:tcPr>
                <w:p w14:paraId="606744FE">
                  <w:pPr>
                    <w:pStyle w:val="17"/>
                    <w:jc w:val="center"/>
                    <w:rPr>
                      <w:rFonts w:hint="default"/>
                      <w:color w:val="auto"/>
                      <w:vertAlign w:val="baseline"/>
                      <w:lang w:val="en-US" w:eastAsia="zh-CN"/>
                    </w:rPr>
                  </w:pPr>
                </w:p>
              </w:tc>
              <w:tc>
                <w:tcPr>
                  <w:tcW w:w="616" w:type="dxa"/>
                  <w:vMerge w:val="continue"/>
                  <w:vAlign w:val="center"/>
                </w:tcPr>
                <w:p w14:paraId="4980CA04">
                  <w:pPr>
                    <w:pStyle w:val="17"/>
                    <w:jc w:val="center"/>
                    <w:rPr>
                      <w:rFonts w:hint="default"/>
                      <w:color w:val="auto"/>
                      <w:vertAlign w:val="baseline"/>
                      <w:lang w:val="en-US" w:eastAsia="zh-CN"/>
                    </w:rPr>
                  </w:pPr>
                </w:p>
              </w:tc>
            </w:tr>
            <w:tr w14:paraId="2D4DE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36" w:type="dxa"/>
                  <w:vMerge w:val="continue"/>
                  <w:vAlign w:val="center"/>
                </w:tcPr>
                <w:p w14:paraId="3773948E">
                  <w:pPr>
                    <w:pStyle w:val="17"/>
                    <w:jc w:val="center"/>
                    <w:rPr>
                      <w:rFonts w:hint="default"/>
                      <w:color w:val="auto"/>
                      <w:vertAlign w:val="baseline"/>
                      <w:lang w:val="en-US" w:eastAsia="zh-CN"/>
                    </w:rPr>
                  </w:pPr>
                </w:p>
              </w:tc>
              <w:tc>
                <w:tcPr>
                  <w:tcW w:w="1650" w:type="dxa"/>
                  <w:gridSpan w:val="2"/>
                  <w:vMerge w:val="continue"/>
                  <w:vAlign w:val="center"/>
                </w:tcPr>
                <w:p w14:paraId="6BAE9730">
                  <w:pPr>
                    <w:pStyle w:val="17"/>
                    <w:jc w:val="center"/>
                    <w:rPr>
                      <w:rFonts w:hint="default"/>
                      <w:color w:val="auto"/>
                      <w:vertAlign w:val="baseline"/>
                      <w:lang w:val="en-US" w:eastAsia="zh-CN"/>
                    </w:rPr>
                  </w:pPr>
                </w:p>
              </w:tc>
              <w:tc>
                <w:tcPr>
                  <w:tcW w:w="781" w:type="dxa"/>
                  <w:vAlign w:val="center"/>
                </w:tcPr>
                <w:p w14:paraId="647579B8">
                  <w:pPr>
                    <w:pStyle w:val="17"/>
                    <w:jc w:val="center"/>
                    <w:rPr>
                      <w:rFonts w:hint="default"/>
                      <w:color w:val="auto"/>
                      <w:vertAlign w:val="baseline"/>
                      <w:lang w:val="en-US" w:eastAsia="zh-CN"/>
                    </w:rPr>
                  </w:pPr>
                  <w:r>
                    <w:rPr>
                      <w:rFonts w:hint="eastAsia"/>
                      <w:color w:val="auto"/>
                      <w:vertAlign w:val="baseline"/>
                      <w:lang w:val="en-US" w:eastAsia="zh-CN"/>
                    </w:rPr>
                    <w:t>第1次</w:t>
                  </w:r>
                </w:p>
              </w:tc>
              <w:tc>
                <w:tcPr>
                  <w:tcW w:w="781" w:type="dxa"/>
                  <w:vAlign w:val="center"/>
                </w:tcPr>
                <w:p w14:paraId="0FB1206C">
                  <w:pPr>
                    <w:pStyle w:val="17"/>
                    <w:jc w:val="center"/>
                    <w:rPr>
                      <w:rFonts w:hint="default"/>
                      <w:color w:val="auto"/>
                      <w:vertAlign w:val="baseline"/>
                      <w:lang w:val="en-US" w:eastAsia="zh-CN"/>
                    </w:rPr>
                  </w:pPr>
                  <w:r>
                    <w:rPr>
                      <w:rFonts w:hint="eastAsia"/>
                      <w:color w:val="auto"/>
                      <w:vertAlign w:val="baseline"/>
                      <w:lang w:val="en-US" w:eastAsia="zh-CN"/>
                    </w:rPr>
                    <w:t>第2次</w:t>
                  </w:r>
                </w:p>
              </w:tc>
              <w:tc>
                <w:tcPr>
                  <w:tcW w:w="781" w:type="dxa"/>
                  <w:vAlign w:val="center"/>
                </w:tcPr>
                <w:p w14:paraId="61EDECEA">
                  <w:pPr>
                    <w:pStyle w:val="17"/>
                    <w:jc w:val="center"/>
                    <w:rPr>
                      <w:rFonts w:hint="default"/>
                      <w:color w:val="auto"/>
                      <w:vertAlign w:val="baseline"/>
                      <w:lang w:val="en-US" w:eastAsia="zh-CN"/>
                    </w:rPr>
                  </w:pPr>
                  <w:r>
                    <w:rPr>
                      <w:rFonts w:hint="eastAsia"/>
                      <w:color w:val="auto"/>
                      <w:vertAlign w:val="baseline"/>
                      <w:lang w:val="en-US" w:eastAsia="zh-CN"/>
                    </w:rPr>
                    <w:t>第3次</w:t>
                  </w:r>
                </w:p>
              </w:tc>
              <w:tc>
                <w:tcPr>
                  <w:tcW w:w="781" w:type="dxa"/>
                  <w:vAlign w:val="center"/>
                </w:tcPr>
                <w:p w14:paraId="6E796F96">
                  <w:pPr>
                    <w:pStyle w:val="17"/>
                    <w:jc w:val="center"/>
                    <w:rPr>
                      <w:rFonts w:hint="default"/>
                      <w:color w:val="auto"/>
                      <w:vertAlign w:val="baseline"/>
                      <w:lang w:val="en-US" w:eastAsia="zh-CN"/>
                    </w:rPr>
                  </w:pPr>
                  <w:r>
                    <w:rPr>
                      <w:rFonts w:hint="eastAsia"/>
                      <w:color w:val="auto"/>
                      <w:vertAlign w:val="baseline"/>
                      <w:lang w:val="en-US" w:eastAsia="zh-CN"/>
                    </w:rPr>
                    <w:t>第1次</w:t>
                  </w:r>
                </w:p>
              </w:tc>
              <w:tc>
                <w:tcPr>
                  <w:tcW w:w="781" w:type="dxa"/>
                  <w:vAlign w:val="center"/>
                </w:tcPr>
                <w:p w14:paraId="7897C24C">
                  <w:pPr>
                    <w:pStyle w:val="17"/>
                    <w:jc w:val="center"/>
                    <w:rPr>
                      <w:rFonts w:hint="default"/>
                      <w:color w:val="auto"/>
                      <w:vertAlign w:val="baseline"/>
                      <w:lang w:val="en-US" w:eastAsia="zh-CN"/>
                    </w:rPr>
                  </w:pPr>
                  <w:r>
                    <w:rPr>
                      <w:rFonts w:hint="eastAsia"/>
                      <w:color w:val="auto"/>
                      <w:vertAlign w:val="baseline"/>
                      <w:lang w:val="en-US" w:eastAsia="zh-CN"/>
                    </w:rPr>
                    <w:t>第2次</w:t>
                  </w:r>
                </w:p>
              </w:tc>
              <w:tc>
                <w:tcPr>
                  <w:tcW w:w="783" w:type="dxa"/>
                  <w:vAlign w:val="center"/>
                </w:tcPr>
                <w:p w14:paraId="48690CA2">
                  <w:pPr>
                    <w:pStyle w:val="17"/>
                    <w:jc w:val="center"/>
                    <w:rPr>
                      <w:rFonts w:hint="default"/>
                      <w:color w:val="auto"/>
                      <w:vertAlign w:val="baseline"/>
                      <w:lang w:val="en-US" w:eastAsia="zh-CN"/>
                    </w:rPr>
                  </w:pPr>
                  <w:r>
                    <w:rPr>
                      <w:rFonts w:hint="eastAsia"/>
                      <w:color w:val="auto"/>
                      <w:vertAlign w:val="baseline"/>
                      <w:lang w:val="en-US" w:eastAsia="zh-CN"/>
                    </w:rPr>
                    <w:t>第3次</w:t>
                  </w:r>
                </w:p>
              </w:tc>
              <w:tc>
                <w:tcPr>
                  <w:tcW w:w="500" w:type="dxa"/>
                  <w:vMerge w:val="continue"/>
                  <w:vAlign w:val="center"/>
                </w:tcPr>
                <w:p w14:paraId="6ED377F5">
                  <w:pPr>
                    <w:pStyle w:val="17"/>
                    <w:jc w:val="center"/>
                    <w:rPr>
                      <w:rFonts w:hint="default"/>
                      <w:color w:val="auto"/>
                      <w:vertAlign w:val="baseline"/>
                      <w:lang w:val="en-US" w:eastAsia="zh-CN"/>
                    </w:rPr>
                  </w:pPr>
                </w:p>
              </w:tc>
              <w:tc>
                <w:tcPr>
                  <w:tcW w:w="616" w:type="dxa"/>
                  <w:vMerge w:val="continue"/>
                  <w:vAlign w:val="center"/>
                </w:tcPr>
                <w:p w14:paraId="1A2E01F1">
                  <w:pPr>
                    <w:pStyle w:val="17"/>
                    <w:jc w:val="center"/>
                    <w:rPr>
                      <w:rFonts w:hint="default"/>
                      <w:color w:val="auto"/>
                      <w:vertAlign w:val="baseline"/>
                      <w:lang w:val="en-US" w:eastAsia="zh-CN"/>
                    </w:rPr>
                  </w:pPr>
                </w:p>
              </w:tc>
            </w:tr>
            <w:tr w14:paraId="14B04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36" w:type="dxa"/>
                  <w:vMerge w:val="restart"/>
                  <w:vAlign w:val="center"/>
                </w:tcPr>
                <w:p w14:paraId="535E716A">
                  <w:pPr>
                    <w:pStyle w:val="17"/>
                    <w:jc w:val="center"/>
                    <w:rPr>
                      <w:rFonts w:hint="default"/>
                      <w:color w:val="auto"/>
                      <w:vertAlign w:val="baseline"/>
                      <w:lang w:val="en-US" w:eastAsia="zh-CN"/>
                    </w:rPr>
                  </w:pPr>
                  <w:r>
                    <w:rPr>
                      <w:rFonts w:hint="eastAsia"/>
                      <w:color w:val="auto"/>
                      <w:vertAlign w:val="baseline"/>
                      <w:lang w:val="en-US" w:eastAsia="zh-CN"/>
                    </w:rPr>
                    <w:t>破碎排气筒进口（15m）</w:t>
                  </w:r>
                </w:p>
              </w:tc>
              <w:tc>
                <w:tcPr>
                  <w:tcW w:w="1650" w:type="dxa"/>
                  <w:gridSpan w:val="2"/>
                  <w:vAlign w:val="center"/>
                </w:tcPr>
                <w:p w14:paraId="1C3BA6AA">
                  <w:pPr>
                    <w:pStyle w:val="17"/>
                    <w:jc w:val="center"/>
                    <w:rPr>
                      <w:rFonts w:hint="default"/>
                      <w:color w:val="auto"/>
                      <w:vertAlign w:val="baseline"/>
                      <w:lang w:val="en-US" w:eastAsia="zh-CN"/>
                    </w:rPr>
                  </w:pPr>
                  <w:r>
                    <w:rPr>
                      <w:rFonts w:hint="eastAsia"/>
                      <w:color w:val="auto"/>
                      <w:vertAlign w:val="baseline"/>
                      <w:lang w:val="en-US" w:eastAsia="zh-CN"/>
                    </w:rPr>
                    <w:t>标干流量</w:t>
                  </w:r>
                </w:p>
              </w:tc>
              <w:tc>
                <w:tcPr>
                  <w:tcW w:w="781" w:type="dxa"/>
                  <w:vAlign w:val="center"/>
                </w:tcPr>
                <w:p w14:paraId="443DEDBC">
                  <w:pPr>
                    <w:pStyle w:val="17"/>
                    <w:jc w:val="center"/>
                    <w:rPr>
                      <w:rFonts w:hint="default"/>
                      <w:color w:val="auto"/>
                      <w:vertAlign w:val="baseline"/>
                      <w:lang w:val="en-US" w:eastAsia="zh-CN"/>
                    </w:rPr>
                  </w:pPr>
                  <w:r>
                    <w:rPr>
                      <w:rFonts w:hint="eastAsia"/>
                      <w:color w:val="auto"/>
                      <w:vertAlign w:val="baseline"/>
                      <w:lang w:val="en-US" w:eastAsia="zh-CN"/>
                    </w:rPr>
                    <w:t>5234</w:t>
                  </w:r>
                </w:p>
              </w:tc>
              <w:tc>
                <w:tcPr>
                  <w:tcW w:w="781" w:type="dxa"/>
                  <w:vAlign w:val="center"/>
                </w:tcPr>
                <w:p w14:paraId="50141BCA">
                  <w:pPr>
                    <w:pStyle w:val="17"/>
                    <w:jc w:val="center"/>
                    <w:rPr>
                      <w:rFonts w:hint="default"/>
                      <w:color w:val="auto"/>
                      <w:vertAlign w:val="baseline"/>
                      <w:lang w:val="en-US" w:eastAsia="zh-CN"/>
                    </w:rPr>
                  </w:pPr>
                  <w:r>
                    <w:rPr>
                      <w:rFonts w:hint="eastAsia"/>
                      <w:color w:val="auto"/>
                      <w:vertAlign w:val="baseline"/>
                      <w:lang w:val="en-US" w:eastAsia="zh-CN"/>
                    </w:rPr>
                    <w:t>5125</w:t>
                  </w:r>
                </w:p>
              </w:tc>
              <w:tc>
                <w:tcPr>
                  <w:tcW w:w="781" w:type="dxa"/>
                  <w:vAlign w:val="center"/>
                </w:tcPr>
                <w:p w14:paraId="03C5DF3E">
                  <w:pPr>
                    <w:pStyle w:val="17"/>
                    <w:jc w:val="center"/>
                    <w:rPr>
                      <w:rFonts w:hint="default"/>
                      <w:color w:val="auto"/>
                      <w:vertAlign w:val="baseline"/>
                      <w:lang w:val="en-US" w:eastAsia="zh-CN"/>
                    </w:rPr>
                  </w:pPr>
                  <w:r>
                    <w:rPr>
                      <w:rFonts w:hint="eastAsia"/>
                      <w:color w:val="auto"/>
                      <w:vertAlign w:val="baseline"/>
                      <w:lang w:val="en-US" w:eastAsia="zh-CN"/>
                    </w:rPr>
                    <w:t>4928</w:t>
                  </w:r>
                </w:p>
              </w:tc>
              <w:tc>
                <w:tcPr>
                  <w:tcW w:w="781" w:type="dxa"/>
                  <w:vAlign w:val="center"/>
                </w:tcPr>
                <w:p w14:paraId="17F32967">
                  <w:pPr>
                    <w:pStyle w:val="17"/>
                    <w:jc w:val="center"/>
                    <w:rPr>
                      <w:rFonts w:hint="default"/>
                      <w:color w:val="auto"/>
                      <w:vertAlign w:val="baseline"/>
                      <w:lang w:val="en-US" w:eastAsia="zh-CN"/>
                    </w:rPr>
                  </w:pPr>
                  <w:r>
                    <w:rPr>
                      <w:rFonts w:hint="eastAsia"/>
                      <w:color w:val="auto"/>
                      <w:vertAlign w:val="baseline"/>
                      <w:lang w:val="en-US" w:eastAsia="zh-CN"/>
                    </w:rPr>
                    <w:t>5220</w:t>
                  </w:r>
                </w:p>
              </w:tc>
              <w:tc>
                <w:tcPr>
                  <w:tcW w:w="781" w:type="dxa"/>
                  <w:vAlign w:val="center"/>
                </w:tcPr>
                <w:p w14:paraId="09959BB0">
                  <w:pPr>
                    <w:pStyle w:val="17"/>
                    <w:jc w:val="center"/>
                    <w:rPr>
                      <w:rFonts w:hint="default"/>
                      <w:color w:val="auto"/>
                      <w:vertAlign w:val="baseline"/>
                      <w:lang w:val="en-US" w:eastAsia="zh-CN"/>
                    </w:rPr>
                  </w:pPr>
                  <w:r>
                    <w:rPr>
                      <w:rFonts w:hint="eastAsia"/>
                      <w:color w:val="auto"/>
                      <w:vertAlign w:val="baseline"/>
                      <w:lang w:val="en-US" w:eastAsia="zh-CN"/>
                    </w:rPr>
                    <w:t>5189</w:t>
                  </w:r>
                </w:p>
              </w:tc>
              <w:tc>
                <w:tcPr>
                  <w:tcW w:w="783" w:type="dxa"/>
                  <w:vAlign w:val="center"/>
                </w:tcPr>
                <w:p w14:paraId="0B78AEB0">
                  <w:pPr>
                    <w:pStyle w:val="17"/>
                    <w:jc w:val="center"/>
                    <w:rPr>
                      <w:rFonts w:hint="default"/>
                      <w:color w:val="auto"/>
                      <w:vertAlign w:val="baseline"/>
                      <w:lang w:val="en-US" w:eastAsia="zh-CN"/>
                    </w:rPr>
                  </w:pPr>
                  <w:r>
                    <w:rPr>
                      <w:rFonts w:hint="eastAsia"/>
                      <w:color w:val="auto"/>
                      <w:vertAlign w:val="baseline"/>
                      <w:lang w:val="en-US" w:eastAsia="zh-CN"/>
                    </w:rPr>
                    <w:t>5203</w:t>
                  </w:r>
                </w:p>
              </w:tc>
              <w:tc>
                <w:tcPr>
                  <w:tcW w:w="500" w:type="dxa"/>
                  <w:vAlign w:val="center"/>
                </w:tcPr>
                <w:p w14:paraId="174D0B81">
                  <w:pPr>
                    <w:pStyle w:val="17"/>
                    <w:jc w:val="center"/>
                    <w:rPr>
                      <w:rFonts w:hint="default"/>
                      <w:color w:val="auto"/>
                      <w:vertAlign w:val="baseline"/>
                      <w:lang w:val="en-US" w:eastAsia="zh-CN"/>
                    </w:rPr>
                  </w:pPr>
                  <w:r>
                    <w:rPr>
                      <w:rFonts w:hint="eastAsia"/>
                      <w:color w:val="auto"/>
                      <w:vertAlign w:val="baseline"/>
                      <w:lang w:val="en-US" w:eastAsia="zh-CN"/>
                    </w:rPr>
                    <w:t>—</w:t>
                  </w:r>
                </w:p>
              </w:tc>
              <w:tc>
                <w:tcPr>
                  <w:tcW w:w="616" w:type="dxa"/>
                  <w:vAlign w:val="center"/>
                </w:tcPr>
                <w:p w14:paraId="2B143A8E">
                  <w:pPr>
                    <w:pStyle w:val="17"/>
                    <w:jc w:val="center"/>
                    <w:rPr>
                      <w:rFonts w:hint="default"/>
                      <w:color w:val="auto"/>
                      <w:vertAlign w:val="baseline"/>
                      <w:lang w:val="en-US" w:eastAsia="zh-CN"/>
                    </w:rPr>
                  </w:pPr>
                  <w:r>
                    <w:rPr>
                      <w:rFonts w:hint="eastAsia"/>
                      <w:color w:val="auto"/>
                      <w:vertAlign w:val="baseline"/>
                      <w:lang w:val="en-US" w:eastAsia="zh-CN"/>
                    </w:rPr>
                    <w:t>m</w:t>
                  </w:r>
                  <w:r>
                    <w:rPr>
                      <w:rFonts w:hint="eastAsia"/>
                      <w:color w:val="auto"/>
                      <w:vertAlign w:val="superscript"/>
                      <w:lang w:val="en-US" w:eastAsia="zh-CN"/>
                    </w:rPr>
                    <w:t>3</w:t>
                  </w:r>
                  <w:r>
                    <w:rPr>
                      <w:rFonts w:hint="eastAsia"/>
                      <w:color w:val="auto"/>
                      <w:vertAlign w:val="baseline"/>
                      <w:lang w:val="en-US" w:eastAsia="zh-CN"/>
                    </w:rPr>
                    <w:t>/h</w:t>
                  </w:r>
                </w:p>
              </w:tc>
            </w:tr>
            <w:tr w14:paraId="048D9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36" w:type="dxa"/>
                  <w:vMerge w:val="continue"/>
                  <w:vAlign w:val="center"/>
                </w:tcPr>
                <w:p w14:paraId="786F1792">
                  <w:pPr>
                    <w:pStyle w:val="17"/>
                    <w:jc w:val="center"/>
                    <w:rPr>
                      <w:rFonts w:hint="default"/>
                      <w:color w:val="auto"/>
                      <w:vertAlign w:val="baseline"/>
                      <w:lang w:val="en-US" w:eastAsia="zh-CN"/>
                    </w:rPr>
                  </w:pPr>
                </w:p>
              </w:tc>
              <w:tc>
                <w:tcPr>
                  <w:tcW w:w="513" w:type="dxa"/>
                  <w:vMerge w:val="restart"/>
                  <w:vAlign w:val="center"/>
                </w:tcPr>
                <w:p w14:paraId="7C27C227">
                  <w:pPr>
                    <w:pStyle w:val="17"/>
                    <w:jc w:val="center"/>
                    <w:rPr>
                      <w:rFonts w:hint="default"/>
                      <w:color w:val="auto"/>
                      <w:vertAlign w:val="baseline"/>
                      <w:lang w:val="en-US" w:eastAsia="zh-CN"/>
                    </w:rPr>
                  </w:pPr>
                  <w:r>
                    <w:rPr>
                      <w:rFonts w:hint="eastAsia"/>
                      <w:color w:val="auto"/>
                      <w:vertAlign w:val="baseline"/>
                      <w:lang w:val="en-US" w:eastAsia="zh-CN"/>
                    </w:rPr>
                    <w:t>颗粒物</w:t>
                  </w:r>
                </w:p>
              </w:tc>
              <w:tc>
                <w:tcPr>
                  <w:tcW w:w="1137" w:type="dxa"/>
                  <w:vAlign w:val="center"/>
                </w:tcPr>
                <w:p w14:paraId="506460DA">
                  <w:pPr>
                    <w:pStyle w:val="17"/>
                    <w:ind w:firstLine="0" w:firstLineChars="0"/>
                    <w:jc w:val="center"/>
                    <w:rPr>
                      <w:rFonts w:hint="eastAsia"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实测浓度</w:t>
                  </w:r>
                </w:p>
              </w:tc>
              <w:tc>
                <w:tcPr>
                  <w:tcW w:w="781" w:type="dxa"/>
                  <w:vAlign w:val="center"/>
                </w:tcPr>
                <w:p w14:paraId="5D3245C3">
                  <w:pPr>
                    <w:pStyle w:val="17"/>
                    <w:jc w:val="center"/>
                    <w:rPr>
                      <w:rFonts w:hint="default"/>
                      <w:color w:val="auto"/>
                      <w:vertAlign w:val="baseline"/>
                      <w:lang w:val="en-US" w:eastAsia="zh-CN"/>
                    </w:rPr>
                  </w:pPr>
                  <w:r>
                    <w:rPr>
                      <w:rFonts w:hint="eastAsia"/>
                      <w:color w:val="auto"/>
                      <w:vertAlign w:val="baseline"/>
                      <w:lang w:val="en-US" w:eastAsia="zh-CN"/>
                    </w:rPr>
                    <w:t>818</w:t>
                  </w:r>
                </w:p>
              </w:tc>
              <w:tc>
                <w:tcPr>
                  <w:tcW w:w="781" w:type="dxa"/>
                  <w:vAlign w:val="center"/>
                </w:tcPr>
                <w:p w14:paraId="11FBFB0C">
                  <w:pPr>
                    <w:pStyle w:val="17"/>
                    <w:jc w:val="center"/>
                    <w:rPr>
                      <w:rFonts w:hint="default"/>
                      <w:color w:val="auto"/>
                      <w:vertAlign w:val="baseline"/>
                      <w:lang w:val="en-US" w:eastAsia="zh-CN"/>
                    </w:rPr>
                  </w:pPr>
                  <w:r>
                    <w:rPr>
                      <w:rFonts w:hint="eastAsia"/>
                      <w:color w:val="auto"/>
                      <w:vertAlign w:val="baseline"/>
                      <w:lang w:val="en-US" w:eastAsia="zh-CN"/>
                    </w:rPr>
                    <w:t>785</w:t>
                  </w:r>
                </w:p>
              </w:tc>
              <w:tc>
                <w:tcPr>
                  <w:tcW w:w="781" w:type="dxa"/>
                  <w:vAlign w:val="center"/>
                </w:tcPr>
                <w:p w14:paraId="7174B29E">
                  <w:pPr>
                    <w:pStyle w:val="17"/>
                    <w:jc w:val="center"/>
                    <w:rPr>
                      <w:rFonts w:hint="default"/>
                      <w:color w:val="auto"/>
                      <w:vertAlign w:val="baseline"/>
                      <w:lang w:val="en-US" w:eastAsia="zh-CN"/>
                    </w:rPr>
                  </w:pPr>
                  <w:r>
                    <w:rPr>
                      <w:rFonts w:hint="eastAsia"/>
                      <w:color w:val="auto"/>
                      <w:vertAlign w:val="baseline"/>
                      <w:lang w:val="en-US" w:eastAsia="zh-CN"/>
                    </w:rPr>
                    <w:t>861</w:t>
                  </w:r>
                </w:p>
              </w:tc>
              <w:tc>
                <w:tcPr>
                  <w:tcW w:w="781" w:type="dxa"/>
                  <w:vAlign w:val="center"/>
                </w:tcPr>
                <w:p w14:paraId="2B37D1AD">
                  <w:pPr>
                    <w:pStyle w:val="17"/>
                    <w:jc w:val="center"/>
                    <w:rPr>
                      <w:rFonts w:hint="default"/>
                      <w:color w:val="auto"/>
                      <w:vertAlign w:val="baseline"/>
                      <w:lang w:val="en-US" w:eastAsia="zh-CN"/>
                    </w:rPr>
                  </w:pPr>
                  <w:r>
                    <w:rPr>
                      <w:rFonts w:hint="eastAsia"/>
                      <w:color w:val="auto"/>
                      <w:vertAlign w:val="baseline"/>
                      <w:lang w:val="en-US" w:eastAsia="zh-CN"/>
                    </w:rPr>
                    <w:t>901</w:t>
                  </w:r>
                </w:p>
              </w:tc>
              <w:tc>
                <w:tcPr>
                  <w:tcW w:w="781" w:type="dxa"/>
                  <w:vAlign w:val="center"/>
                </w:tcPr>
                <w:p w14:paraId="5A0A934D">
                  <w:pPr>
                    <w:pStyle w:val="17"/>
                    <w:jc w:val="center"/>
                    <w:rPr>
                      <w:rFonts w:hint="default"/>
                      <w:color w:val="auto"/>
                      <w:vertAlign w:val="baseline"/>
                      <w:lang w:val="en-US" w:eastAsia="zh-CN"/>
                    </w:rPr>
                  </w:pPr>
                  <w:r>
                    <w:rPr>
                      <w:rFonts w:hint="eastAsia"/>
                      <w:color w:val="auto"/>
                      <w:vertAlign w:val="baseline"/>
                      <w:lang w:val="en-US" w:eastAsia="zh-CN"/>
                    </w:rPr>
                    <w:t>836</w:t>
                  </w:r>
                </w:p>
              </w:tc>
              <w:tc>
                <w:tcPr>
                  <w:tcW w:w="783" w:type="dxa"/>
                  <w:vAlign w:val="center"/>
                </w:tcPr>
                <w:p w14:paraId="04ADCFC6">
                  <w:pPr>
                    <w:pStyle w:val="17"/>
                    <w:jc w:val="center"/>
                    <w:rPr>
                      <w:rFonts w:hint="default"/>
                      <w:color w:val="auto"/>
                      <w:vertAlign w:val="baseline"/>
                      <w:lang w:val="en-US" w:eastAsia="zh-CN"/>
                    </w:rPr>
                  </w:pPr>
                  <w:r>
                    <w:rPr>
                      <w:rFonts w:hint="eastAsia"/>
                      <w:color w:val="auto"/>
                      <w:vertAlign w:val="baseline"/>
                      <w:lang w:val="en-US" w:eastAsia="zh-CN"/>
                    </w:rPr>
                    <w:t>789</w:t>
                  </w:r>
                </w:p>
              </w:tc>
              <w:tc>
                <w:tcPr>
                  <w:tcW w:w="500" w:type="dxa"/>
                  <w:vAlign w:val="center"/>
                </w:tcPr>
                <w:p w14:paraId="277AEBD8">
                  <w:pPr>
                    <w:pStyle w:val="17"/>
                    <w:jc w:val="center"/>
                    <w:rPr>
                      <w:rFonts w:hint="default"/>
                      <w:color w:val="auto"/>
                      <w:vertAlign w:val="baseline"/>
                      <w:lang w:val="en-US" w:eastAsia="zh-CN"/>
                    </w:rPr>
                  </w:pPr>
                  <w:r>
                    <w:rPr>
                      <w:rFonts w:hint="eastAsia"/>
                      <w:color w:val="auto"/>
                      <w:vertAlign w:val="baseline"/>
                      <w:lang w:val="en-US" w:eastAsia="zh-CN"/>
                    </w:rPr>
                    <w:t>—</w:t>
                  </w:r>
                </w:p>
              </w:tc>
              <w:tc>
                <w:tcPr>
                  <w:tcW w:w="616" w:type="dxa"/>
                  <w:vAlign w:val="center"/>
                </w:tcPr>
                <w:p w14:paraId="69B9835E">
                  <w:pPr>
                    <w:pStyle w:val="17"/>
                    <w:jc w:val="center"/>
                    <w:rPr>
                      <w:rFonts w:hint="default"/>
                      <w:color w:val="auto"/>
                      <w:vertAlign w:val="baseline"/>
                      <w:lang w:val="en-US" w:eastAsia="zh-CN"/>
                    </w:rPr>
                  </w:pPr>
                  <w:r>
                    <w:rPr>
                      <w:rFonts w:hint="eastAsia"/>
                      <w:color w:val="auto"/>
                      <w:vertAlign w:val="baseline"/>
                      <w:lang w:val="en-US" w:eastAsia="zh-CN"/>
                    </w:rPr>
                    <w:t>mg/m</w:t>
                  </w:r>
                  <w:r>
                    <w:rPr>
                      <w:rFonts w:hint="eastAsia"/>
                      <w:color w:val="auto"/>
                      <w:vertAlign w:val="superscript"/>
                      <w:lang w:val="en-US" w:eastAsia="zh-CN"/>
                    </w:rPr>
                    <w:t>3</w:t>
                  </w:r>
                </w:p>
              </w:tc>
            </w:tr>
            <w:tr w14:paraId="7DA6A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36" w:type="dxa"/>
                  <w:vMerge w:val="continue"/>
                  <w:vAlign w:val="center"/>
                </w:tcPr>
                <w:p w14:paraId="1BF0BD4F">
                  <w:pPr>
                    <w:pStyle w:val="17"/>
                    <w:jc w:val="center"/>
                    <w:rPr>
                      <w:rFonts w:hint="default"/>
                      <w:color w:val="auto"/>
                      <w:vertAlign w:val="baseline"/>
                      <w:lang w:val="en-US" w:eastAsia="zh-CN"/>
                    </w:rPr>
                  </w:pPr>
                </w:p>
              </w:tc>
              <w:tc>
                <w:tcPr>
                  <w:tcW w:w="513" w:type="dxa"/>
                  <w:vMerge w:val="continue"/>
                  <w:vAlign w:val="center"/>
                </w:tcPr>
                <w:p w14:paraId="66660E95">
                  <w:pPr>
                    <w:pStyle w:val="17"/>
                    <w:jc w:val="center"/>
                    <w:rPr>
                      <w:rFonts w:hint="default"/>
                      <w:color w:val="auto"/>
                      <w:vertAlign w:val="baseline"/>
                      <w:lang w:val="en-US" w:eastAsia="zh-CN"/>
                    </w:rPr>
                  </w:pPr>
                </w:p>
              </w:tc>
              <w:tc>
                <w:tcPr>
                  <w:tcW w:w="1137" w:type="dxa"/>
                  <w:vAlign w:val="center"/>
                </w:tcPr>
                <w:p w14:paraId="157511D9">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排放速率</w:t>
                  </w:r>
                </w:p>
              </w:tc>
              <w:tc>
                <w:tcPr>
                  <w:tcW w:w="781" w:type="dxa"/>
                  <w:vAlign w:val="center"/>
                </w:tcPr>
                <w:p w14:paraId="74519A0F">
                  <w:pPr>
                    <w:pStyle w:val="17"/>
                    <w:jc w:val="center"/>
                    <w:rPr>
                      <w:rFonts w:hint="default"/>
                      <w:color w:val="auto"/>
                      <w:vertAlign w:val="baseline"/>
                      <w:lang w:val="en-US" w:eastAsia="zh-CN"/>
                    </w:rPr>
                  </w:pPr>
                  <w:r>
                    <w:rPr>
                      <w:rFonts w:hint="eastAsia"/>
                      <w:color w:val="auto"/>
                      <w:vertAlign w:val="baseline"/>
                      <w:lang w:val="en-US" w:eastAsia="zh-CN"/>
                    </w:rPr>
                    <w:t>4.28</w:t>
                  </w:r>
                </w:p>
              </w:tc>
              <w:tc>
                <w:tcPr>
                  <w:tcW w:w="781" w:type="dxa"/>
                  <w:vAlign w:val="center"/>
                </w:tcPr>
                <w:p w14:paraId="48CC72ED">
                  <w:pPr>
                    <w:pStyle w:val="17"/>
                    <w:jc w:val="center"/>
                    <w:rPr>
                      <w:rFonts w:hint="default"/>
                      <w:color w:val="auto"/>
                      <w:vertAlign w:val="baseline"/>
                      <w:lang w:val="en-US" w:eastAsia="zh-CN"/>
                    </w:rPr>
                  </w:pPr>
                  <w:r>
                    <w:rPr>
                      <w:rFonts w:hint="eastAsia"/>
                      <w:color w:val="auto"/>
                      <w:vertAlign w:val="baseline"/>
                      <w:lang w:val="en-US" w:eastAsia="zh-CN"/>
                    </w:rPr>
                    <w:t>4.02</w:t>
                  </w:r>
                </w:p>
              </w:tc>
              <w:tc>
                <w:tcPr>
                  <w:tcW w:w="781" w:type="dxa"/>
                  <w:vAlign w:val="center"/>
                </w:tcPr>
                <w:p w14:paraId="796FA2BF">
                  <w:pPr>
                    <w:pStyle w:val="17"/>
                    <w:jc w:val="center"/>
                    <w:rPr>
                      <w:rFonts w:hint="default"/>
                      <w:color w:val="auto"/>
                      <w:vertAlign w:val="baseline"/>
                      <w:lang w:val="en-US" w:eastAsia="zh-CN"/>
                    </w:rPr>
                  </w:pPr>
                  <w:r>
                    <w:rPr>
                      <w:rFonts w:hint="eastAsia"/>
                      <w:color w:val="auto"/>
                      <w:vertAlign w:val="baseline"/>
                      <w:lang w:val="en-US" w:eastAsia="zh-CN"/>
                    </w:rPr>
                    <w:t>4.24</w:t>
                  </w:r>
                </w:p>
              </w:tc>
              <w:tc>
                <w:tcPr>
                  <w:tcW w:w="781" w:type="dxa"/>
                  <w:vAlign w:val="center"/>
                </w:tcPr>
                <w:p w14:paraId="7B0DD004">
                  <w:pPr>
                    <w:pStyle w:val="17"/>
                    <w:jc w:val="center"/>
                    <w:rPr>
                      <w:rFonts w:hint="default"/>
                      <w:color w:val="auto"/>
                      <w:vertAlign w:val="baseline"/>
                      <w:lang w:val="en-US" w:eastAsia="zh-CN"/>
                    </w:rPr>
                  </w:pPr>
                  <w:r>
                    <w:rPr>
                      <w:rFonts w:hint="eastAsia"/>
                      <w:color w:val="auto"/>
                      <w:vertAlign w:val="baseline"/>
                      <w:lang w:val="en-US" w:eastAsia="zh-CN"/>
                    </w:rPr>
                    <w:t>4.70</w:t>
                  </w:r>
                </w:p>
              </w:tc>
              <w:tc>
                <w:tcPr>
                  <w:tcW w:w="781" w:type="dxa"/>
                  <w:vAlign w:val="center"/>
                </w:tcPr>
                <w:p w14:paraId="7F96BAC7">
                  <w:pPr>
                    <w:pStyle w:val="17"/>
                    <w:jc w:val="center"/>
                    <w:rPr>
                      <w:rFonts w:hint="default"/>
                      <w:color w:val="auto"/>
                      <w:vertAlign w:val="baseline"/>
                      <w:lang w:val="en-US" w:eastAsia="zh-CN"/>
                    </w:rPr>
                  </w:pPr>
                  <w:r>
                    <w:rPr>
                      <w:rFonts w:hint="eastAsia"/>
                      <w:color w:val="auto"/>
                      <w:vertAlign w:val="baseline"/>
                      <w:lang w:val="en-US" w:eastAsia="zh-CN"/>
                    </w:rPr>
                    <w:t>4.34</w:t>
                  </w:r>
                </w:p>
              </w:tc>
              <w:tc>
                <w:tcPr>
                  <w:tcW w:w="783" w:type="dxa"/>
                  <w:vAlign w:val="center"/>
                </w:tcPr>
                <w:p w14:paraId="7D64B7A5">
                  <w:pPr>
                    <w:pStyle w:val="17"/>
                    <w:jc w:val="center"/>
                    <w:rPr>
                      <w:rFonts w:hint="default"/>
                      <w:color w:val="auto"/>
                      <w:vertAlign w:val="baseline"/>
                      <w:lang w:val="en-US" w:eastAsia="zh-CN"/>
                    </w:rPr>
                  </w:pPr>
                  <w:r>
                    <w:rPr>
                      <w:rFonts w:hint="eastAsia"/>
                      <w:color w:val="auto"/>
                      <w:vertAlign w:val="baseline"/>
                      <w:lang w:val="en-US" w:eastAsia="zh-CN"/>
                    </w:rPr>
                    <w:t>4.11</w:t>
                  </w:r>
                </w:p>
              </w:tc>
              <w:tc>
                <w:tcPr>
                  <w:tcW w:w="500" w:type="dxa"/>
                  <w:vAlign w:val="center"/>
                </w:tcPr>
                <w:p w14:paraId="1B0F4503">
                  <w:pPr>
                    <w:pStyle w:val="17"/>
                    <w:jc w:val="center"/>
                    <w:rPr>
                      <w:rFonts w:hint="default"/>
                      <w:color w:val="auto"/>
                      <w:vertAlign w:val="baseline"/>
                      <w:lang w:val="en-US" w:eastAsia="zh-CN"/>
                    </w:rPr>
                  </w:pPr>
                  <w:r>
                    <w:rPr>
                      <w:rFonts w:hint="eastAsia"/>
                      <w:color w:val="auto"/>
                      <w:vertAlign w:val="baseline"/>
                      <w:lang w:val="en-US" w:eastAsia="zh-CN"/>
                    </w:rPr>
                    <w:t>—</w:t>
                  </w:r>
                </w:p>
              </w:tc>
              <w:tc>
                <w:tcPr>
                  <w:tcW w:w="616" w:type="dxa"/>
                  <w:vAlign w:val="center"/>
                </w:tcPr>
                <w:p w14:paraId="6714BAA6">
                  <w:pPr>
                    <w:pStyle w:val="17"/>
                    <w:jc w:val="center"/>
                    <w:rPr>
                      <w:rFonts w:hint="default"/>
                      <w:color w:val="auto"/>
                      <w:vertAlign w:val="baseline"/>
                      <w:lang w:val="en-US" w:eastAsia="zh-CN"/>
                    </w:rPr>
                  </w:pPr>
                  <w:r>
                    <w:rPr>
                      <w:rFonts w:hint="eastAsia"/>
                      <w:color w:val="auto"/>
                      <w:vertAlign w:val="baseline"/>
                      <w:lang w:val="en-US" w:eastAsia="zh-CN"/>
                    </w:rPr>
                    <w:t>kg/h</w:t>
                  </w:r>
                </w:p>
              </w:tc>
            </w:tr>
            <w:tr w14:paraId="1958B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36" w:type="dxa"/>
                  <w:vMerge w:val="restart"/>
                  <w:vAlign w:val="center"/>
                </w:tcPr>
                <w:p w14:paraId="7DD0B9C7">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破碎排气筒排放口（15m）</w:t>
                  </w:r>
                </w:p>
              </w:tc>
              <w:tc>
                <w:tcPr>
                  <w:tcW w:w="1650" w:type="dxa"/>
                  <w:gridSpan w:val="2"/>
                  <w:vAlign w:val="center"/>
                </w:tcPr>
                <w:p w14:paraId="1AD0A594">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标干流量</w:t>
                  </w:r>
                </w:p>
              </w:tc>
              <w:tc>
                <w:tcPr>
                  <w:tcW w:w="781" w:type="dxa"/>
                  <w:vAlign w:val="center"/>
                </w:tcPr>
                <w:p w14:paraId="322BECE0">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s="Times New Roman"/>
                      <w:color w:val="auto"/>
                      <w:kern w:val="0"/>
                      <w:sz w:val="21"/>
                      <w:szCs w:val="21"/>
                      <w:vertAlign w:val="baseline"/>
                      <w:lang w:val="en-US" w:eastAsia="zh-CN" w:bidi="ar-SA"/>
                    </w:rPr>
                    <w:t>6555</w:t>
                  </w:r>
                </w:p>
              </w:tc>
              <w:tc>
                <w:tcPr>
                  <w:tcW w:w="781" w:type="dxa"/>
                  <w:vAlign w:val="center"/>
                </w:tcPr>
                <w:p w14:paraId="46AC482E">
                  <w:pPr>
                    <w:pStyle w:val="17"/>
                    <w:jc w:val="center"/>
                    <w:rPr>
                      <w:rFonts w:hint="default"/>
                      <w:color w:val="auto"/>
                      <w:vertAlign w:val="baseline"/>
                      <w:lang w:val="en-US" w:eastAsia="zh-CN"/>
                    </w:rPr>
                  </w:pPr>
                  <w:r>
                    <w:rPr>
                      <w:rFonts w:hint="eastAsia"/>
                      <w:color w:val="auto"/>
                      <w:vertAlign w:val="baseline"/>
                      <w:lang w:val="en-US" w:eastAsia="zh-CN"/>
                    </w:rPr>
                    <w:t>6389</w:t>
                  </w:r>
                </w:p>
              </w:tc>
              <w:tc>
                <w:tcPr>
                  <w:tcW w:w="781" w:type="dxa"/>
                  <w:vAlign w:val="center"/>
                </w:tcPr>
                <w:p w14:paraId="549430BE">
                  <w:pPr>
                    <w:pStyle w:val="17"/>
                    <w:jc w:val="center"/>
                    <w:rPr>
                      <w:rFonts w:hint="default"/>
                      <w:color w:val="auto"/>
                      <w:vertAlign w:val="baseline"/>
                      <w:lang w:val="en-US" w:eastAsia="zh-CN"/>
                    </w:rPr>
                  </w:pPr>
                  <w:r>
                    <w:rPr>
                      <w:rFonts w:hint="eastAsia"/>
                      <w:color w:val="auto"/>
                      <w:vertAlign w:val="baseline"/>
                      <w:lang w:val="en-US" w:eastAsia="zh-CN"/>
                    </w:rPr>
                    <w:t>6500</w:t>
                  </w:r>
                </w:p>
              </w:tc>
              <w:tc>
                <w:tcPr>
                  <w:tcW w:w="781" w:type="dxa"/>
                  <w:vAlign w:val="center"/>
                </w:tcPr>
                <w:p w14:paraId="57AA5AE7">
                  <w:pPr>
                    <w:pStyle w:val="17"/>
                    <w:jc w:val="center"/>
                    <w:rPr>
                      <w:rFonts w:hint="default"/>
                      <w:color w:val="auto"/>
                      <w:vertAlign w:val="baseline"/>
                      <w:lang w:val="en-US" w:eastAsia="zh-CN"/>
                    </w:rPr>
                  </w:pPr>
                  <w:r>
                    <w:rPr>
                      <w:rFonts w:hint="eastAsia"/>
                      <w:color w:val="auto"/>
                      <w:vertAlign w:val="baseline"/>
                      <w:lang w:val="en-US" w:eastAsia="zh-CN"/>
                    </w:rPr>
                    <w:t>6670</w:t>
                  </w:r>
                </w:p>
              </w:tc>
              <w:tc>
                <w:tcPr>
                  <w:tcW w:w="781" w:type="dxa"/>
                  <w:vAlign w:val="center"/>
                </w:tcPr>
                <w:p w14:paraId="5A691251">
                  <w:pPr>
                    <w:pStyle w:val="17"/>
                    <w:jc w:val="center"/>
                    <w:rPr>
                      <w:rFonts w:hint="default"/>
                      <w:color w:val="auto"/>
                      <w:vertAlign w:val="baseline"/>
                      <w:lang w:val="en-US" w:eastAsia="zh-CN"/>
                    </w:rPr>
                  </w:pPr>
                  <w:r>
                    <w:rPr>
                      <w:rFonts w:hint="eastAsia"/>
                      <w:color w:val="auto"/>
                      <w:vertAlign w:val="baseline"/>
                      <w:lang w:val="en-US" w:eastAsia="zh-CN"/>
                    </w:rPr>
                    <w:t>6352</w:t>
                  </w:r>
                </w:p>
              </w:tc>
              <w:tc>
                <w:tcPr>
                  <w:tcW w:w="783" w:type="dxa"/>
                  <w:vAlign w:val="center"/>
                </w:tcPr>
                <w:p w14:paraId="17855463">
                  <w:pPr>
                    <w:pStyle w:val="17"/>
                    <w:jc w:val="center"/>
                    <w:rPr>
                      <w:rFonts w:hint="default"/>
                      <w:color w:val="auto"/>
                      <w:vertAlign w:val="baseline"/>
                      <w:lang w:val="en-US" w:eastAsia="zh-CN"/>
                    </w:rPr>
                  </w:pPr>
                  <w:r>
                    <w:rPr>
                      <w:rFonts w:hint="eastAsia"/>
                      <w:color w:val="auto"/>
                      <w:vertAlign w:val="baseline"/>
                      <w:lang w:val="en-US" w:eastAsia="zh-CN"/>
                    </w:rPr>
                    <w:t>6447</w:t>
                  </w:r>
                </w:p>
              </w:tc>
              <w:tc>
                <w:tcPr>
                  <w:tcW w:w="500" w:type="dxa"/>
                  <w:vAlign w:val="center"/>
                </w:tcPr>
                <w:p w14:paraId="541C92CE">
                  <w:pPr>
                    <w:pStyle w:val="17"/>
                    <w:jc w:val="center"/>
                    <w:rPr>
                      <w:rFonts w:hint="default"/>
                      <w:color w:val="auto"/>
                      <w:vertAlign w:val="baseline"/>
                      <w:lang w:val="en-US" w:eastAsia="zh-CN"/>
                    </w:rPr>
                  </w:pPr>
                  <w:r>
                    <w:rPr>
                      <w:rFonts w:hint="eastAsia"/>
                      <w:color w:val="auto"/>
                      <w:vertAlign w:val="baseline"/>
                      <w:lang w:val="en-US" w:eastAsia="zh-CN"/>
                    </w:rPr>
                    <w:t>—</w:t>
                  </w:r>
                </w:p>
              </w:tc>
              <w:tc>
                <w:tcPr>
                  <w:tcW w:w="616" w:type="dxa"/>
                  <w:vAlign w:val="center"/>
                </w:tcPr>
                <w:p w14:paraId="11F511CB">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m</w:t>
                  </w:r>
                  <w:r>
                    <w:rPr>
                      <w:rFonts w:hint="eastAsia"/>
                      <w:color w:val="auto"/>
                      <w:vertAlign w:val="superscript"/>
                      <w:lang w:val="en-US" w:eastAsia="zh-CN"/>
                    </w:rPr>
                    <w:t>3</w:t>
                  </w:r>
                  <w:r>
                    <w:rPr>
                      <w:rFonts w:hint="eastAsia"/>
                      <w:color w:val="auto"/>
                      <w:vertAlign w:val="baseline"/>
                      <w:lang w:val="en-US" w:eastAsia="zh-CN"/>
                    </w:rPr>
                    <w:t>/h</w:t>
                  </w:r>
                </w:p>
              </w:tc>
            </w:tr>
            <w:tr w14:paraId="04601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36" w:type="dxa"/>
                  <w:vMerge w:val="continue"/>
                  <w:vAlign w:val="center"/>
                </w:tcPr>
                <w:p w14:paraId="66728E2D">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p>
              </w:tc>
              <w:tc>
                <w:tcPr>
                  <w:tcW w:w="513" w:type="dxa"/>
                  <w:vMerge w:val="restart"/>
                  <w:vAlign w:val="center"/>
                </w:tcPr>
                <w:p w14:paraId="5E0B98B5">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颗粒物</w:t>
                  </w:r>
                </w:p>
              </w:tc>
              <w:tc>
                <w:tcPr>
                  <w:tcW w:w="1137" w:type="dxa"/>
                  <w:vAlign w:val="center"/>
                </w:tcPr>
                <w:p w14:paraId="0889CFC0">
                  <w:pPr>
                    <w:pStyle w:val="17"/>
                    <w:ind w:firstLine="0" w:firstLineChars="0"/>
                    <w:jc w:val="center"/>
                    <w:rPr>
                      <w:rFonts w:hint="eastAsia"/>
                      <w:color w:val="auto"/>
                      <w:vertAlign w:val="baseline"/>
                      <w:lang w:val="en-US" w:eastAsia="zh-CN"/>
                    </w:rPr>
                  </w:pPr>
                  <w:r>
                    <w:rPr>
                      <w:rFonts w:hint="eastAsia"/>
                      <w:color w:val="auto"/>
                      <w:vertAlign w:val="baseline"/>
                      <w:lang w:val="en-US" w:eastAsia="zh-CN"/>
                    </w:rPr>
                    <w:t>实测浓度</w:t>
                  </w:r>
                </w:p>
              </w:tc>
              <w:tc>
                <w:tcPr>
                  <w:tcW w:w="781" w:type="dxa"/>
                  <w:vAlign w:val="center"/>
                </w:tcPr>
                <w:p w14:paraId="2197E34C">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s="Times New Roman"/>
                      <w:color w:val="auto"/>
                      <w:kern w:val="0"/>
                      <w:sz w:val="21"/>
                      <w:szCs w:val="21"/>
                      <w:vertAlign w:val="baseline"/>
                      <w:lang w:val="en-US" w:eastAsia="zh-CN" w:bidi="ar-SA"/>
                    </w:rPr>
                    <w:t>28</w:t>
                  </w:r>
                </w:p>
              </w:tc>
              <w:tc>
                <w:tcPr>
                  <w:tcW w:w="781" w:type="dxa"/>
                  <w:vAlign w:val="center"/>
                </w:tcPr>
                <w:p w14:paraId="3FDE28EB">
                  <w:pPr>
                    <w:pStyle w:val="17"/>
                    <w:jc w:val="center"/>
                    <w:rPr>
                      <w:rFonts w:hint="default"/>
                      <w:color w:val="auto"/>
                      <w:vertAlign w:val="baseline"/>
                      <w:lang w:val="en-US" w:eastAsia="zh-CN"/>
                    </w:rPr>
                  </w:pPr>
                  <w:r>
                    <w:rPr>
                      <w:rFonts w:hint="eastAsia"/>
                      <w:color w:val="auto"/>
                      <w:vertAlign w:val="baseline"/>
                      <w:lang w:val="en-US" w:eastAsia="zh-CN"/>
                    </w:rPr>
                    <w:t>36</w:t>
                  </w:r>
                </w:p>
              </w:tc>
              <w:tc>
                <w:tcPr>
                  <w:tcW w:w="781" w:type="dxa"/>
                  <w:vAlign w:val="center"/>
                </w:tcPr>
                <w:p w14:paraId="0D3B7744">
                  <w:pPr>
                    <w:pStyle w:val="17"/>
                    <w:jc w:val="center"/>
                    <w:rPr>
                      <w:rFonts w:hint="default"/>
                      <w:color w:val="auto"/>
                      <w:vertAlign w:val="baseline"/>
                      <w:lang w:val="en-US" w:eastAsia="zh-CN"/>
                    </w:rPr>
                  </w:pPr>
                  <w:r>
                    <w:rPr>
                      <w:rFonts w:hint="eastAsia"/>
                      <w:color w:val="auto"/>
                      <w:vertAlign w:val="baseline"/>
                      <w:lang w:val="en-US" w:eastAsia="zh-CN"/>
                    </w:rPr>
                    <w:t>31</w:t>
                  </w:r>
                </w:p>
              </w:tc>
              <w:tc>
                <w:tcPr>
                  <w:tcW w:w="781" w:type="dxa"/>
                  <w:vAlign w:val="center"/>
                </w:tcPr>
                <w:p w14:paraId="02226279">
                  <w:pPr>
                    <w:pStyle w:val="17"/>
                    <w:jc w:val="center"/>
                    <w:rPr>
                      <w:rFonts w:hint="default"/>
                      <w:color w:val="auto"/>
                      <w:vertAlign w:val="baseline"/>
                      <w:lang w:val="en-US" w:eastAsia="zh-CN"/>
                    </w:rPr>
                  </w:pPr>
                  <w:r>
                    <w:rPr>
                      <w:rFonts w:hint="eastAsia"/>
                      <w:color w:val="auto"/>
                      <w:vertAlign w:val="baseline"/>
                      <w:lang w:val="en-US" w:eastAsia="zh-CN"/>
                    </w:rPr>
                    <w:t>26</w:t>
                  </w:r>
                </w:p>
              </w:tc>
              <w:tc>
                <w:tcPr>
                  <w:tcW w:w="781" w:type="dxa"/>
                  <w:vAlign w:val="center"/>
                </w:tcPr>
                <w:p w14:paraId="7D745008">
                  <w:pPr>
                    <w:pStyle w:val="17"/>
                    <w:jc w:val="center"/>
                    <w:rPr>
                      <w:rFonts w:hint="default"/>
                      <w:color w:val="auto"/>
                      <w:vertAlign w:val="baseline"/>
                      <w:lang w:val="en-US" w:eastAsia="zh-CN"/>
                    </w:rPr>
                  </w:pPr>
                  <w:r>
                    <w:rPr>
                      <w:rFonts w:hint="eastAsia"/>
                      <w:color w:val="auto"/>
                      <w:vertAlign w:val="baseline"/>
                      <w:lang w:val="en-US" w:eastAsia="zh-CN"/>
                    </w:rPr>
                    <w:t>39</w:t>
                  </w:r>
                </w:p>
              </w:tc>
              <w:tc>
                <w:tcPr>
                  <w:tcW w:w="783" w:type="dxa"/>
                  <w:vAlign w:val="center"/>
                </w:tcPr>
                <w:p w14:paraId="36C54D1A">
                  <w:pPr>
                    <w:pStyle w:val="17"/>
                    <w:jc w:val="center"/>
                    <w:rPr>
                      <w:rFonts w:hint="default"/>
                      <w:color w:val="auto"/>
                      <w:vertAlign w:val="baseline"/>
                      <w:lang w:val="en-US" w:eastAsia="zh-CN"/>
                    </w:rPr>
                  </w:pPr>
                  <w:r>
                    <w:rPr>
                      <w:rFonts w:hint="eastAsia"/>
                      <w:color w:val="auto"/>
                      <w:vertAlign w:val="baseline"/>
                      <w:lang w:val="en-US" w:eastAsia="zh-CN"/>
                    </w:rPr>
                    <w:t>30</w:t>
                  </w:r>
                </w:p>
              </w:tc>
              <w:tc>
                <w:tcPr>
                  <w:tcW w:w="500" w:type="dxa"/>
                  <w:vAlign w:val="center"/>
                </w:tcPr>
                <w:p w14:paraId="18B3D719">
                  <w:pPr>
                    <w:pStyle w:val="17"/>
                    <w:jc w:val="center"/>
                    <w:rPr>
                      <w:rFonts w:hint="default"/>
                      <w:color w:val="auto"/>
                      <w:vertAlign w:val="baseline"/>
                      <w:lang w:val="en-US" w:eastAsia="zh-CN"/>
                    </w:rPr>
                  </w:pPr>
                  <w:r>
                    <w:rPr>
                      <w:rFonts w:hint="eastAsia"/>
                      <w:color w:val="auto"/>
                      <w:vertAlign w:val="baseline"/>
                      <w:lang w:val="en-US" w:eastAsia="zh-CN"/>
                    </w:rPr>
                    <w:t>120</w:t>
                  </w:r>
                </w:p>
              </w:tc>
              <w:tc>
                <w:tcPr>
                  <w:tcW w:w="616" w:type="dxa"/>
                  <w:vAlign w:val="center"/>
                </w:tcPr>
                <w:p w14:paraId="678EE972">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mg/m</w:t>
                  </w:r>
                  <w:r>
                    <w:rPr>
                      <w:rFonts w:hint="eastAsia"/>
                      <w:color w:val="auto"/>
                      <w:vertAlign w:val="superscript"/>
                      <w:lang w:val="en-US" w:eastAsia="zh-CN"/>
                    </w:rPr>
                    <w:t>3</w:t>
                  </w:r>
                </w:p>
              </w:tc>
            </w:tr>
            <w:tr w14:paraId="599C9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36" w:type="dxa"/>
                  <w:vMerge w:val="continue"/>
                  <w:vAlign w:val="center"/>
                </w:tcPr>
                <w:p w14:paraId="4EF3153E">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p>
              </w:tc>
              <w:tc>
                <w:tcPr>
                  <w:tcW w:w="513" w:type="dxa"/>
                  <w:vMerge w:val="continue"/>
                  <w:vAlign w:val="center"/>
                </w:tcPr>
                <w:p w14:paraId="62DBDDC8">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p>
              </w:tc>
              <w:tc>
                <w:tcPr>
                  <w:tcW w:w="1137" w:type="dxa"/>
                  <w:vAlign w:val="center"/>
                </w:tcPr>
                <w:p w14:paraId="37101D58">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排放速率</w:t>
                  </w:r>
                </w:p>
              </w:tc>
              <w:tc>
                <w:tcPr>
                  <w:tcW w:w="781" w:type="dxa"/>
                  <w:vAlign w:val="center"/>
                </w:tcPr>
                <w:p w14:paraId="5B2D3E8E">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s="Times New Roman"/>
                      <w:color w:val="auto"/>
                      <w:kern w:val="0"/>
                      <w:sz w:val="21"/>
                      <w:szCs w:val="21"/>
                      <w:vertAlign w:val="baseline"/>
                      <w:lang w:val="en-US" w:eastAsia="zh-CN" w:bidi="ar-SA"/>
                    </w:rPr>
                    <w:t>0.18</w:t>
                  </w:r>
                </w:p>
              </w:tc>
              <w:tc>
                <w:tcPr>
                  <w:tcW w:w="781" w:type="dxa"/>
                  <w:vAlign w:val="center"/>
                </w:tcPr>
                <w:p w14:paraId="01E25340">
                  <w:pPr>
                    <w:pStyle w:val="17"/>
                    <w:jc w:val="center"/>
                    <w:rPr>
                      <w:rFonts w:hint="default"/>
                      <w:color w:val="auto"/>
                      <w:vertAlign w:val="baseline"/>
                      <w:lang w:val="en-US" w:eastAsia="zh-CN"/>
                    </w:rPr>
                  </w:pPr>
                  <w:r>
                    <w:rPr>
                      <w:rFonts w:hint="eastAsia"/>
                      <w:color w:val="auto"/>
                      <w:vertAlign w:val="baseline"/>
                      <w:lang w:val="en-US" w:eastAsia="zh-CN"/>
                    </w:rPr>
                    <w:t>0.23</w:t>
                  </w:r>
                </w:p>
              </w:tc>
              <w:tc>
                <w:tcPr>
                  <w:tcW w:w="781" w:type="dxa"/>
                  <w:vAlign w:val="center"/>
                </w:tcPr>
                <w:p w14:paraId="02C8F917">
                  <w:pPr>
                    <w:pStyle w:val="17"/>
                    <w:jc w:val="center"/>
                    <w:rPr>
                      <w:rFonts w:hint="default"/>
                      <w:color w:val="auto"/>
                      <w:vertAlign w:val="baseline"/>
                      <w:lang w:val="en-US" w:eastAsia="zh-CN"/>
                    </w:rPr>
                  </w:pPr>
                  <w:r>
                    <w:rPr>
                      <w:rFonts w:hint="eastAsia"/>
                      <w:color w:val="auto"/>
                      <w:vertAlign w:val="baseline"/>
                      <w:lang w:val="en-US" w:eastAsia="zh-CN"/>
                    </w:rPr>
                    <w:t>0.20</w:t>
                  </w:r>
                </w:p>
              </w:tc>
              <w:tc>
                <w:tcPr>
                  <w:tcW w:w="781" w:type="dxa"/>
                  <w:vAlign w:val="center"/>
                </w:tcPr>
                <w:p w14:paraId="0AE4E264">
                  <w:pPr>
                    <w:pStyle w:val="17"/>
                    <w:jc w:val="center"/>
                    <w:rPr>
                      <w:rFonts w:hint="default"/>
                      <w:color w:val="auto"/>
                      <w:vertAlign w:val="baseline"/>
                      <w:lang w:val="en-US" w:eastAsia="zh-CN"/>
                    </w:rPr>
                  </w:pPr>
                  <w:r>
                    <w:rPr>
                      <w:rFonts w:hint="eastAsia"/>
                      <w:color w:val="auto"/>
                      <w:vertAlign w:val="baseline"/>
                      <w:lang w:val="en-US" w:eastAsia="zh-CN"/>
                    </w:rPr>
                    <w:t>0.17</w:t>
                  </w:r>
                </w:p>
              </w:tc>
              <w:tc>
                <w:tcPr>
                  <w:tcW w:w="781" w:type="dxa"/>
                  <w:vAlign w:val="center"/>
                </w:tcPr>
                <w:p w14:paraId="1B9AC89D">
                  <w:pPr>
                    <w:pStyle w:val="17"/>
                    <w:jc w:val="center"/>
                    <w:rPr>
                      <w:rFonts w:hint="default"/>
                      <w:color w:val="auto"/>
                      <w:vertAlign w:val="baseline"/>
                      <w:lang w:val="en-US" w:eastAsia="zh-CN"/>
                    </w:rPr>
                  </w:pPr>
                  <w:r>
                    <w:rPr>
                      <w:rFonts w:hint="eastAsia"/>
                      <w:color w:val="auto"/>
                      <w:vertAlign w:val="baseline"/>
                      <w:lang w:val="en-US" w:eastAsia="zh-CN"/>
                    </w:rPr>
                    <w:t>0.25</w:t>
                  </w:r>
                </w:p>
              </w:tc>
              <w:tc>
                <w:tcPr>
                  <w:tcW w:w="783" w:type="dxa"/>
                  <w:vAlign w:val="center"/>
                </w:tcPr>
                <w:p w14:paraId="4A4A749B">
                  <w:pPr>
                    <w:pStyle w:val="17"/>
                    <w:jc w:val="center"/>
                    <w:rPr>
                      <w:rFonts w:hint="default"/>
                      <w:color w:val="auto"/>
                      <w:vertAlign w:val="baseline"/>
                      <w:lang w:val="en-US" w:eastAsia="zh-CN"/>
                    </w:rPr>
                  </w:pPr>
                  <w:r>
                    <w:rPr>
                      <w:rFonts w:hint="eastAsia"/>
                      <w:color w:val="auto"/>
                      <w:vertAlign w:val="baseline"/>
                      <w:lang w:val="en-US" w:eastAsia="zh-CN"/>
                    </w:rPr>
                    <w:t>0.19</w:t>
                  </w:r>
                </w:p>
              </w:tc>
              <w:tc>
                <w:tcPr>
                  <w:tcW w:w="500" w:type="dxa"/>
                  <w:vAlign w:val="center"/>
                </w:tcPr>
                <w:p w14:paraId="72BC5C84">
                  <w:pPr>
                    <w:pStyle w:val="17"/>
                    <w:jc w:val="center"/>
                    <w:rPr>
                      <w:rFonts w:hint="default"/>
                      <w:color w:val="auto"/>
                      <w:vertAlign w:val="baseline"/>
                      <w:lang w:val="en-US" w:eastAsia="zh-CN"/>
                    </w:rPr>
                  </w:pPr>
                  <w:r>
                    <w:rPr>
                      <w:rFonts w:hint="eastAsia"/>
                      <w:color w:val="auto"/>
                      <w:vertAlign w:val="baseline"/>
                      <w:lang w:val="en-US" w:eastAsia="zh-CN"/>
                    </w:rPr>
                    <w:t>3.5</w:t>
                  </w:r>
                </w:p>
              </w:tc>
              <w:tc>
                <w:tcPr>
                  <w:tcW w:w="616" w:type="dxa"/>
                  <w:vAlign w:val="center"/>
                </w:tcPr>
                <w:p w14:paraId="203D27E3">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kg/h</w:t>
                  </w:r>
                </w:p>
              </w:tc>
            </w:tr>
          </w:tbl>
          <w:p w14:paraId="39B03F8F">
            <w:pPr>
              <w:pStyle w:val="18"/>
              <w:bidi w:val="0"/>
              <w:rPr>
                <w:rFonts w:hint="eastAsia"/>
                <w:color w:val="auto"/>
                <w:lang w:val="en-US" w:eastAsia="zh-CN"/>
              </w:rPr>
            </w:pPr>
            <w:r>
              <w:rPr>
                <w:rFonts w:hint="eastAsia"/>
                <w:color w:val="auto"/>
                <w:lang w:val="en-US" w:eastAsia="zh-CN"/>
              </w:rPr>
              <w:t>表2-15 项目现有工程无组织废气检测报告</w:t>
            </w:r>
          </w:p>
          <w:tbl>
            <w:tblPr>
              <w:tblStyle w:val="13"/>
              <w:tblW w:w="8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6"/>
              <w:gridCol w:w="1650"/>
              <w:gridCol w:w="781"/>
              <w:gridCol w:w="781"/>
              <w:gridCol w:w="781"/>
              <w:gridCol w:w="781"/>
              <w:gridCol w:w="781"/>
              <w:gridCol w:w="783"/>
              <w:gridCol w:w="500"/>
              <w:gridCol w:w="616"/>
            </w:tblGrid>
            <w:tr w14:paraId="50968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36" w:type="dxa"/>
                  <w:vMerge w:val="restart"/>
                  <w:vAlign w:val="center"/>
                </w:tcPr>
                <w:p w14:paraId="24710BB6">
                  <w:pPr>
                    <w:pStyle w:val="17"/>
                    <w:jc w:val="center"/>
                    <w:rPr>
                      <w:rFonts w:hint="default"/>
                      <w:color w:val="auto"/>
                      <w:vertAlign w:val="baseline"/>
                      <w:lang w:val="en-US" w:eastAsia="zh-CN"/>
                    </w:rPr>
                  </w:pPr>
                  <w:r>
                    <w:rPr>
                      <w:rFonts w:hint="eastAsia"/>
                      <w:color w:val="auto"/>
                      <w:vertAlign w:val="baseline"/>
                      <w:lang w:val="en-US" w:eastAsia="zh-CN"/>
                    </w:rPr>
                    <w:t>检测地点</w:t>
                  </w:r>
                </w:p>
              </w:tc>
              <w:tc>
                <w:tcPr>
                  <w:tcW w:w="1650" w:type="dxa"/>
                  <w:vMerge w:val="restart"/>
                  <w:vAlign w:val="center"/>
                </w:tcPr>
                <w:p w14:paraId="206D03C8">
                  <w:pPr>
                    <w:pStyle w:val="17"/>
                    <w:jc w:val="center"/>
                    <w:rPr>
                      <w:rFonts w:hint="default"/>
                      <w:color w:val="auto"/>
                      <w:vertAlign w:val="baseline"/>
                      <w:lang w:val="en-US" w:eastAsia="zh-CN"/>
                    </w:rPr>
                  </w:pPr>
                  <w:r>
                    <w:rPr>
                      <w:rFonts w:hint="eastAsia"/>
                      <w:color w:val="auto"/>
                      <w:vertAlign w:val="baseline"/>
                      <w:lang w:val="en-US" w:eastAsia="zh-CN"/>
                    </w:rPr>
                    <w:t>检测项目</w:t>
                  </w:r>
                </w:p>
              </w:tc>
              <w:tc>
                <w:tcPr>
                  <w:tcW w:w="4688" w:type="dxa"/>
                  <w:gridSpan w:val="6"/>
                  <w:vAlign w:val="center"/>
                </w:tcPr>
                <w:p w14:paraId="02D59A60">
                  <w:pPr>
                    <w:pStyle w:val="17"/>
                    <w:jc w:val="center"/>
                    <w:rPr>
                      <w:rFonts w:hint="default"/>
                      <w:color w:val="auto"/>
                      <w:vertAlign w:val="baseline"/>
                      <w:lang w:val="en-US" w:eastAsia="zh-CN"/>
                    </w:rPr>
                  </w:pPr>
                  <w:r>
                    <w:rPr>
                      <w:rFonts w:hint="eastAsia"/>
                      <w:color w:val="auto"/>
                      <w:vertAlign w:val="baseline"/>
                      <w:lang w:val="en-US" w:eastAsia="zh-CN"/>
                    </w:rPr>
                    <w:t>检测结果</w:t>
                  </w:r>
                </w:p>
              </w:tc>
              <w:tc>
                <w:tcPr>
                  <w:tcW w:w="500" w:type="dxa"/>
                  <w:vMerge w:val="restart"/>
                  <w:vAlign w:val="center"/>
                </w:tcPr>
                <w:p w14:paraId="54F54364">
                  <w:pPr>
                    <w:pStyle w:val="17"/>
                    <w:jc w:val="center"/>
                    <w:rPr>
                      <w:rFonts w:hint="default"/>
                      <w:color w:val="auto"/>
                      <w:vertAlign w:val="baseline"/>
                      <w:lang w:val="en-US" w:eastAsia="zh-CN"/>
                    </w:rPr>
                  </w:pPr>
                  <w:r>
                    <w:rPr>
                      <w:rFonts w:hint="eastAsia"/>
                      <w:color w:val="auto"/>
                      <w:vertAlign w:val="baseline"/>
                      <w:lang w:val="en-US" w:eastAsia="zh-CN"/>
                    </w:rPr>
                    <w:t>标准限值</w:t>
                  </w:r>
                </w:p>
              </w:tc>
              <w:tc>
                <w:tcPr>
                  <w:tcW w:w="616" w:type="dxa"/>
                  <w:vMerge w:val="restart"/>
                  <w:vAlign w:val="center"/>
                </w:tcPr>
                <w:p w14:paraId="36989BF8">
                  <w:pPr>
                    <w:pStyle w:val="17"/>
                    <w:jc w:val="center"/>
                    <w:rPr>
                      <w:rFonts w:hint="default"/>
                      <w:color w:val="auto"/>
                      <w:vertAlign w:val="baseline"/>
                      <w:lang w:val="en-US" w:eastAsia="zh-CN"/>
                    </w:rPr>
                  </w:pPr>
                  <w:r>
                    <w:rPr>
                      <w:rFonts w:hint="eastAsia"/>
                      <w:color w:val="auto"/>
                      <w:vertAlign w:val="baseline"/>
                      <w:lang w:val="en-US" w:eastAsia="zh-CN"/>
                    </w:rPr>
                    <w:t>单位</w:t>
                  </w:r>
                </w:p>
              </w:tc>
            </w:tr>
            <w:tr w14:paraId="72DA4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36" w:type="dxa"/>
                  <w:vMerge w:val="continue"/>
                  <w:vAlign w:val="center"/>
                </w:tcPr>
                <w:p w14:paraId="4BB80B39">
                  <w:pPr>
                    <w:pStyle w:val="17"/>
                    <w:jc w:val="center"/>
                    <w:rPr>
                      <w:rFonts w:hint="default"/>
                      <w:color w:val="auto"/>
                      <w:vertAlign w:val="baseline"/>
                      <w:lang w:val="en-US" w:eastAsia="zh-CN"/>
                    </w:rPr>
                  </w:pPr>
                </w:p>
              </w:tc>
              <w:tc>
                <w:tcPr>
                  <w:tcW w:w="1650" w:type="dxa"/>
                  <w:vMerge w:val="continue"/>
                  <w:vAlign w:val="center"/>
                </w:tcPr>
                <w:p w14:paraId="21E27161">
                  <w:pPr>
                    <w:pStyle w:val="17"/>
                    <w:jc w:val="center"/>
                    <w:rPr>
                      <w:rFonts w:hint="default"/>
                      <w:color w:val="auto"/>
                      <w:vertAlign w:val="baseline"/>
                      <w:lang w:val="en-US" w:eastAsia="zh-CN"/>
                    </w:rPr>
                  </w:pPr>
                </w:p>
              </w:tc>
              <w:tc>
                <w:tcPr>
                  <w:tcW w:w="2343" w:type="dxa"/>
                  <w:gridSpan w:val="3"/>
                  <w:vAlign w:val="center"/>
                </w:tcPr>
                <w:p w14:paraId="3BA6F708">
                  <w:pPr>
                    <w:pStyle w:val="17"/>
                    <w:jc w:val="center"/>
                    <w:rPr>
                      <w:rFonts w:hint="default"/>
                      <w:color w:val="auto"/>
                      <w:vertAlign w:val="baseline"/>
                      <w:lang w:val="en-US" w:eastAsia="zh-CN"/>
                    </w:rPr>
                  </w:pPr>
                  <w:r>
                    <w:rPr>
                      <w:rFonts w:hint="eastAsia"/>
                      <w:color w:val="auto"/>
                      <w:vertAlign w:val="baseline"/>
                      <w:lang w:val="en-US" w:eastAsia="zh-CN"/>
                    </w:rPr>
                    <w:t>2022.04.05</w:t>
                  </w:r>
                </w:p>
              </w:tc>
              <w:tc>
                <w:tcPr>
                  <w:tcW w:w="2345" w:type="dxa"/>
                  <w:gridSpan w:val="3"/>
                  <w:vAlign w:val="center"/>
                </w:tcPr>
                <w:p w14:paraId="5B28A931">
                  <w:pPr>
                    <w:pStyle w:val="17"/>
                    <w:jc w:val="center"/>
                    <w:rPr>
                      <w:rFonts w:hint="default"/>
                      <w:color w:val="auto"/>
                      <w:vertAlign w:val="baseline"/>
                      <w:lang w:val="en-US" w:eastAsia="zh-CN"/>
                    </w:rPr>
                  </w:pPr>
                  <w:r>
                    <w:rPr>
                      <w:rFonts w:hint="eastAsia"/>
                      <w:color w:val="auto"/>
                      <w:vertAlign w:val="baseline"/>
                      <w:lang w:val="en-US" w:eastAsia="zh-CN"/>
                    </w:rPr>
                    <w:t>2022.04.06</w:t>
                  </w:r>
                </w:p>
              </w:tc>
              <w:tc>
                <w:tcPr>
                  <w:tcW w:w="500" w:type="dxa"/>
                  <w:vMerge w:val="continue"/>
                  <w:vAlign w:val="center"/>
                </w:tcPr>
                <w:p w14:paraId="30BA3012">
                  <w:pPr>
                    <w:pStyle w:val="17"/>
                    <w:jc w:val="center"/>
                    <w:rPr>
                      <w:rFonts w:hint="default"/>
                      <w:color w:val="auto"/>
                      <w:vertAlign w:val="baseline"/>
                      <w:lang w:val="en-US" w:eastAsia="zh-CN"/>
                    </w:rPr>
                  </w:pPr>
                </w:p>
              </w:tc>
              <w:tc>
                <w:tcPr>
                  <w:tcW w:w="616" w:type="dxa"/>
                  <w:vMerge w:val="continue"/>
                  <w:vAlign w:val="center"/>
                </w:tcPr>
                <w:p w14:paraId="111CB876">
                  <w:pPr>
                    <w:pStyle w:val="17"/>
                    <w:jc w:val="center"/>
                    <w:rPr>
                      <w:rFonts w:hint="default"/>
                      <w:color w:val="auto"/>
                      <w:vertAlign w:val="baseline"/>
                      <w:lang w:val="en-US" w:eastAsia="zh-CN"/>
                    </w:rPr>
                  </w:pPr>
                </w:p>
              </w:tc>
            </w:tr>
            <w:tr w14:paraId="546FA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36" w:type="dxa"/>
                  <w:vMerge w:val="continue"/>
                  <w:vAlign w:val="center"/>
                </w:tcPr>
                <w:p w14:paraId="5454FEC7">
                  <w:pPr>
                    <w:pStyle w:val="17"/>
                    <w:jc w:val="center"/>
                    <w:rPr>
                      <w:rFonts w:hint="default"/>
                      <w:color w:val="auto"/>
                      <w:vertAlign w:val="baseline"/>
                      <w:lang w:val="en-US" w:eastAsia="zh-CN"/>
                    </w:rPr>
                  </w:pPr>
                </w:p>
              </w:tc>
              <w:tc>
                <w:tcPr>
                  <w:tcW w:w="1650" w:type="dxa"/>
                  <w:vMerge w:val="continue"/>
                  <w:vAlign w:val="center"/>
                </w:tcPr>
                <w:p w14:paraId="180EAD89">
                  <w:pPr>
                    <w:pStyle w:val="17"/>
                    <w:jc w:val="center"/>
                    <w:rPr>
                      <w:rFonts w:hint="default"/>
                      <w:color w:val="auto"/>
                      <w:vertAlign w:val="baseline"/>
                      <w:lang w:val="en-US" w:eastAsia="zh-CN"/>
                    </w:rPr>
                  </w:pPr>
                </w:p>
              </w:tc>
              <w:tc>
                <w:tcPr>
                  <w:tcW w:w="781" w:type="dxa"/>
                  <w:vAlign w:val="center"/>
                </w:tcPr>
                <w:p w14:paraId="3B580453">
                  <w:pPr>
                    <w:pStyle w:val="17"/>
                    <w:jc w:val="center"/>
                    <w:rPr>
                      <w:rFonts w:hint="default"/>
                      <w:color w:val="auto"/>
                      <w:vertAlign w:val="baseline"/>
                      <w:lang w:val="en-US" w:eastAsia="zh-CN"/>
                    </w:rPr>
                  </w:pPr>
                  <w:r>
                    <w:rPr>
                      <w:rFonts w:hint="eastAsia"/>
                      <w:color w:val="auto"/>
                      <w:vertAlign w:val="baseline"/>
                      <w:lang w:val="en-US" w:eastAsia="zh-CN"/>
                    </w:rPr>
                    <w:t>第1次</w:t>
                  </w:r>
                </w:p>
              </w:tc>
              <w:tc>
                <w:tcPr>
                  <w:tcW w:w="781" w:type="dxa"/>
                  <w:vAlign w:val="center"/>
                </w:tcPr>
                <w:p w14:paraId="1D80776E">
                  <w:pPr>
                    <w:pStyle w:val="17"/>
                    <w:jc w:val="center"/>
                    <w:rPr>
                      <w:rFonts w:hint="default"/>
                      <w:color w:val="auto"/>
                      <w:vertAlign w:val="baseline"/>
                      <w:lang w:val="en-US" w:eastAsia="zh-CN"/>
                    </w:rPr>
                  </w:pPr>
                  <w:r>
                    <w:rPr>
                      <w:rFonts w:hint="eastAsia"/>
                      <w:color w:val="auto"/>
                      <w:vertAlign w:val="baseline"/>
                      <w:lang w:val="en-US" w:eastAsia="zh-CN"/>
                    </w:rPr>
                    <w:t>第2次</w:t>
                  </w:r>
                </w:p>
              </w:tc>
              <w:tc>
                <w:tcPr>
                  <w:tcW w:w="781" w:type="dxa"/>
                  <w:vAlign w:val="center"/>
                </w:tcPr>
                <w:p w14:paraId="7F6D2111">
                  <w:pPr>
                    <w:pStyle w:val="17"/>
                    <w:jc w:val="center"/>
                    <w:rPr>
                      <w:rFonts w:hint="default"/>
                      <w:color w:val="auto"/>
                      <w:vertAlign w:val="baseline"/>
                      <w:lang w:val="en-US" w:eastAsia="zh-CN"/>
                    </w:rPr>
                  </w:pPr>
                  <w:r>
                    <w:rPr>
                      <w:rFonts w:hint="eastAsia"/>
                      <w:color w:val="auto"/>
                      <w:vertAlign w:val="baseline"/>
                      <w:lang w:val="en-US" w:eastAsia="zh-CN"/>
                    </w:rPr>
                    <w:t>第3次</w:t>
                  </w:r>
                </w:p>
              </w:tc>
              <w:tc>
                <w:tcPr>
                  <w:tcW w:w="781" w:type="dxa"/>
                  <w:vAlign w:val="center"/>
                </w:tcPr>
                <w:p w14:paraId="7C800107">
                  <w:pPr>
                    <w:pStyle w:val="17"/>
                    <w:jc w:val="center"/>
                    <w:rPr>
                      <w:rFonts w:hint="default"/>
                      <w:color w:val="auto"/>
                      <w:vertAlign w:val="baseline"/>
                      <w:lang w:val="en-US" w:eastAsia="zh-CN"/>
                    </w:rPr>
                  </w:pPr>
                  <w:r>
                    <w:rPr>
                      <w:rFonts w:hint="eastAsia"/>
                      <w:color w:val="auto"/>
                      <w:vertAlign w:val="baseline"/>
                      <w:lang w:val="en-US" w:eastAsia="zh-CN"/>
                    </w:rPr>
                    <w:t>第1次</w:t>
                  </w:r>
                </w:p>
              </w:tc>
              <w:tc>
                <w:tcPr>
                  <w:tcW w:w="781" w:type="dxa"/>
                  <w:vAlign w:val="center"/>
                </w:tcPr>
                <w:p w14:paraId="39E2A17D">
                  <w:pPr>
                    <w:pStyle w:val="17"/>
                    <w:jc w:val="center"/>
                    <w:rPr>
                      <w:rFonts w:hint="default"/>
                      <w:color w:val="auto"/>
                      <w:vertAlign w:val="baseline"/>
                      <w:lang w:val="en-US" w:eastAsia="zh-CN"/>
                    </w:rPr>
                  </w:pPr>
                  <w:r>
                    <w:rPr>
                      <w:rFonts w:hint="eastAsia"/>
                      <w:color w:val="auto"/>
                      <w:vertAlign w:val="baseline"/>
                      <w:lang w:val="en-US" w:eastAsia="zh-CN"/>
                    </w:rPr>
                    <w:t>第2次</w:t>
                  </w:r>
                </w:p>
              </w:tc>
              <w:tc>
                <w:tcPr>
                  <w:tcW w:w="783" w:type="dxa"/>
                  <w:vAlign w:val="center"/>
                </w:tcPr>
                <w:p w14:paraId="1EE644F0">
                  <w:pPr>
                    <w:pStyle w:val="17"/>
                    <w:jc w:val="center"/>
                    <w:rPr>
                      <w:rFonts w:hint="default"/>
                      <w:color w:val="auto"/>
                      <w:vertAlign w:val="baseline"/>
                      <w:lang w:val="en-US" w:eastAsia="zh-CN"/>
                    </w:rPr>
                  </w:pPr>
                  <w:r>
                    <w:rPr>
                      <w:rFonts w:hint="eastAsia"/>
                      <w:color w:val="auto"/>
                      <w:vertAlign w:val="baseline"/>
                      <w:lang w:val="en-US" w:eastAsia="zh-CN"/>
                    </w:rPr>
                    <w:t>第3次</w:t>
                  </w:r>
                </w:p>
              </w:tc>
              <w:tc>
                <w:tcPr>
                  <w:tcW w:w="500" w:type="dxa"/>
                  <w:vMerge w:val="continue"/>
                  <w:vAlign w:val="center"/>
                </w:tcPr>
                <w:p w14:paraId="08E58ACC">
                  <w:pPr>
                    <w:pStyle w:val="17"/>
                    <w:jc w:val="center"/>
                    <w:rPr>
                      <w:rFonts w:hint="default"/>
                      <w:color w:val="auto"/>
                      <w:vertAlign w:val="baseline"/>
                      <w:lang w:val="en-US" w:eastAsia="zh-CN"/>
                    </w:rPr>
                  </w:pPr>
                </w:p>
              </w:tc>
              <w:tc>
                <w:tcPr>
                  <w:tcW w:w="616" w:type="dxa"/>
                  <w:vMerge w:val="continue"/>
                  <w:vAlign w:val="center"/>
                </w:tcPr>
                <w:p w14:paraId="1C910BAF">
                  <w:pPr>
                    <w:pStyle w:val="17"/>
                    <w:jc w:val="center"/>
                    <w:rPr>
                      <w:rFonts w:hint="default"/>
                      <w:color w:val="auto"/>
                      <w:vertAlign w:val="baseline"/>
                      <w:lang w:val="en-US" w:eastAsia="zh-CN"/>
                    </w:rPr>
                  </w:pPr>
                </w:p>
              </w:tc>
            </w:tr>
            <w:tr w14:paraId="049C9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36" w:type="dxa"/>
                  <w:vAlign w:val="center"/>
                </w:tcPr>
                <w:p w14:paraId="61378D09">
                  <w:pPr>
                    <w:pStyle w:val="17"/>
                    <w:jc w:val="center"/>
                    <w:rPr>
                      <w:rFonts w:hint="default"/>
                      <w:color w:val="auto"/>
                      <w:vertAlign w:val="baseline"/>
                      <w:lang w:val="en-US" w:eastAsia="zh-CN"/>
                    </w:rPr>
                  </w:pPr>
                  <w:r>
                    <w:rPr>
                      <w:rFonts w:hint="eastAsia"/>
                      <w:color w:val="auto"/>
                      <w:vertAlign w:val="baseline"/>
                      <w:lang w:val="en-US" w:eastAsia="zh-CN"/>
                    </w:rPr>
                    <w:t>上风向1#</w:t>
                  </w:r>
                </w:p>
              </w:tc>
              <w:tc>
                <w:tcPr>
                  <w:tcW w:w="1650" w:type="dxa"/>
                  <w:vMerge w:val="restart"/>
                  <w:vAlign w:val="center"/>
                </w:tcPr>
                <w:p w14:paraId="72208CFC">
                  <w:pPr>
                    <w:pStyle w:val="17"/>
                    <w:jc w:val="center"/>
                    <w:rPr>
                      <w:rFonts w:hint="default"/>
                      <w:color w:val="auto"/>
                      <w:vertAlign w:val="baseline"/>
                      <w:lang w:val="en-US" w:eastAsia="zh-CN"/>
                    </w:rPr>
                  </w:pPr>
                  <w:r>
                    <w:rPr>
                      <w:rFonts w:hint="eastAsia"/>
                      <w:color w:val="auto"/>
                      <w:vertAlign w:val="baseline"/>
                      <w:lang w:val="en-US" w:eastAsia="zh-CN"/>
                    </w:rPr>
                    <w:t>总悬浮颗粒物</w:t>
                  </w:r>
                </w:p>
              </w:tc>
              <w:tc>
                <w:tcPr>
                  <w:tcW w:w="781" w:type="dxa"/>
                  <w:vAlign w:val="center"/>
                </w:tcPr>
                <w:p w14:paraId="68237695">
                  <w:pPr>
                    <w:pStyle w:val="17"/>
                    <w:jc w:val="center"/>
                    <w:rPr>
                      <w:rFonts w:hint="default"/>
                      <w:color w:val="auto"/>
                      <w:vertAlign w:val="baseline"/>
                      <w:lang w:val="en-US" w:eastAsia="zh-CN"/>
                    </w:rPr>
                  </w:pPr>
                  <w:r>
                    <w:rPr>
                      <w:rFonts w:hint="eastAsia"/>
                      <w:color w:val="auto"/>
                      <w:vertAlign w:val="baseline"/>
                      <w:lang w:val="en-US" w:eastAsia="zh-CN"/>
                    </w:rPr>
                    <w:t>0.16</w:t>
                  </w:r>
                </w:p>
              </w:tc>
              <w:tc>
                <w:tcPr>
                  <w:tcW w:w="781" w:type="dxa"/>
                  <w:vAlign w:val="center"/>
                </w:tcPr>
                <w:p w14:paraId="4353AA4E">
                  <w:pPr>
                    <w:pStyle w:val="17"/>
                    <w:jc w:val="center"/>
                    <w:rPr>
                      <w:rFonts w:hint="default"/>
                      <w:color w:val="auto"/>
                      <w:vertAlign w:val="baseline"/>
                      <w:lang w:val="en-US" w:eastAsia="zh-CN"/>
                    </w:rPr>
                  </w:pPr>
                  <w:r>
                    <w:rPr>
                      <w:rFonts w:hint="eastAsia"/>
                      <w:color w:val="auto"/>
                      <w:vertAlign w:val="baseline"/>
                      <w:lang w:val="en-US" w:eastAsia="zh-CN"/>
                    </w:rPr>
                    <w:t>0.13</w:t>
                  </w:r>
                </w:p>
              </w:tc>
              <w:tc>
                <w:tcPr>
                  <w:tcW w:w="781" w:type="dxa"/>
                  <w:vAlign w:val="center"/>
                </w:tcPr>
                <w:p w14:paraId="47D74A4A">
                  <w:pPr>
                    <w:pStyle w:val="17"/>
                    <w:jc w:val="center"/>
                    <w:rPr>
                      <w:rFonts w:hint="default"/>
                      <w:color w:val="auto"/>
                      <w:vertAlign w:val="baseline"/>
                      <w:lang w:val="en-US" w:eastAsia="zh-CN"/>
                    </w:rPr>
                  </w:pPr>
                  <w:r>
                    <w:rPr>
                      <w:rFonts w:hint="eastAsia"/>
                      <w:color w:val="auto"/>
                      <w:vertAlign w:val="baseline"/>
                      <w:lang w:val="en-US" w:eastAsia="zh-CN"/>
                    </w:rPr>
                    <w:t>0.14</w:t>
                  </w:r>
                </w:p>
              </w:tc>
              <w:tc>
                <w:tcPr>
                  <w:tcW w:w="781" w:type="dxa"/>
                  <w:vAlign w:val="center"/>
                </w:tcPr>
                <w:p w14:paraId="170F6194">
                  <w:pPr>
                    <w:pStyle w:val="17"/>
                    <w:jc w:val="center"/>
                    <w:rPr>
                      <w:rFonts w:hint="default"/>
                      <w:color w:val="auto"/>
                      <w:vertAlign w:val="baseline"/>
                      <w:lang w:val="en-US" w:eastAsia="zh-CN"/>
                    </w:rPr>
                  </w:pPr>
                  <w:r>
                    <w:rPr>
                      <w:rFonts w:hint="eastAsia"/>
                      <w:color w:val="auto"/>
                      <w:vertAlign w:val="baseline"/>
                      <w:lang w:val="en-US" w:eastAsia="zh-CN"/>
                    </w:rPr>
                    <w:t>0.15</w:t>
                  </w:r>
                </w:p>
              </w:tc>
              <w:tc>
                <w:tcPr>
                  <w:tcW w:w="781" w:type="dxa"/>
                  <w:vAlign w:val="center"/>
                </w:tcPr>
                <w:p w14:paraId="57B87276">
                  <w:pPr>
                    <w:pStyle w:val="17"/>
                    <w:jc w:val="center"/>
                    <w:rPr>
                      <w:rFonts w:hint="default"/>
                      <w:color w:val="auto"/>
                      <w:vertAlign w:val="baseline"/>
                      <w:lang w:val="en-US" w:eastAsia="zh-CN"/>
                    </w:rPr>
                  </w:pPr>
                  <w:r>
                    <w:rPr>
                      <w:rFonts w:hint="eastAsia"/>
                      <w:color w:val="auto"/>
                      <w:vertAlign w:val="baseline"/>
                      <w:lang w:val="en-US" w:eastAsia="zh-CN"/>
                    </w:rPr>
                    <w:t>0.14</w:t>
                  </w:r>
                </w:p>
              </w:tc>
              <w:tc>
                <w:tcPr>
                  <w:tcW w:w="783" w:type="dxa"/>
                  <w:vAlign w:val="center"/>
                </w:tcPr>
                <w:p w14:paraId="5FBC7DB2">
                  <w:pPr>
                    <w:pStyle w:val="17"/>
                    <w:jc w:val="center"/>
                    <w:rPr>
                      <w:rFonts w:hint="default"/>
                      <w:color w:val="auto"/>
                      <w:vertAlign w:val="baseline"/>
                      <w:lang w:val="en-US" w:eastAsia="zh-CN"/>
                    </w:rPr>
                  </w:pPr>
                  <w:r>
                    <w:rPr>
                      <w:rFonts w:hint="eastAsia"/>
                      <w:color w:val="auto"/>
                      <w:vertAlign w:val="baseline"/>
                      <w:lang w:val="en-US" w:eastAsia="zh-CN"/>
                    </w:rPr>
                    <w:t>0.17</w:t>
                  </w:r>
                </w:p>
              </w:tc>
              <w:tc>
                <w:tcPr>
                  <w:tcW w:w="500" w:type="dxa"/>
                  <w:vMerge w:val="restart"/>
                  <w:vAlign w:val="center"/>
                </w:tcPr>
                <w:p w14:paraId="395A9531">
                  <w:pPr>
                    <w:pStyle w:val="17"/>
                    <w:jc w:val="center"/>
                    <w:rPr>
                      <w:rFonts w:hint="default"/>
                      <w:color w:val="auto"/>
                      <w:vertAlign w:val="baseline"/>
                      <w:lang w:val="en-US" w:eastAsia="zh-CN"/>
                    </w:rPr>
                  </w:pPr>
                  <w:r>
                    <w:rPr>
                      <w:rFonts w:hint="eastAsia"/>
                      <w:color w:val="auto"/>
                      <w:vertAlign w:val="baseline"/>
                      <w:lang w:val="en-US" w:eastAsia="zh-CN"/>
                    </w:rPr>
                    <w:t>1.0</w:t>
                  </w:r>
                </w:p>
              </w:tc>
              <w:tc>
                <w:tcPr>
                  <w:tcW w:w="616" w:type="dxa"/>
                  <w:vMerge w:val="restart"/>
                  <w:vAlign w:val="center"/>
                </w:tcPr>
                <w:p w14:paraId="4D0CB852">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mg/m</w:t>
                  </w:r>
                  <w:r>
                    <w:rPr>
                      <w:rFonts w:hint="eastAsia"/>
                      <w:color w:val="auto"/>
                      <w:vertAlign w:val="superscript"/>
                      <w:lang w:val="en-US" w:eastAsia="zh-CN"/>
                    </w:rPr>
                    <w:t>3</w:t>
                  </w:r>
                </w:p>
              </w:tc>
            </w:tr>
            <w:tr w14:paraId="6A7FB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36" w:type="dxa"/>
                  <w:vAlign w:val="center"/>
                </w:tcPr>
                <w:p w14:paraId="7B162CA7">
                  <w:pPr>
                    <w:pStyle w:val="17"/>
                    <w:jc w:val="center"/>
                    <w:rPr>
                      <w:rFonts w:hint="default"/>
                      <w:color w:val="auto"/>
                      <w:vertAlign w:val="baseline"/>
                      <w:lang w:val="en-US" w:eastAsia="zh-CN"/>
                    </w:rPr>
                  </w:pPr>
                  <w:r>
                    <w:rPr>
                      <w:rFonts w:hint="eastAsia"/>
                      <w:color w:val="auto"/>
                      <w:vertAlign w:val="baseline"/>
                      <w:lang w:val="en-US" w:eastAsia="zh-CN"/>
                    </w:rPr>
                    <w:t>下风向2#</w:t>
                  </w:r>
                </w:p>
              </w:tc>
              <w:tc>
                <w:tcPr>
                  <w:tcW w:w="1650" w:type="dxa"/>
                  <w:vMerge w:val="continue"/>
                  <w:vAlign w:val="center"/>
                </w:tcPr>
                <w:p w14:paraId="06D04FC5">
                  <w:pPr>
                    <w:pStyle w:val="17"/>
                    <w:jc w:val="center"/>
                    <w:rPr>
                      <w:rFonts w:hint="eastAsia"/>
                      <w:color w:val="auto"/>
                      <w:vertAlign w:val="baseline"/>
                      <w:lang w:val="en-US" w:eastAsia="zh-CN"/>
                    </w:rPr>
                  </w:pPr>
                </w:p>
              </w:tc>
              <w:tc>
                <w:tcPr>
                  <w:tcW w:w="781" w:type="dxa"/>
                  <w:vAlign w:val="center"/>
                </w:tcPr>
                <w:p w14:paraId="6196DEF6">
                  <w:pPr>
                    <w:pStyle w:val="17"/>
                    <w:jc w:val="center"/>
                    <w:rPr>
                      <w:rFonts w:hint="default"/>
                      <w:color w:val="auto"/>
                      <w:vertAlign w:val="baseline"/>
                      <w:lang w:val="en-US" w:eastAsia="zh-CN"/>
                    </w:rPr>
                  </w:pPr>
                  <w:r>
                    <w:rPr>
                      <w:rFonts w:hint="eastAsia"/>
                      <w:color w:val="auto"/>
                      <w:vertAlign w:val="baseline"/>
                      <w:lang w:val="en-US" w:eastAsia="zh-CN"/>
                    </w:rPr>
                    <w:t>0.39</w:t>
                  </w:r>
                </w:p>
              </w:tc>
              <w:tc>
                <w:tcPr>
                  <w:tcW w:w="781" w:type="dxa"/>
                  <w:vAlign w:val="center"/>
                </w:tcPr>
                <w:p w14:paraId="12E37DC3">
                  <w:pPr>
                    <w:pStyle w:val="17"/>
                    <w:jc w:val="center"/>
                    <w:rPr>
                      <w:rFonts w:hint="default"/>
                      <w:color w:val="auto"/>
                      <w:vertAlign w:val="baseline"/>
                      <w:lang w:val="en-US" w:eastAsia="zh-CN"/>
                    </w:rPr>
                  </w:pPr>
                  <w:r>
                    <w:rPr>
                      <w:rFonts w:hint="eastAsia"/>
                      <w:color w:val="auto"/>
                      <w:vertAlign w:val="baseline"/>
                      <w:lang w:val="en-US" w:eastAsia="zh-CN"/>
                    </w:rPr>
                    <w:t>0.32</w:t>
                  </w:r>
                </w:p>
              </w:tc>
              <w:tc>
                <w:tcPr>
                  <w:tcW w:w="781" w:type="dxa"/>
                  <w:vAlign w:val="center"/>
                </w:tcPr>
                <w:p w14:paraId="19E7DF1B">
                  <w:pPr>
                    <w:pStyle w:val="17"/>
                    <w:jc w:val="center"/>
                    <w:rPr>
                      <w:rFonts w:hint="default"/>
                      <w:color w:val="auto"/>
                      <w:vertAlign w:val="baseline"/>
                      <w:lang w:val="en-US" w:eastAsia="zh-CN"/>
                    </w:rPr>
                  </w:pPr>
                  <w:r>
                    <w:rPr>
                      <w:rFonts w:hint="eastAsia"/>
                      <w:color w:val="auto"/>
                      <w:vertAlign w:val="baseline"/>
                      <w:lang w:val="en-US" w:eastAsia="zh-CN"/>
                    </w:rPr>
                    <w:t>0.23</w:t>
                  </w:r>
                </w:p>
              </w:tc>
              <w:tc>
                <w:tcPr>
                  <w:tcW w:w="781" w:type="dxa"/>
                  <w:vAlign w:val="center"/>
                </w:tcPr>
                <w:p w14:paraId="6F061A18">
                  <w:pPr>
                    <w:pStyle w:val="17"/>
                    <w:jc w:val="center"/>
                    <w:rPr>
                      <w:rFonts w:hint="default"/>
                      <w:color w:val="auto"/>
                      <w:vertAlign w:val="baseline"/>
                      <w:lang w:val="en-US" w:eastAsia="zh-CN"/>
                    </w:rPr>
                  </w:pPr>
                  <w:r>
                    <w:rPr>
                      <w:rFonts w:hint="eastAsia"/>
                      <w:color w:val="auto"/>
                      <w:vertAlign w:val="baseline"/>
                      <w:lang w:val="en-US" w:eastAsia="zh-CN"/>
                    </w:rPr>
                    <w:t>0.28</w:t>
                  </w:r>
                </w:p>
              </w:tc>
              <w:tc>
                <w:tcPr>
                  <w:tcW w:w="781" w:type="dxa"/>
                  <w:vAlign w:val="center"/>
                </w:tcPr>
                <w:p w14:paraId="7F1C3118">
                  <w:pPr>
                    <w:pStyle w:val="17"/>
                    <w:jc w:val="center"/>
                    <w:rPr>
                      <w:rFonts w:hint="default"/>
                      <w:color w:val="auto"/>
                      <w:vertAlign w:val="baseline"/>
                      <w:lang w:val="en-US" w:eastAsia="zh-CN"/>
                    </w:rPr>
                  </w:pPr>
                  <w:r>
                    <w:rPr>
                      <w:rFonts w:hint="eastAsia"/>
                      <w:color w:val="auto"/>
                      <w:vertAlign w:val="baseline"/>
                      <w:lang w:val="en-US" w:eastAsia="zh-CN"/>
                    </w:rPr>
                    <w:t>0.30</w:t>
                  </w:r>
                </w:p>
              </w:tc>
              <w:tc>
                <w:tcPr>
                  <w:tcW w:w="783" w:type="dxa"/>
                  <w:vAlign w:val="center"/>
                </w:tcPr>
                <w:p w14:paraId="1D1EB543">
                  <w:pPr>
                    <w:pStyle w:val="17"/>
                    <w:jc w:val="center"/>
                    <w:rPr>
                      <w:rFonts w:hint="default"/>
                      <w:color w:val="auto"/>
                      <w:vertAlign w:val="baseline"/>
                      <w:lang w:val="en-US" w:eastAsia="zh-CN"/>
                    </w:rPr>
                  </w:pPr>
                  <w:r>
                    <w:rPr>
                      <w:rFonts w:hint="eastAsia"/>
                      <w:color w:val="auto"/>
                      <w:vertAlign w:val="baseline"/>
                      <w:lang w:val="en-US" w:eastAsia="zh-CN"/>
                    </w:rPr>
                    <w:t>0.32</w:t>
                  </w:r>
                </w:p>
              </w:tc>
              <w:tc>
                <w:tcPr>
                  <w:tcW w:w="500" w:type="dxa"/>
                  <w:vMerge w:val="continue"/>
                  <w:vAlign w:val="center"/>
                </w:tcPr>
                <w:p w14:paraId="6F45DD98">
                  <w:pPr>
                    <w:pStyle w:val="17"/>
                    <w:jc w:val="center"/>
                    <w:rPr>
                      <w:rFonts w:hint="eastAsia"/>
                      <w:color w:val="auto"/>
                      <w:vertAlign w:val="baseline"/>
                      <w:lang w:val="en-US" w:eastAsia="zh-CN"/>
                    </w:rPr>
                  </w:pPr>
                </w:p>
              </w:tc>
              <w:tc>
                <w:tcPr>
                  <w:tcW w:w="616" w:type="dxa"/>
                  <w:vMerge w:val="continue"/>
                  <w:vAlign w:val="center"/>
                </w:tcPr>
                <w:p w14:paraId="7D607424">
                  <w:pPr>
                    <w:pStyle w:val="17"/>
                    <w:ind w:firstLine="0" w:firstLineChars="0"/>
                    <w:jc w:val="center"/>
                    <w:rPr>
                      <w:rFonts w:hint="eastAsia"/>
                      <w:color w:val="auto"/>
                      <w:vertAlign w:val="baseline"/>
                      <w:lang w:val="en-US" w:eastAsia="zh-CN"/>
                    </w:rPr>
                  </w:pPr>
                </w:p>
              </w:tc>
            </w:tr>
            <w:tr w14:paraId="1C62C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36" w:type="dxa"/>
                  <w:vAlign w:val="center"/>
                </w:tcPr>
                <w:p w14:paraId="2482F8D5">
                  <w:pPr>
                    <w:pStyle w:val="17"/>
                    <w:jc w:val="center"/>
                    <w:rPr>
                      <w:rFonts w:hint="default"/>
                      <w:color w:val="auto"/>
                      <w:vertAlign w:val="baseline"/>
                      <w:lang w:val="en-US" w:eastAsia="zh-CN"/>
                    </w:rPr>
                  </w:pPr>
                  <w:r>
                    <w:rPr>
                      <w:rFonts w:hint="eastAsia"/>
                      <w:color w:val="auto"/>
                      <w:vertAlign w:val="baseline"/>
                      <w:lang w:val="en-US" w:eastAsia="zh-CN"/>
                    </w:rPr>
                    <w:t>下风向3#</w:t>
                  </w:r>
                </w:p>
              </w:tc>
              <w:tc>
                <w:tcPr>
                  <w:tcW w:w="1650" w:type="dxa"/>
                  <w:vMerge w:val="continue"/>
                  <w:vAlign w:val="center"/>
                </w:tcPr>
                <w:p w14:paraId="0ED03A04">
                  <w:pPr>
                    <w:pStyle w:val="17"/>
                    <w:jc w:val="center"/>
                    <w:rPr>
                      <w:rFonts w:hint="eastAsia"/>
                      <w:color w:val="auto"/>
                      <w:vertAlign w:val="baseline"/>
                      <w:lang w:val="en-US" w:eastAsia="zh-CN"/>
                    </w:rPr>
                  </w:pPr>
                </w:p>
              </w:tc>
              <w:tc>
                <w:tcPr>
                  <w:tcW w:w="781" w:type="dxa"/>
                  <w:vAlign w:val="center"/>
                </w:tcPr>
                <w:p w14:paraId="4A2532DC">
                  <w:pPr>
                    <w:pStyle w:val="17"/>
                    <w:jc w:val="center"/>
                    <w:rPr>
                      <w:rFonts w:hint="default"/>
                      <w:color w:val="auto"/>
                      <w:vertAlign w:val="baseline"/>
                      <w:lang w:val="en-US" w:eastAsia="zh-CN"/>
                    </w:rPr>
                  </w:pPr>
                  <w:r>
                    <w:rPr>
                      <w:rFonts w:hint="eastAsia"/>
                      <w:color w:val="auto"/>
                      <w:vertAlign w:val="baseline"/>
                      <w:lang w:val="en-US" w:eastAsia="zh-CN"/>
                    </w:rPr>
                    <w:t>0.26</w:t>
                  </w:r>
                </w:p>
              </w:tc>
              <w:tc>
                <w:tcPr>
                  <w:tcW w:w="781" w:type="dxa"/>
                  <w:vAlign w:val="center"/>
                </w:tcPr>
                <w:p w14:paraId="10D0B318">
                  <w:pPr>
                    <w:pStyle w:val="17"/>
                    <w:jc w:val="center"/>
                    <w:rPr>
                      <w:rFonts w:hint="default"/>
                      <w:color w:val="auto"/>
                      <w:vertAlign w:val="baseline"/>
                      <w:lang w:val="en-US" w:eastAsia="zh-CN"/>
                    </w:rPr>
                  </w:pPr>
                  <w:r>
                    <w:rPr>
                      <w:rFonts w:hint="eastAsia"/>
                      <w:color w:val="auto"/>
                      <w:vertAlign w:val="baseline"/>
                      <w:lang w:val="en-US" w:eastAsia="zh-CN"/>
                    </w:rPr>
                    <w:t>0.29</w:t>
                  </w:r>
                </w:p>
              </w:tc>
              <w:tc>
                <w:tcPr>
                  <w:tcW w:w="781" w:type="dxa"/>
                  <w:vAlign w:val="center"/>
                </w:tcPr>
                <w:p w14:paraId="4D9AFDEE">
                  <w:pPr>
                    <w:pStyle w:val="17"/>
                    <w:jc w:val="center"/>
                    <w:rPr>
                      <w:rFonts w:hint="default"/>
                      <w:color w:val="auto"/>
                      <w:vertAlign w:val="baseline"/>
                      <w:lang w:val="en-US" w:eastAsia="zh-CN"/>
                    </w:rPr>
                  </w:pPr>
                  <w:r>
                    <w:rPr>
                      <w:rFonts w:hint="eastAsia"/>
                      <w:color w:val="auto"/>
                      <w:vertAlign w:val="baseline"/>
                      <w:lang w:val="en-US" w:eastAsia="zh-CN"/>
                    </w:rPr>
                    <w:t>0.25</w:t>
                  </w:r>
                </w:p>
              </w:tc>
              <w:tc>
                <w:tcPr>
                  <w:tcW w:w="781" w:type="dxa"/>
                  <w:vAlign w:val="center"/>
                </w:tcPr>
                <w:p w14:paraId="392C3216">
                  <w:pPr>
                    <w:pStyle w:val="17"/>
                    <w:jc w:val="center"/>
                    <w:rPr>
                      <w:rFonts w:hint="default"/>
                      <w:color w:val="auto"/>
                      <w:vertAlign w:val="baseline"/>
                      <w:lang w:val="en-US" w:eastAsia="zh-CN"/>
                    </w:rPr>
                  </w:pPr>
                  <w:r>
                    <w:rPr>
                      <w:rFonts w:hint="eastAsia"/>
                      <w:color w:val="auto"/>
                      <w:vertAlign w:val="baseline"/>
                      <w:lang w:val="en-US" w:eastAsia="zh-CN"/>
                    </w:rPr>
                    <w:t>0.27</w:t>
                  </w:r>
                </w:p>
              </w:tc>
              <w:tc>
                <w:tcPr>
                  <w:tcW w:w="781" w:type="dxa"/>
                  <w:vAlign w:val="center"/>
                </w:tcPr>
                <w:p w14:paraId="7E3FAE28">
                  <w:pPr>
                    <w:pStyle w:val="17"/>
                    <w:jc w:val="center"/>
                    <w:rPr>
                      <w:rFonts w:hint="default"/>
                      <w:color w:val="auto"/>
                      <w:vertAlign w:val="baseline"/>
                      <w:lang w:val="en-US" w:eastAsia="zh-CN"/>
                    </w:rPr>
                  </w:pPr>
                  <w:r>
                    <w:rPr>
                      <w:rFonts w:hint="eastAsia"/>
                      <w:color w:val="auto"/>
                      <w:vertAlign w:val="baseline"/>
                      <w:lang w:val="en-US" w:eastAsia="zh-CN"/>
                    </w:rPr>
                    <w:t>0.31</w:t>
                  </w:r>
                </w:p>
              </w:tc>
              <w:tc>
                <w:tcPr>
                  <w:tcW w:w="783" w:type="dxa"/>
                  <w:vAlign w:val="center"/>
                </w:tcPr>
                <w:p w14:paraId="1DE7CD5F">
                  <w:pPr>
                    <w:pStyle w:val="17"/>
                    <w:jc w:val="center"/>
                    <w:rPr>
                      <w:rFonts w:hint="default"/>
                      <w:color w:val="auto"/>
                      <w:vertAlign w:val="baseline"/>
                      <w:lang w:val="en-US" w:eastAsia="zh-CN"/>
                    </w:rPr>
                  </w:pPr>
                  <w:r>
                    <w:rPr>
                      <w:rFonts w:hint="eastAsia"/>
                      <w:color w:val="auto"/>
                      <w:vertAlign w:val="baseline"/>
                      <w:lang w:val="en-US" w:eastAsia="zh-CN"/>
                    </w:rPr>
                    <w:t>0.27</w:t>
                  </w:r>
                </w:p>
              </w:tc>
              <w:tc>
                <w:tcPr>
                  <w:tcW w:w="500" w:type="dxa"/>
                  <w:vMerge w:val="continue"/>
                  <w:vAlign w:val="center"/>
                </w:tcPr>
                <w:p w14:paraId="3B8AED33">
                  <w:pPr>
                    <w:pStyle w:val="17"/>
                    <w:jc w:val="center"/>
                    <w:rPr>
                      <w:rFonts w:hint="eastAsia"/>
                      <w:color w:val="auto"/>
                      <w:vertAlign w:val="baseline"/>
                      <w:lang w:val="en-US" w:eastAsia="zh-CN"/>
                    </w:rPr>
                  </w:pPr>
                </w:p>
              </w:tc>
              <w:tc>
                <w:tcPr>
                  <w:tcW w:w="616" w:type="dxa"/>
                  <w:vMerge w:val="continue"/>
                  <w:vAlign w:val="center"/>
                </w:tcPr>
                <w:p w14:paraId="5970266A">
                  <w:pPr>
                    <w:pStyle w:val="17"/>
                    <w:ind w:firstLine="0" w:firstLineChars="0"/>
                    <w:jc w:val="center"/>
                    <w:rPr>
                      <w:rFonts w:hint="eastAsia"/>
                      <w:color w:val="auto"/>
                      <w:vertAlign w:val="baseline"/>
                      <w:lang w:val="en-US" w:eastAsia="zh-CN"/>
                    </w:rPr>
                  </w:pPr>
                </w:p>
              </w:tc>
            </w:tr>
          </w:tbl>
          <w:p w14:paraId="4082125C">
            <w:pPr>
              <w:bidi w:val="0"/>
              <w:rPr>
                <w:rFonts w:hint="eastAsia"/>
                <w:color w:val="auto"/>
                <w:lang w:val="en-US" w:eastAsia="zh-CN"/>
              </w:rPr>
            </w:pPr>
            <w:r>
              <w:rPr>
                <w:rFonts w:hint="eastAsia"/>
                <w:color w:val="auto"/>
                <w:lang w:val="en-US" w:eastAsia="zh-CN"/>
              </w:rPr>
              <w:t>根据上表可知，检测期间，企业DA001有组织废气排放的颗粒物满足《大气污染物综合排放标准》（GB 16297-1996）表2中二级排放限值；无组织废气排放的颗粒物满足《大气污染物综合排放标准》（GB 16297-1996）表2中无组织排放标准限值。</w:t>
            </w:r>
          </w:p>
          <w:p w14:paraId="6C4C76AA">
            <w:pPr>
              <w:pStyle w:val="5"/>
              <w:bidi w:val="0"/>
              <w:rPr>
                <w:rFonts w:hint="eastAsia"/>
                <w:color w:val="auto"/>
                <w:lang w:val="en-US" w:eastAsia="zh-CN"/>
              </w:rPr>
            </w:pPr>
            <w:bookmarkStart w:id="245" w:name="_Toc20631"/>
            <w:bookmarkStart w:id="246" w:name="_Toc169"/>
            <w:bookmarkStart w:id="247" w:name="_Toc10535"/>
            <w:bookmarkStart w:id="248" w:name="_Toc23911"/>
            <w:bookmarkStart w:id="249" w:name="_Toc24963"/>
            <w:r>
              <w:rPr>
                <w:rFonts w:hint="eastAsia"/>
                <w:color w:val="auto"/>
                <w:lang w:val="en-US" w:eastAsia="zh-CN"/>
              </w:rPr>
              <w:t>3.2 现有项目废水污染源分析</w:t>
            </w:r>
            <w:bookmarkEnd w:id="245"/>
            <w:bookmarkEnd w:id="246"/>
            <w:bookmarkEnd w:id="247"/>
            <w:bookmarkEnd w:id="248"/>
            <w:bookmarkEnd w:id="249"/>
          </w:p>
          <w:p w14:paraId="0702917E">
            <w:pPr>
              <w:rPr>
                <w:rFonts w:hint="eastAsia"/>
                <w:color w:val="auto"/>
                <w:lang w:val="en-US" w:eastAsia="zh-CN"/>
              </w:rPr>
            </w:pPr>
            <w:r>
              <w:rPr>
                <w:rFonts w:hint="eastAsia"/>
                <w:color w:val="auto"/>
                <w:lang w:val="en-US" w:eastAsia="zh-CN"/>
              </w:rPr>
              <w:t>现有项目产生的废水主要包括生活污水、洒水降尘废水、车辆冲洗废水、堆场抑尘废水。</w:t>
            </w:r>
          </w:p>
          <w:p w14:paraId="2A5B302F">
            <w:pPr>
              <w:rPr>
                <w:rFonts w:hint="eastAsia"/>
                <w:color w:val="auto"/>
                <w:lang w:val="en-US" w:eastAsia="zh-CN"/>
              </w:rPr>
            </w:pPr>
            <w:r>
              <w:rPr>
                <w:rFonts w:hint="eastAsia"/>
                <w:color w:val="auto"/>
                <w:lang w:val="en-US" w:eastAsia="zh-CN"/>
              </w:rPr>
              <w:t>（1）生活污水</w:t>
            </w:r>
          </w:p>
          <w:p w14:paraId="4E909E12">
            <w:pPr>
              <w:rPr>
                <w:rFonts w:hint="eastAsia"/>
                <w:color w:val="auto"/>
                <w:vertAlign w:val="baseline"/>
                <w:lang w:val="en-US" w:eastAsia="zh-CN"/>
              </w:rPr>
            </w:pPr>
            <w:r>
              <w:rPr>
                <w:rFonts w:hint="eastAsia"/>
                <w:color w:val="auto"/>
                <w:lang w:val="en-US" w:eastAsia="zh-CN"/>
              </w:rPr>
              <w:t>现有项目员工8人，全年工作300天，不在厂区内食宿。根据《湖南省用水定额》（DB43/T 388-2020），员工生活用水量按90L/人·d计，则本项目员工生活用水量为0.72m</w:t>
            </w:r>
            <w:r>
              <w:rPr>
                <w:rFonts w:hint="eastAsia"/>
                <w:color w:val="auto"/>
                <w:vertAlign w:val="superscript"/>
                <w:lang w:val="en-US" w:eastAsia="zh-CN"/>
              </w:rPr>
              <w:t>3</w:t>
            </w:r>
            <w:r>
              <w:rPr>
                <w:rFonts w:hint="eastAsia"/>
                <w:color w:val="auto"/>
                <w:lang w:val="en-US" w:eastAsia="zh-CN"/>
              </w:rPr>
              <w:t>/d（216m</w:t>
            </w:r>
            <w:r>
              <w:rPr>
                <w:rFonts w:hint="eastAsia"/>
                <w:color w:val="auto"/>
                <w:vertAlign w:val="superscript"/>
                <w:lang w:val="en-US" w:eastAsia="zh-CN"/>
              </w:rPr>
              <w:t>3</w:t>
            </w:r>
            <w:r>
              <w:rPr>
                <w:rFonts w:hint="eastAsia"/>
                <w:color w:val="auto"/>
                <w:lang w:val="en-US" w:eastAsia="zh-CN"/>
              </w:rPr>
              <w:t>/a），生活污水产生系数按0.8计，则生活污水产生量为0.576m</w:t>
            </w:r>
            <w:r>
              <w:rPr>
                <w:rFonts w:hint="eastAsia"/>
                <w:color w:val="auto"/>
                <w:vertAlign w:val="superscript"/>
                <w:lang w:val="en-US" w:eastAsia="zh-CN"/>
              </w:rPr>
              <w:t>3</w:t>
            </w:r>
            <w:r>
              <w:rPr>
                <w:rFonts w:hint="eastAsia"/>
                <w:color w:val="auto"/>
                <w:lang w:val="en-US" w:eastAsia="zh-CN"/>
              </w:rPr>
              <w:t>/d（172.8m</w:t>
            </w:r>
            <w:r>
              <w:rPr>
                <w:rFonts w:hint="eastAsia"/>
                <w:color w:val="auto"/>
                <w:vertAlign w:val="superscript"/>
                <w:lang w:val="en-US" w:eastAsia="zh-CN"/>
              </w:rPr>
              <w:t>3</w:t>
            </w:r>
            <w:r>
              <w:rPr>
                <w:rFonts w:hint="eastAsia"/>
                <w:color w:val="auto"/>
                <w:lang w:val="en-US" w:eastAsia="zh-CN"/>
              </w:rPr>
              <w:t>/a）。</w:t>
            </w:r>
            <w:r>
              <w:rPr>
                <w:rFonts w:hint="default"/>
                <w:color w:val="auto"/>
                <w:vertAlign w:val="baseline"/>
                <w:lang w:val="en-US" w:eastAsia="zh-CN"/>
              </w:rPr>
              <w:t>根据《给水排水设计手册（第5册）》中4.2城镇污水水质，生活污水中各主要污染物浓度为COD：400mg/L，BOD</w:t>
            </w:r>
            <w:r>
              <w:rPr>
                <w:rFonts w:hint="default"/>
                <w:color w:val="auto"/>
                <w:vertAlign w:val="subscript"/>
                <w:lang w:val="en-US" w:eastAsia="zh-CN"/>
              </w:rPr>
              <w:t>5</w:t>
            </w:r>
            <w:r>
              <w:rPr>
                <w:rFonts w:hint="default"/>
                <w:color w:val="auto"/>
                <w:vertAlign w:val="baseline"/>
                <w:lang w:val="en-US" w:eastAsia="zh-CN"/>
              </w:rPr>
              <w:t>：220mg/L，SS：200mg/L，NH</w:t>
            </w:r>
            <w:r>
              <w:rPr>
                <w:rFonts w:hint="default"/>
                <w:color w:val="auto"/>
                <w:vertAlign w:val="subscript"/>
                <w:lang w:val="en-US" w:eastAsia="zh-CN"/>
              </w:rPr>
              <w:t>3</w:t>
            </w:r>
            <w:r>
              <w:rPr>
                <w:rFonts w:hint="default"/>
                <w:color w:val="auto"/>
                <w:vertAlign w:val="baseline"/>
                <w:lang w:val="en-US" w:eastAsia="zh-CN"/>
              </w:rPr>
              <w:t>-N：40mg/L，动植物油：100mg/L。</w:t>
            </w:r>
            <w:r>
              <w:rPr>
                <w:rFonts w:hint="eastAsia"/>
                <w:color w:val="auto"/>
                <w:vertAlign w:val="baseline"/>
                <w:lang w:val="en-US" w:eastAsia="zh-CN"/>
              </w:rPr>
              <w:t>由此可以估算，现有项目生活污水污染因子产生量为COD：0.0691t/a，BOD</w:t>
            </w:r>
            <w:r>
              <w:rPr>
                <w:rFonts w:hint="eastAsia"/>
                <w:color w:val="auto"/>
                <w:vertAlign w:val="subscript"/>
                <w:lang w:val="en-US" w:eastAsia="zh-CN"/>
              </w:rPr>
              <w:t>5</w:t>
            </w:r>
            <w:r>
              <w:rPr>
                <w:rFonts w:hint="eastAsia"/>
                <w:color w:val="auto"/>
                <w:vertAlign w:val="baseline"/>
                <w:lang w:val="en-US" w:eastAsia="zh-CN"/>
              </w:rPr>
              <w:t>：0.038t/a，SS：0.0346t/a，NH</w:t>
            </w:r>
            <w:r>
              <w:rPr>
                <w:rFonts w:hint="eastAsia"/>
                <w:color w:val="auto"/>
                <w:vertAlign w:val="subscript"/>
                <w:lang w:val="en-US" w:eastAsia="zh-CN"/>
              </w:rPr>
              <w:t>3</w:t>
            </w:r>
            <w:r>
              <w:rPr>
                <w:rFonts w:hint="eastAsia"/>
                <w:color w:val="auto"/>
                <w:vertAlign w:val="baseline"/>
                <w:lang w:val="en-US" w:eastAsia="zh-CN"/>
              </w:rPr>
              <w:t>-N：0.0069t/a，动植物油：0.0173t/a。生活污水经化粪池熟化处理后定期清掏，用作农肥，不外排。</w:t>
            </w:r>
          </w:p>
          <w:p w14:paraId="41E0BA73">
            <w:pPr>
              <w:rPr>
                <w:rFonts w:hint="eastAsia"/>
                <w:color w:val="auto"/>
                <w:lang w:val="en-US" w:eastAsia="zh-CN"/>
              </w:rPr>
            </w:pPr>
            <w:r>
              <w:rPr>
                <w:rFonts w:hint="eastAsia"/>
                <w:color w:val="auto"/>
                <w:lang w:val="en-US" w:eastAsia="zh-CN"/>
              </w:rPr>
              <w:t>（2）堆场抑尘废水</w:t>
            </w:r>
          </w:p>
          <w:p w14:paraId="4BC60C96">
            <w:pPr>
              <w:rPr>
                <w:rFonts w:hint="default"/>
                <w:color w:val="auto"/>
                <w:vertAlign w:val="baseline"/>
                <w:lang w:val="en-US" w:eastAsia="zh-CN"/>
              </w:rPr>
            </w:pPr>
            <w:r>
              <w:rPr>
                <w:rFonts w:hint="eastAsia"/>
                <w:color w:val="auto"/>
                <w:lang w:val="en-US" w:eastAsia="zh-CN"/>
              </w:rPr>
              <w:t>本项目需对原料堆场和产品堆场进行洒水抑尘，现有项目堆场面积共计2250m</w:t>
            </w:r>
            <w:r>
              <w:rPr>
                <w:rFonts w:hint="eastAsia"/>
                <w:color w:val="auto"/>
                <w:vertAlign w:val="superscript"/>
                <w:lang w:val="en-US" w:eastAsia="zh-CN"/>
              </w:rPr>
              <w:t>2</w:t>
            </w:r>
            <w:r>
              <w:rPr>
                <w:rFonts w:hint="eastAsia"/>
                <w:color w:val="auto"/>
                <w:lang w:val="en-US" w:eastAsia="zh-CN"/>
              </w:rPr>
              <w:t>，降尘用水量参考《湖南省用水定额》（DB43/T 388-2020），道路、场地浇洒为2L/m</w:t>
            </w:r>
            <w:r>
              <w:rPr>
                <w:rFonts w:hint="eastAsia"/>
                <w:color w:val="auto"/>
                <w:vertAlign w:val="superscript"/>
                <w:lang w:val="en-US" w:eastAsia="zh-CN"/>
              </w:rPr>
              <w:t>2</w:t>
            </w:r>
            <w:r>
              <w:rPr>
                <w:rFonts w:hint="default" w:ascii="Times New Roman" w:hAnsi="Times New Roman" w:cs="Times New Roman"/>
                <w:color w:val="auto"/>
                <w:lang w:val="en-US" w:eastAsia="zh-CN"/>
              </w:rPr>
              <w:t>·</w:t>
            </w:r>
            <w:r>
              <w:rPr>
                <w:rFonts w:hint="eastAsia"/>
                <w:color w:val="auto"/>
                <w:lang w:val="en-US" w:eastAsia="zh-CN"/>
              </w:rPr>
              <w:t>d，则堆场抑尘用水量为4.5m</w:t>
            </w:r>
            <w:r>
              <w:rPr>
                <w:rFonts w:hint="eastAsia"/>
                <w:color w:val="auto"/>
                <w:vertAlign w:val="superscript"/>
                <w:lang w:val="en-US" w:eastAsia="zh-CN"/>
              </w:rPr>
              <w:t>3</w:t>
            </w:r>
            <w:r>
              <w:rPr>
                <w:rFonts w:hint="eastAsia"/>
                <w:color w:val="auto"/>
                <w:lang w:val="en-US" w:eastAsia="zh-CN"/>
              </w:rPr>
              <w:t>/d（1350m</w:t>
            </w:r>
            <w:r>
              <w:rPr>
                <w:rFonts w:hint="eastAsia"/>
                <w:color w:val="auto"/>
                <w:vertAlign w:val="superscript"/>
                <w:lang w:val="en-US" w:eastAsia="zh-CN"/>
              </w:rPr>
              <w:t>3</w:t>
            </w:r>
            <w:r>
              <w:rPr>
                <w:rFonts w:hint="eastAsia"/>
                <w:color w:val="auto"/>
                <w:lang w:val="en-US" w:eastAsia="zh-CN"/>
              </w:rPr>
              <w:t>/a）。堆场抑尘废水全部蒸发消耗或进入产品，不外排。</w:t>
            </w:r>
          </w:p>
          <w:p w14:paraId="7BFB210C">
            <w:pPr>
              <w:rPr>
                <w:rFonts w:hint="eastAsia"/>
                <w:color w:val="auto"/>
                <w:vertAlign w:val="baseline"/>
                <w:lang w:val="en-US" w:eastAsia="zh-CN"/>
              </w:rPr>
            </w:pPr>
            <w:r>
              <w:rPr>
                <w:rFonts w:hint="eastAsia"/>
                <w:color w:val="auto"/>
                <w:vertAlign w:val="baseline"/>
                <w:lang w:val="en-US" w:eastAsia="zh-CN"/>
              </w:rPr>
              <w:t>（3）洒水降尘废水</w:t>
            </w:r>
          </w:p>
          <w:p w14:paraId="1737B633">
            <w:pPr>
              <w:rPr>
                <w:rFonts w:hint="default"/>
                <w:color w:val="auto"/>
                <w:lang w:val="en-US" w:eastAsia="zh-CN"/>
              </w:rPr>
            </w:pPr>
            <w:r>
              <w:rPr>
                <w:rFonts w:hint="eastAsia"/>
                <w:color w:val="auto"/>
                <w:lang w:val="en-US" w:eastAsia="zh-CN"/>
              </w:rPr>
              <w:t>洒水降尘用水参考《逸散性工业粉尘控制技术》第十八章粒料加工控制技术，可知湿抑制系统用水量约0.00625m</w:t>
            </w:r>
            <w:r>
              <w:rPr>
                <w:rFonts w:hint="eastAsia"/>
                <w:color w:val="auto"/>
                <w:vertAlign w:val="superscript"/>
                <w:lang w:val="en-US" w:eastAsia="zh-CN"/>
              </w:rPr>
              <w:t>3</w:t>
            </w:r>
            <w:r>
              <w:rPr>
                <w:rFonts w:hint="eastAsia"/>
                <w:color w:val="auto"/>
                <w:lang w:val="en-US" w:eastAsia="zh-CN"/>
              </w:rPr>
              <w:t>/t，项目最大年处理建筑垃圾、装修垃圾和一般工业固体废物24万吨，则洒水降尘用水量为1500m</w:t>
            </w:r>
            <w:r>
              <w:rPr>
                <w:rFonts w:hint="eastAsia"/>
                <w:color w:val="auto"/>
                <w:vertAlign w:val="superscript"/>
                <w:lang w:val="en-US" w:eastAsia="zh-CN"/>
              </w:rPr>
              <w:t>3</w:t>
            </w:r>
            <w:r>
              <w:rPr>
                <w:rFonts w:hint="eastAsia"/>
                <w:color w:val="auto"/>
                <w:lang w:val="en-US" w:eastAsia="zh-CN"/>
              </w:rPr>
              <w:t>/a。洒水降尘废水全部蒸发消耗或进入产品，不外排。</w:t>
            </w:r>
          </w:p>
          <w:p w14:paraId="6EE8BA8F">
            <w:pPr>
              <w:rPr>
                <w:rFonts w:hint="eastAsia"/>
                <w:color w:val="auto"/>
                <w:lang w:val="en-US" w:eastAsia="zh-CN"/>
              </w:rPr>
            </w:pPr>
            <w:r>
              <w:rPr>
                <w:rFonts w:hint="eastAsia"/>
                <w:color w:val="auto"/>
                <w:lang w:val="en-US" w:eastAsia="zh-CN"/>
              </w:rPr>
              <w:t>（4）道路冲洗废水</w:t>
            </w:r>
          </w:p>
          <w:p w14:paraId="4D063F67">
            <w:pPr>
              <w:rPr>
                <w:rFonts w:hint="default"/>
                <w:color w:val="auto"/>
                <w:lang w:val="en-US" w:eastAsia="zh-CN"/>
              </w:rPr>
            </w:pPr>
            <w:r>
              <w:rPr>
                <w:rFonts w:hint="eastAsia"/>
                <w:color w:val="auto"/>
                <w:lang w:val="en-US" w:eastAsia="zh-CN"/>
              </w:rPr>
              <w:t>本项目道路冲洗用水参考《湖南省用水定额》（DB43/T 388-2020），道路、场地浇洒为2L/m</w:t>
            </w:r>
            <w:r>
              <w:rPr>
                <w:rFonts w:hint="eastAsia"/>
                <w:color w:val="auto"/>
                <w:vertAlign w:val="superscript"/>
                <w:lang w:val="en-US" w:eastAsia="zh-CN"/>
              </w:rPr>
              <w:t>2</w:t>
            </w:r>
            <w:r>
              <w:rPr>
                <w:rFonts w:hint="default" w:ascii="Times New Roman" w:hAnsi="Times New Roman" w:cs="Times New Roman"/>
                <w:color w:val="auto"/>
                <w:lang w:val="en-US" w:eastAsia="zh-CN"/>
              </w:rPr>
              <w:t>·</w:t>
            </w:r>
            <w:r>
              <w:rPr>
                <w:rFonts w:hint="eastAsia"/>
                <w:color w:val="auto"/>
                <w:lang w:val="en-US" w:eastAsia="zh-CN"/>
              </w:rPr>
              <w:t>d，根据建设单位提供资料，本项目建成后道路面积约1800m</w:t>
            </w:r>
            <w:r>
              <w:rPr>
                <w:rFonts w:hint="eastAsia"/>
                <w:color w:val="auto"/>
                <w:vertAlign w:val="superscript"/>
                <w:lang w:val="en-US" w:eastAsia="zh-CN"/>
              </w:rPr>
              <w:t>2</w:t>
            </w:r>
            <w:r>
              <w:rPr>
                <w:rFonts w:hint="eastAsia"/>
                <w:color w:val="auto"/>
                <w:lang w:val="en-US" w:eastAsia="zh-CN"/>
              </w:rPr>
              <w:t>，则道路冲洗用水量为3.6m</w:t>
            </w:r>
            <w:r>
              <w:rPr>
                <w:rFonts w:hint="eastAsia"/>
                <w:color w:val="auto"/>
                <w:vertAlign w:val="superscript"/>
                <w:lang w:val="en-US" w:eastAsia="zh-CN"/>
              </w:rPr>
              <w:t>3</w:t>
            </w:r>
            <w:r>
              <w:rPr>
                <w:rFonts w:hint="eastAsia"/>
                <w:color w:val="auto"/>
                <w:lang w:val="en-US" w:eastAsia="zh-CN"/>
              </w:rPr>
              <w:t>/d（1080m</w:t>
            </w:r>
            <w:r>
              <w:rPr>
                <w:rFonts w:hint="eastAsia"/>
                <w:color w:val="auto"/>
                <w:vertAlign w:val="superscript"/>
                <w:lang w:val="en-US" w:eastAsia="zh-CN"/>
              </w:rPr>
              <w:t>3</w:t>
            </w:r>
            <w:r>
              <w:rPr>
                <w:rFonts w:hint="eastAsia"/>
                <w:color w:val="auto"/>
                <w:lang w:val="en-US" w:eastAsia="zh-CN"/>
              </w:rPr>
              <w:t>/a）。</w:t>
            </w:r>
          </w:p>
          <w:p w14:paraId="110BDF66">
            <w:pPr>
              <w:rPr>
                <w:rFonts w:hint="eastAsia"/>
                <w:color w:val="auto"/>
                <w:lang w:val="en-US" w:eastAsia="zh-CN"/>
              </w:rPr>
            </w:pPr>
            <w:r>
              <w:rPr>
                <w:rFonts w:hint="eastAsia"/>
                <w:color w:val="auto"/>
                <w:lang w:val="en-US" w:eastAsia="zh-CN"/>
              </w:rPr>
              <w:t>（5）车辆冲洗废水</w:t>
            </w:r>
          </w:p>
          <w:p w14:paraId="6FEB979F">
            <w:pPr>
              <w:rPr>
                <w:rFonts w:hint="eastAsia"/>
                <w:color w:val="auto"/>
                <w:lang w:val="en-US" w:eastAsia="zh-CN"/>
              </w:rPr>
            </w:pPr>
            <w:r>
              <w:rPr>
                <w:rFonts w:hint="eastAsia"/>
                <w:color w:val="auto"/>
                <w:lang w:val="en-US" w:eastAsia="zh-CN"/>
              </w:rPr>
              <w:t>现有项目车辆冲洗用水参考《湖南省用水定额》（DB43/T 388-2020），洗车用水量按0.04m</w:t>
            </w:r>
            <w:r>
              <w:rPr>
                <w:rFonts w:hint="eastAsia"/>
                <w:color w:val="auto"/>
                <w:vertAlign w:val="superscript"/>
                <w:lang w:val="en-US" w:eastAsia="zh-CN"/>
              </w:rPr>
              <w:t>3</w:t>
            </w:r>
            <w:r>
              <w:rPr>
                <w:rFonts w:hint="eastAsia"/>
                <w:color w:val="auto"/>
                <w:lang w:val="en-US" w:eastAsia="zh-CN"/>
              </w:rPr>
              <w:t>/车</w:t>
            </w:r>
            <w:r>
              <w:rPr>
                <w:rFonts w:hint="default" w:ascii="Times New Roman" w:hAnsi="Times New Roman" w:cs="Times New Roman"/>
                <w:color w:val="auto"/>
                <w:lang w:val="en-US" w:eastAsia="zh-CN"/>
              </w:rPr>
              <w:t>·</w:t>
            </w:r>
            <w:r>
              <w:rPr>
                <w:rFonts w:hint="eastAsia"/>
                <w:color w:val="auto"/>
                <w:lang w:val="en-US" w:eastAsia="zh-CN"/>
              </w:rPr>
              <w:t>次计，装载车载重按30t计，则年装载车运输次数约为15500次，则车辆冲洗用水量为620m</w:t>
            </w:r>
            <w:r>
              <w:rPr>
                <w:rFonts w:hint="eastAsia"/>
                <w:color w:val="auto"/>
                <w:vertAlign w:val="superscript"/>
                <w:lang w:val="en-US" w:eastAsia="zh-CN"/>
              </w:rPr>
              <w:t>3</w:t>
            </w:r>
            <w:r>
              <w:rPr>
                <w:rFonts w:hint="eastAsia"/>
                <w:color w:val="auto"/>
                <w:lang w:val="en-US" w:eastAsia="zh-CN"/>
              </w:rPr>
              <w:t>/a。车辆冲洗污水产生系数按0.8计，则车辆冲洗污水产生量为496m</w:t>
            </w:r>
            <w:r>
              <w:rPr>
                <w:rFonts w:hint="eastAsia"/>
                <w:color w:val="auto"/>
                <w:vertAlign w:val="superscript"/>
                <w:lang w:val="en-US" w:eastAsia="zh-CN"/>
              </w:rPr>
              <w:t>3</w:t>
            </w:r>
            <w:r>
              <w:rPr>
                <w:rFonts w:hint="eastAsia"/>
                <w:color w:val="auto"/>
                <w:lang w:val="en-US" w:eastAsia="zh-CN"/>
              </w:rPr>
              <w:t>/a，类比同类型报告，车辆冲洗污水中各污染物浓度为SS：3000mg/L，COD：100mg/L，石油类：40mg/L。</w:t>
            </w:r>
            <w:r>
              <w:rPr>
                <w:rFonts w:hint="eastAsia"/>
                <w:color w:val="auto"/>
                <w:vertAlign w:val="baseline"/>
                <w:lang w:val="en-US" w:eastAsia="zh-CN"/>
              </w:rPr>
              <w:t>由此可以估算，现有项目车辆冲洗废水污染因子产生量为SS：1.488t/a，COD：0.0496t/a，石油类：0.0198t/a。</w:t>
            </w:r>
            <w:r>
              <w:rPr>
                <w:rFonts w:hint="eastAsia"/>
                <w:color w:val="auto"/>
                <w:lang w:val="en-US" w:eastAsia="zh-CN"/>
              </w:rPr>
              <w:t>车辆冲洗废水导流至隔油池处理，再泵至沉淀池处理后回用于车辆冲洗，不外排。</w:t>
            </w:r>
          </w:p>
          <w:p w14:paraId="62CD486F">
            <w:pPr>
              <w:pStyle w:val="5"/>
              <w:bidi w:val="0"/>
              <w:rPr>
                <w:rFonts w:hint="eastAsia"/>
                <w:color w:val="auto"/>
                <w:lang w:val="en-US" w:eastAsia="zh-CN"/>
              </w:rPr>
            </w:pPr>
            <w:bookmarkStart w:id="250" w:name="_Toc12094"/>
            <w:bookmarkStart w:id="251" w:name="_Toc12919"/>
            <w:bookmarkStart w:id="252" w:name="_Toc967"/>
            <w:bookmarkStart w:id="253" w:name="_Toc31934"/>
            <w:bookmarkStart w:id="254" w:name="_Toc19006"/>
            <w:r>
              <w:rPr>
                <w:rFonts w:hint="eastAsia"/>
                <w:color w:val="auto"/>
                <w:lang w:val="en-US" w:eastAsia="zh-CN"/>
              </w:rPr>
              <w:t>3.3 现有项目噪声现状</w:t>
            </w:r>
            <w:bookmarkEnd w:id="250"/>
            <w:bookmarkEnd w:id="251"/>
            <w:bookmarkEnd w:id="252"/>
            <w:bookmarkEnd w:id="253"/>
            <w:bookmarkEnd w:id="254"/>
          </w:p>
          <w:p w14:paraId="1AEEC9B2">
            <w:pPr>
              <w:rPr>
                <w:rFonts w:hint="eastAsia"/>
                <w:color w:val="auto"/>
                <w:lang w:val="en-US" w:eastAsia="zh-CN"/>
              </w:rPr>
            </w:pPr>
            <w:r>
              <w:rPr>
                <w:rFonts w:hint="eastAsia" w:cs="Times New Roman"/>
                <w:color w:val="auto"/>
                <w:sz w:val="24"/>
                <w:lang w:val="en-US" w:eastAsia="zh-CN"/>
              </w:rPr>
              <w:t>现有</w:t>
            </w:r>
            <w:r>
              <w:rPr>
                <w:rFonts w:hint="eastAsia" w:ascii="Times New Roman" w:hAnsi="Times New Roman" w:cs="Times New Roman"/>
                <w:color w:val="auto"/>
                <w:sz w:val="24"/>
              </w:rPr>
              <w:t>项目噪声主要为生产设备产生的噪声，项目采用低噪声设备，</w:t>
            </w:r>
            <w:r>
              <w:rPr>
                <w:rFonts w:hint="eastAsia" w:cs="Times New Roman"/>
                <w:color w:val="auto"/>
                <w:sz w:val="24"/>
                <w:lang w:val="en-US" w:eastAsia="zh-CN"/>
              </w:rPr>
              <w:t>通</w:t>
            </w:r>
            <w:r>
              <w:rPr>
                <w:rFonts w:hint="eastAsia" w:ascii="Times New Roman" w:hAnsi="Times New Roman" w:cs="Times New Roman"/>
                <w:color w:val="auto"/>
                <w:sz w:val="24"/>
              </w:rPr>
              <w:t>过距离削减、厂房隔声</w:t>
            </w:r>
            <w:r>
              <w:rPr>
                <w:rFonts w:hint="eastAsia" w:cs="Times New Roman"/>
                <w:color w:val="auto"/>
                <w:sz w:val="24"/>
                <w:lang w:eastAsia="zh-CN"/>
              </w:rPr>
              <w:t>、</w:t>
            </w:r>
            <w:r>
              <w:rPr>
                <w:rFonts w:hint="eastAsia" w:cs="Times New Roman"/>
                <w:color w:val="auto"/>
                <w:sz w:val="24"/>
                <w:lang w:val="en-US" w:eastAsia="zh-CN"/>
              </w:rPr>
              <w:t>合理布局</w:t>
            </w:r>
            <w:r>
              <w:rPr>
                <w:rFonts w:hint="eastAsia" w:ascii="Times New Roman" w:hAnsi="Times New Roman" w:cs="Times New Roman"/>
                <w:color w:val="auto"/>
                <w:sz w:val="24"/>
              </w:rPr>
              <w:t>等措施后，降低对厂界周围的影响</w:t>
            </w:r>
            <w:r>
              <w:rPr>
                <w:rFonts w:hint="eastAsia" w:cs="Times New Roman"/>
                <w:color w:val="auto"/>
                <w:sz w:val="24"/>
                <w:lang w:eastAsia="zh-CN"/>
              </w:rPr>
              <w:t>。</w:t>
            </w:r>
            <w:r>
              <w:rPr>
                <w:rFonts w:hint="eastAsia" w:cs="Times New Roman"/>
                <w:color w:val="auto"/>
                <w:sz w:val="24"/>
                <w:lang w:val="en-US" w:eastAsia="zh-CN"/>
              </w:rPr>
              <w:t>现有</w:t>
            </w:r>
            <w:r>
              <w:rPr>
                <w:rFonts w:hint="eastAsia" w:ascii="Times New Roman" w:hAnsi="Times New Roman" w:cs="Times New Roman"/>
                <w:color w:val="auto"/>
                <w:sz w:val="24"/>
              </w:rPr>
              <w:t>项目噪声可满足</w:t>
            </w:r>
            <w:r>
              <w:rPr>
                <w:rFonts w:ascii="Times New Roman" w:hAnsi="Times New Roman" w:cs="Times New Roman"/>
                <w:color w:val="auto"/>
                <w:sz w:val="24"/>
              </w:rPr>
              <w:t>《工业企业厂界环境噪声排放标准》（GB</w:t>
            </w:r>
            <w:r>
              <w:rPr>
                <w:rFonts w:hint="eastAsia" w:ascii="Times New Roman" w:hAnsi="Times New Roman" w:cs="Times New Roman"/>
                <w:color w:val="auto"/>
                <w:sz w:val="24"/>
                <w:lang w:val="en-US" w:eastAsia="zh-CN"/>
              </w:rPr>
              <w:t xml:space="preserve"> </w:t>
            </w:r>
            <w:r>
              <w:rPr>
                <w:rFonts w:ascii="Times New Roman" w:hAnsi="Times New Roman" w:cs="Times New Roman"/>
                <w:color w:val="auto"/>
                <w:sz w:val="24"/>
              </w:rPr>
              <w:t>12348</w:t>
            </w:r>
            <w:r>
              <w:rPr>
                <w:rFonts w:hint="eastAsia" w:ascii="Times New Roman" w:hAnsi="Times New Roman" w:cs="Times New Roman"/>
                <w:color w:val="auto"/>
                <w:sz w:val="24"/>
                <w:lang w:val="en-US" w:eastAsia="zh-CN"/>
              </w:rPr>
              <w:t>-</w:t>
            </w:r>
            <w:r>
              <w:rPr>
                <w:rFonts w:ascii="Times New Roman" w:hAnsi="Times New Roman" w:cs="Times New Roman"/>
                <w:color w:val="auto"/>
                <w:sz w:val="24"/>
              </w:rPr>
              <w:t>2008）</w:t>
            </w:r>
            <w:r>
              <w:rPr>
                <w:rFonts w:hint="eastAsia" w:cs="Times New Roman"/>
                <w:color w:val="auto"/>
                <w:sz w:val="24"/>
                <w:lang w:val="en-US" w:eastAsia="zh-CN"/>
              </w:rPr>
              <w:t>2</w:t>
            </w:r>
            <w:r>
              <w:rPr>
                <w:rFonts w:ascii="Times New Roman" w:hAnsi="Times New Roman" w:cs="Times New Roman"/>
                <w:color w:val="auto"/>
                <w:sz w:val="24"/>
              </w:rPr>
              <w:t>类标准要求</w:t>
            </w:r>
            <w:r>
              <w:rPr>
                <w:rFonts w:hint="eastAsia" w:cs="Times New Roman"/>
                <w:color w:val="auto"/>
                <w:sz w:val="24"/>
                <w:lang w:eastAsia="zh-CN"/>
              </w:rPr>
              <w:t>。</w:t>
            </w:r>
            <w:r>
              <w:rPr>
                <w:rFonts w:hint="eastAsia"/>
                <w:color w:val="auto"/>
                <w:lang w:val="en-US" w:eastAsia="zh-CN"/>
              </w:rPr>
              <w:t>参考2022年《衡阳京泰建材有限公司建筑垃圾处理及利用项目竣工环境保护验收检测报告表》中建设项目竣工验收检测报告，其检测结果详见表2-16。</w:t>
            </w:r>
          </w:p>
          <w:p w14:paraId="3EE61FA0">
            <w:pPr>
              <w:pStyle w:val="18"/>
              <w:bidi w:val="0"/>
              <w:rPr>
                <w:rFonts w:hint="eastAsia"/>
                <w:color w:val="auto"/>
                <w:lang w:val="en-US" w:eastAsia="zh-CN"/>
              </w:rPr>
            </w:pPr>
            <w:r>
              <w:rPr>
                <w:rFonts w:hint="eastAsia"/>
                <w:color w:val="auto"/>
                <w:lang w:val="en-US" w:eastAsia="zh-CN"/>
              </w:rPr>
              <w:t>表2-16 项目现有工程噪声检测报告</w:t>
            </w:r>
          </w:p>
          <w:tbl>
            <w:tblPr>
              <w:tblStyle w:val="13"/>
              <w:tblW w:w="97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1"/>
              <w:gridCol w:w="1338"/>
              <w:gridCol w:w="1212"/>
              <w:gridCol w:w="1019"/>
              <w:gridCol w:w="1019"/>
              <w:gridCol w:w="3341"/>
              <w:gridCol w:w="1399"/>
            </w:tblGrid>
            <w:tr w14:paraId="38822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399" w:type="dxa"/>
              </w:trPr>
              <w:tc>
                <w:tcPr>
                  <w:tcW w:w="461" w:type="dxa"/>
                  <w:vMerge w:val="restart"/>
                  <w:vAlign w:val="center"/>
                </w:tcPr>
                <w:p w14:paraId="283C6FD9">
                  <w:pPr>
                    <w:pStyle w:val="17"/>
                    <w:bidi w:val="0"/>
                    <w:rPr>
                      <w:rFonts w:hint="default"/>
                      <w:color w:val="auto"/>
                      <w:lang w:val="en-US" w:eastAsia="zh-CN"/>
                    </w:rPr>
                  </w:pPr>
                  <w:r>
                    <w:rPr>
                      <w:rFonts w:hint="eastAsia"/>
                      <w:color w:val="auto"/>
                      <w:lang w:val="en-US" w:eastAsia="zh-CN"/>
                    </w:rPr>
                    <w:t>测点编号</w:t>
                  </w:r>
                </w:p>
              </w:tc>
              <w:tc>
                <w:tcPr>
                  <w:tcW w:w="1338" w:type="dxa"/>
                  <w:vMerge w:val="restart"/>
                  <w:vAlign w:val="center"/>
                </w:tcPr>
                <w:p w14:paraId="1287F13F">
                  <w:pPr>
                    <w:pStyle w:val="17"/>
                    <w:bidi w:val="0"/>
                    <w:rPr>
                      <w:rFonts w:hint="default"/>
                      <w:color w:val="auto"/>
                      <w:lang w:val="en-US" w:eastAsia="zh-CN"/>
                    </w:rPr>
                  </w:pPr>
                  <w:r>
                    <w:rPr>
                      <w:rFonts w:hint="eastAsia"/>
                      <w:color w:val="auto"/>
                      <w:lang w:val="en-US" w:eastAsia="zh-CN"/>
                    </w:rPr>
                    <w:t>检测地点</w:t>
                  </w:r>
                </w:p>
              </w:tc>
              <w:tc>
                <w:tcPr>
                  <w:tcW w:w="1212" w:type="dxa"/>
                  <w:vMerge w:val="restart"/>
                  <w:vAlign w:val="center"/>
                </w:tcPr>
                <w:p w14:paraId="508587E4">
                  <w:pPr>
                    <w:pStyle w:val="17"/>
                    <w:bidi w:val="0"/>
                    <w:rPr>
                      <w:rFonts w:hint="default"/>
                      <w:color w:val="auto"/>
                      <w:lang w:val="en-US" w:eastAsia="zh-CN"/>
                    </w:rPr>
                  </w:pPr>
                  <w:r>
                    <w:rPr>
                      <w:rFonts w:hint="eastAsia"/>
                      <w:color w:val="auto"/>
                      <w:lang w:val="en-US" w:eastAsia="zh-CN"/>
                    </w:rPr>
                    <w:t>主要声源</w:t>
                  </w:r>
                </w:p>
              </w:tc>
              <w:tc>
                <w:tcPr>
                  <w:tcW w:w="2038" w:type="dxa"/>
                  <w:gridSpan w:val="2"/>
                  <w:vAlign w:val="center"/>
                </w:tcPr>
                <w:p w14:paraId="5F0D1AEC">
                  <w:pPr>
                    <w:pStyle w:val="17"/>
                    <w:bidi w:val="0"/>
                    <w:rPr>
                      <w:rFonts w:hint="default"/>
                      <w:color w:val="auto"/>
                      <w:lang w:val="en-US" w:eastAsia="zh-CN"/>
                    </w:rPr>
                  </w:pPr>
                  <w:r>
                    <w:rPr>
                      <w:rFonts w:hint="eastAsia"/>
                      <w:color w:val="auto"/>
                      <w:lang w:val="en-US" w:eastAsia="zh-CN"/>
                    </w:rPr>
                    <w:t>测量值L</w:t>
                  </w:r>
                  <w:r>
                    <w:rPr>
                      <w:rFonts w:hint="eastAsia"/>
                      <w:color w:val="auto"/>
                      <w:vertAlign w:val="subscript"/>
                      <w:lang w:val="en-US" w:eastAsia="zh-CN"/>
                    </w:rPr>
                    <w:t>eq</w:t>
                  </w:r>
                  <w:r>
                    <w:rPr>
                      <w:rFonts w:hint="eastAsia"/>
                      <w:color w:val="auto"/>
                      <w:lang w:val="en-US" w:eastAsia="zh-CN"/>
                    </w:rPr>
                    <w:t>[dB(A)]</w:t>
                  </w:r>
                </w:p>
              </w:tc>
              <w:tc>
                <w:tcPr>
                  <w:tcW w:w="3341" w:type="dxa"/>
                  <w:vMerge w:val="restart"/>
                  <w:vAlign w:val="center"/>
                </w:tcPr>
                <w:p w14:paraId="0560554D">
                  <w:pPr>
                    <w:pStyle w:val="17"/>
                    <w:bidi w:val="0"/>
                    <w:rPr>
                      <w:rFonts w:hint="default"/>
                      <w:color w:val="auto"/>
                      <w:lang w:val="en-US" w:eastAsia="zh-CN"/>
                    </w:rPr>
                  </w:pPr>
                  <w:r>
                    <w:rPr>
                      <w:rFonts w:hint="default"/>
                      <w:color w:val="auto"/>
                      <w:lang w:val="en-US" w:eastAsia="zh-CN"/>
                    </w:rPr>
                    <w:t>《工业企业厂界环境噪声排放标准》（GB 12348-2008）</w:t>
                  </w:r>
                  <w:r>
                    <w:rPr>
                      <w:rFonts w:hint="eastAsia"/>
                      <w:color w:val="auto"/>
                      <w:lang w:val="en-US" w:eastAsia="zh-CN"/>
                    </w:rPr>
                    <w:t>表1中</w:t>
                  </w:r>
                  <w:r>
                    <w:rPr>
                      <w:rFonts w:hint="default"/>
                      <w:color w:val="auto"/>
                      <w:lang w:val="en-US" w:eastAsia="zh-CN"/>
                    </w:rPr>
                    <w:t>2类标准</w:t>
                  </w:r>
                  <w:r>
                    <w:rPr>
                      <w:rFonts w:hint="eastAsia"/>
                      <w:color w:val="auto"/>
                      <w:lang w:val="en-US" w:eastAsia="zh-CN"/>
                    </w:rPr>
                    <w:t>限值</w:t>
                  </w:r>
                </w:p>
              </w:tc>
            </w:tr>
            <w:tr w14:paraId="1BB9A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399" w:type="dxa"/>
                <w:trHeight w:val="493" w:hRule="atLeast"/>
              </w:trPr>
              <w:tc>
                <w:tcPr>
                  <w:tcW w:w="461" w:type="dxa"/>
                  <w:vMerge w:val="continue"/>
                  <w:vAlign w:val="center"/>
                </w:tcPr>
                <w:p w14:paraId="77DB2B80">
                  <w:pPr>
                    <w:pStyle w:val="17"/>
                    <w:bidi w:val="0"/>
                    <w:rPr>
                      <w:rFonts w:hint="default"/>
                      <w:color w:val="auto"/>
                      <w:lang w:val="en-US" w:eastAsia="zh-CN"/>
                    </w:rPr>
                  </w:pPr>
                </w:p>
              </w:tc>
              <w:tc>
                <w:tcPr>
                  <w:tcW w:w="1338" w:type="dxa"/>
                  <w:vMerge w:val="continue"/>
                  <w:vAlign w:val="center"/>
                </w:tcPr>
                <w:p w14:paraId="07CCC33F">
                  <w:pPr>
                    <w:pStyle w:val="17"/>
                    <w:bidi w:val="0"/>
                    <w:rPr>
                      <w:rFonts w:hint="default"/>
                      <w:color w:val="auto"/>
                      <w:lang w:val="en-US" w:eastAsia="zh-CN"/>
                    </w:rPr>
                  </w:pPr>
                </w:p>
              </w:tc>
              <w:tc>
                <w:tcPr>
                  <w:tcW w:w="1212" w:type="dxa"/>
                  <w:vMerge w:val="continue"/>
                  <w:vAlign w:val="center"/>
                </w:tcPr>
                <w:p w14:paraId="28D09D6F">
                  <w:pPr>
                    <w:pStyle w:val="17"/>
                    <w:bidi w:val="0"/>
                    <w:rPr>
                      <w:rFonts w:hint="default"/>
                      <w:color w:val="auto"/>
                      <w:lang w:val="en-US" w:eastAsia="zh-CN"/>
                    </w:rPr>
                  </w:pPr>
                </w:p>
              </w:tc>
              <w:tc>
                <w:tcPr>
                  <w:tcW w:w="1019" w:type="dxa"/>
                  <w:vAlign w:val="center"/>
                </w:tcPr>
                <w:p w14:paraId="04EA7E2A">
                  <w:pPr>
                    <w:pStyle w:val="17"/>
                    <w:bidi w:val="0"/>
                    <w:rPr>
                      <w:rFonts w:hint="default"/>
                      <w:color w:val="auto"/>
                      <w:lang w:val="en-US" w:eastAsia="zh-CN"/>
                    </w:rPr>
                  </w:pPr>
                  <w:r>
                    <w:rPr>
                      <w:rFonts w:hint="eastAsia"/>
                      <w:color w:val="auto"/>
                      <w:lang w:val="en-US" w:eastAsia="zh-CN"/>
                    </w:rPr>
                    <w:t>2022.04.05</w:t>
                  </w:r>
                </w:p>
              </w:tc>
              <w:tc>
                <w:tcPr>
                  <w:tcW w:w="1019" w:type="dxa"/>
                  <w:vAlign w:val="center"/>
                </w:tcPr>
                <w:p w14:paraId="6ADDCCE0">
                  <w:pPr>
                    <w:pStyle w:val="17"/>
                    <w:bidi w:val="0"/>
                    <w:rPr>
                      <w:rFonts w:hint="default"/>
                      <w:color w:val="auto"/>
                      <w:lang w:val="en-US" w:eastAsia="zh-CN"/>
                    </w:rPr>
                  </w:pPr>
                  <w:r>
                    <w:rPr>
                      <w:rFonts w:hint="eastAsia"/>
                      <w:color w:val="auto"/>
                      <w:lang w:val="en-US" w:eastAsia="zh-CN"/>
                    </w:rPr>
                    <w:t>2022.04.06</w:t>
                  </w:r>
                </w:p>
              </w:tc>
              <w:tc>
                <w:tcPr>
                  <w:tcW w:w="3341" w:type="dxa"/>
                  <w:vMerge w:val="continue"/>
                  <w:vAlign w:val="center"/>
                </w:tcPr>
                <w:p w14:paraId="1ECD1F5B">
                  <w:pPr>
                    <w:pStyle w:val="17"/>
                    <w:bidi w:val="0"/>
                    <w:rPr>
                      <w:rFonts w:hint="default"/>
                      <w:color w:val="auto"/>
                      <w:lang w:val="en-US" w:eastAsia="zh-CN"/>
                    </w:rPr>
                  </w:pPr>
                </w:p>
              </w:tc>
            </w:tr>
            <w:tr w14:paraId="7FF91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61" w:type="dxa"/>
                  <w:vMerge w:val="continue"/>
                  <w:vAlign w:val="center"/>
                </w:tcPr>
                <w:p w14:paraId="332DBCED">
                  <w:pPr>
                    <w:pStyle w:val="17"/>
                    <w:bidi w:val="0"/>
                    <w:rPr>
                      <w:rFonts w:hint="default"/>
                      <w:color w:val="auto"/>
                      <w:lang w:val="en-US" w:eastAsia="zh-CN"/>
                    </w:rPr>
                  </w:pPr>
                </w:p>
              </w:tc>
              <w:tc>
                <w:tcPr>
                  <w:tcW w:w="1338" w:type="dxa"/>
                  <w:vMerge w:val="continue"/>
                  <w:vAlign w:val="center"/>
                </w:tcPr>
                <w:p w14:paraId="49D80449">
                  <w:pPr>
                    <w:pStyle w:val="17"/>
                    <w:bidi w:val="0"/>
                    <w:rPr>
                      <w:rFonts w:hint="default"/>
                      <w:color w:val="auto"/>
                      <w:lang w:val="en-US" w:eastAsia="zh-CN"/>
                    </w:rPr>
                  </w:pPr>
                </w:p>
              </w:tc>
              <w:tc>
                <w:tcPr>
                  <w:tcW w:w="1212" w:type="dxa"/>
                  <w:vMerge w:val="continue"/>
                  <w:vAlign w:val="center"/>
                </w:tcPr>
                <w:p w14:paraId="4BCFF9E8">
                  <w:pPr>
                    <w:pStyle w:val="17"/>
                    <w:bidi w:val="0"/>
                    <w:rPr>
                      <w:rFonts w:hint="default"/>
                      <w:color w:val="auto"/>
                      <w:lang w:val="en-US" w:eastAsia="zh-CN"/>
                    </w:rPr>
                  </w:pPr>
                </w:p>
              </w:tc>
              <w:tc>
                <w:tcPr>
                  <w:tcW w:w="1019" w:type="dxa"/>
                  <w:vAlign w:val="center"/>
                </w:tcPr>
                <w:p w14:paraId="6DB2F309">
                  <w:pPr>
                    <w:pStyle w:val="17"/>
                    <w:bidi w:val="0"/>
                    <w:ind w:firstLine="0" w:firstLineChars="0"/>
                    <w:rPr>
                      <w:rFonts w:hint="default" w:ascii="Times New Roman" w:hAnsi="Times New Roman" w:eastAsia="宋体" w:cs="Times New Roman"/>
                      <w:color w:val="auto"/>
                      <w:kern w:val="0"/>
                      <w:sz w:val="21"/>
                      <w:szCs w:val="21"/>
                      <w:lang w:val="en-US" w:eastAsia="zh-CN" w:bidi="ar-SA"/>
                    </w:rPr>
                  </w:pPr>
                  <w:r>
                    <w:rPr>
                      <w:rFonts w:hint="eastAsia"/>
                      <w:color w:val="auto"/>
                      <w:lang w:val="en-US" w:eastAsia="zh-CN"/>
                    </w:rPr>
                    <w:t>昼间</w:t>
                  </w:r>
                </w:p>
              </w:tc>
              <w:tc>
                <w:tcPr>
                  <w:tcW w:w="1019" w:type="dxa"/>
                  <w:vAlign w:val="center"/>
                </w:tcPr>
                <w:p w14:paraId="13A60D18">
                  <w:pPr>
                    <w:pStyle w:val="17"/>
                    <w:bidi w:val="0"/>
                    <w:ind w:firstLine="0" w:firstLineChars="0"/>
                    <w:rPr>
                      <w:rFonts w:hint="default" w:ascii="Times New Roman" w:hAnsi="Times New Roman" w:eastAsia="宋体" w:cs="Times New Roman"/>
                      <w:color w:val="auto"/>
                      <w:kern w:val="0"/>
                      <w:sz w:val="21"/>
                      <w:szCs w:val="21"/>
                      <w:lang w:val="en-US" w:eastAsia="zh-CN" w:bidi="ar-SA"/>
                    </w:rPr>
                  </w:pPr>
                  <w:r>
                    <w:rPr>
                      <w:rFonts w:hint="eastAsia"/>
                      <w:color w:val="auto"/>
                      <w:lang w:val="en-US" w:eastAsia="zh-CN"/>
                    </w:rPr>
                    <w:t>昼间</w:t>
                  </w:r>
                </w:p>
              </w:tc>
              <w:tc>
                <w:tcPr>
                  <w:tcW w:w="3341" w:type="dxa"/>
                  <w:vAlign w:val="center"/>
                </w:tcPr>
                <w:p w14:paraId="31987885">
                  <w:pPr>
                    <w:pStyle w:val="17"/>
                    <w:bidi w:val="0"/>
                    <w:ind w:firstLine="0" w:firstLineChars="0"/>
                    <w:rPr>
                      <w:rFonts w:hint="default" w:ascii="Times New Roman" w:hAnsi="Times New Roman" w:eastAsia="宋体" w:cs="Times New Roman"/>
                      <w:color w:val="auto"/>
                      <w:kern w:val="0"/>
                      <w:sz w:val="21"/>
                      <w:szCs w:val="21"/>
                      <w:lang w:val="en-US" w:eastAsia="zh-CN" w:bidi="ar-SA"/>
                    </w:rPr>
                  </w:pPr>
                  <w:r>
                    <w:rPr>
                      <w:rFonts w:hint="eastAsia"/>
                      <w:color w:val="auto"/>
                      <w:lang w:val="en-US" w:eastAsia="zh-CN"/>
                    </w:rPr>
                    <w:t>昼间</w:t>
                  </w:r>
                </w:p>
              </w:tc>
              <w:tc>
                <w:tcPr>
                  <w:tcW w:w="1399" w:type="dxa"/>
                  <w:vAlign w:val="center"/>
                </w:tcPr>
                <w:p w14:paraId="40EB2437">
                  <w:pPr>
                    <w:pStyle w:val="17"/>
                    <w:bidi w:val="0"/>
                    <w:ind w:firstLine="0" w:firstLineChars="0"/>
                    <w:rPr>
                      <w:rFonts w:hint="default" w:ascii="Times New Roman" w:hAnsi="Times New Roman" w:eastAsia="宋体" w:cs="Times New Roman"/>
                      <w:color w:val="auto"/>
                      <w:kern w:val="0"/>
                      <w:sz w:val="21"/>
                      <w:szCs w:val="21"/>
                      <w:lang w:val="en-US" w:eastAsia="zh-CN" w:bidi="ar-SA"/>
                    </w:rPr>
                  </w:pPr>
                  <w:r>
                    <w:rPr>
                      <w:rFonts w:hint="eastAsia"/>
                      <w:color w:val="auto"/>
                      <w:lang w:val="en-US" w:eastAsia="zh-CN"/>
                    </w:rPr>
                    <w:t>昼间</w:t>
                  </w:r>
                </w:p>
              </w:tc>
            </w:tr>
            <w:tr w14:paraId="0879A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399" w:type="dxa"/>
              </w:trPr>
              <w:tc>
                <w:tcPr>
                  <w:tcW w:w="461" w:type="dxa"/>
                  <w:vAlign w:val="center"/>
                </w:tcPr>
                <w:p w14:paraId="76492402">
                  <w:pPr>
                    <w:pStyle w:val="17"/>
                    <w:bidi w:val="0"/>
                    <w:ind w:firstLine="0" w:firstLineChars="0"/>
                    <w:rPr>
                      <w:rFonts w:hint="default" w:ascii="Times New Roman" w:hAnsi="Times New Roman" w:eastAsia="宋体" w:cs="Times New Roman"/>
                      <w:color w:val="auto"/>
                      <w:kern w:val="0"/>
                      <w:sz w:val="21"/>
                      <w:szCs w:val="21"/>
                      <w:lang w:val="en-US" w:eastAsia="zh-CN" w:bidi="ar-SA"/>
                    </w:rPr>
                  </w:pPr>
                  <w:r>
                    <w:rPr>
                      <w:rFonts w:hint="eastAsia"/>
                      <w:color w:val="auto"/>
                      <w:lang w:val="en-US" w:eastAsia="zh-CN"/>
                    </w:rPr>
                    <w:t>N1</w:t>
                  </w:r>
                </w:p>
              </w:tc>
              <w:tc>
                <w:tcPr>
                  <w:tcW w:w="1338" w:type="dxa"/>
                  <w:vAlign w:val="center"/>
                </w:tcPr>
                <w:p w14:paraId="6EB7D25E">
                  <w:pPr>
                    <w:pStyle w:val="17"/>
                    <w:bidi w:val="0"/>
                    <w:ind w:firstLine="0" w:firstLineChars="0"/>
                    <w:rPr>
                      <w:rFonts w:hint="default" w:ascii="Times New Roman" w:hAnsi="Times New Roman" w:eastAsia="宋体" w:cs="Times New Roman"/>
                      <w:color w:val="auto"/>
                      <w:kern w:val="0"/>
                      <w:sz w:val="21"/>
                      <w:szCs w:val="21"/>
                      <w:lang w:val="en-US" w:eastAsia="zh-CN" w:bidi="ar-SA"/>
                    </w:rPr>
                  </w:pPr>
                  <w:r>
                    <w:rPr>
                      <w:rFonts w:hint="eastAsia"/>
                      <w:color w:val="auto"/>
                      <w:lang w:val="en-US" w:eastAsia="zh-CN"/>
                    </w:rPr>
                    <w:t>边界东外1米</w:t>
                  </w:r>
                </w:p>
              </w:tc>
              <w:tc>
                <w:tcPr>
                  <w:tcW w:w="1212" w:type="dxa"/>
                  <w:vAlign w:val="center"/>
                </w:tcPr>
                <w:p w14:paraId="1426AE5F">
                  <w:pPr>
                    <w:pStyle w:val="17"/>
                    <w:bidi w:val="0"/>
                    <w:ind w:firstLine="0" w:firstLineChars="0"/>
                    <w:rPr>
                      <w:rFonts w:hint="default" w:ascii="Times New Roman" w:hAnsi="Times New Roman" w:eastAsia="宋体" w:cs="Times New Roman"/>
                      <w:color w:val="auto"/>
                      <w:kern w:val="0"/>
                      <w:sz w:val="21"/>
                      <w:szCs w:val="21"/>
                      <w:lang w:val="en-US" w:eastAsia="zh-CN" w:bidi="ar-SA"/>
                    </w:rPr>
                  </w:pPr>
                  <w:r>
                    <w:rPr>
                      <w:rFonts w:hint="eastAsia"/>
                      <w:color w:val="auto"/>
                      <w:lang w:val="en-US" w:eastAsia="zh-CN"/>
                    </w:rPr>
                    <w:t>生产性噪声</w:t>
                  </w:r>
                </w:p>
              </w:tc>
              <w:tc>
                <w:tcPr>
                  <w:tcW w:w="1019" w:type="dxa"/>
                  <w:vAlign w:val="center"/>
                </w:tcPr>
                <w:p w14:paraId="7FE6BD2F">
                  <w:pPr>
                    <w:pStyle w:val="17"/>
                    <w:bidi w:val="0"/>
                    <w:rPr>
                      <w:rFonts w:hint="default"/>
                      <w:color w:val="auto"/>
                      <w:lang w:val="en-US" w:eastAsia="zh-CN"/>
                    </w:rPr>
                  </w:pPr>
                  <w:r>
                    <w:rPr>
                      <w:rFonts w:hint="eastAsia"/>
                      <w:color w:val="auto"/>
                      <w:lang w:val="en-US" w:eastAsia="zh-CN"/>
                    </w:rPr>
                    <w:t>51</w:t>
                  </w:r>
                </w:p>
              </w:tc>
              <w:tc>
                <w:tcPr>
                  <w:tcW w:w="1019" w:type="dxa"/>
                  <w:vAlign w:val="center"/>
                </w:tcPr>
                <w:p w14:paraId="025FE1D0">
                  <w:pPr>
                    <w:pStyle w:val="17"/>
                    <w:bidi w:val="0"/>
                    <w:rPr>
                      <w:rFonts w:hint="default"/>
                      <w:color w:val="auto"/>
                      <w:lang w:val="en-US" w:eastAsia="zh-CN"/>
                    </w:rPr>
                  </w:pPr>
                  <w:r>
                    <w:rPr>
                      <w:rFonts w:hint="eastAsia"/>
                      <w:color w:val="auto"/>
                      <w:lang w:val="en-US" w:eastAsia="zh-CN"/>
                    </w:rPr>
                    <w:t>51</w:t>
                  </w:r>
                </w:p>
              </w:tc>
              <w:tc>
                <w:tcPr>
                  <w:tcW w:w="3341" w:type="dxa"/>
                  <w:vMerge w:val="restart"/>
                  <w:vAlign w:val="center"/>
                </w:tcPr>
                <w:p w14:paraId="65353D69">
                  <w:pPr>
                    <w:pStyle w:val="17"/>
                    <w:bidi w:val="0"/>
                    <w:rPr>
                      <w:rFonts w:hint="default"/>
                      <w:color w:val="auto"/>
                      <w:lang w:val="en-US" w:eastAsia="zh-CN"/>
                    </w:rPr>
                  </w:pPr>
                  <w:r>
                    <w:rPr>
                      <w:rFonts w:hint="eastAsia"/>
                      <w:color w:val="auto"/>
                      <w:lang w:val="en-US" w:eastAsia="zh-CN"/>
                    </w:rPr>
                    <w:t>60</w:t>
                  </w:r>
                </w:p>
              </w:tc>
            </w:tr>
            <w:tr w14:paraId="1BCA1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399" w:type="dxa"/>
              </w:trPr>
              <w:tc>
                <w:tcPr>
                  <w:tcW w:w="461" w:type="dxa"/>
                  <w:vAlign w:val="center"/>
                </w:tcPr>
                <w:p w14:paraId="3807714F">
                  <w:pPr>
                    <w:pStyle w:val="17"/>
                    <w:bidi w:val="0"/>
                    <w:ind w:firstLine="0" w:firstLineChars="0"/>
                    <w:rPr>
                      <w:rFonts w:hint="default" w:ascii="Times New Roman" w:hAnsi="Times New Roman" w:eastAsia="宋体" w:cs="Times New Roman"/>
                      <w:color w:val="auto"/>
                      <w:kern w:val="0"/>
                      <w:sz w:val="21"/>
                      <w:szCs w:val="21"/>
                      <w:lang w:val="en-US" w:eastAsia="zh-CN" w:bidi="ar-SA"/>
                    </w:rPr>
                  </w:pPr>
                  <w:r>
                    <w:rPr>
                      <w:rFonts w:hint="eastAsia"/>
                      <w:color w:val="auto"/>
                      <w:lang w:val="en-US" w:eastAsia="zh-CN"/>
                    </w:rPr>
                    <w:t>N2</w:t>
                  </w:r>
                </w:p>
              </w:tc>
              <w:tc>
                <w:tcPr>
                  <w:tcW w:w="1338" w:type="dxa"/>
                  <w:vAlign w:val="center"/>
                </w:tcPr>
                <w:p w14:paraId="5ED40C62">
                  <w:pPr>
                    <w:pStyle w:val="17"/>
                    <w:bidi w:val="0"/>
                    <w:ind w:firstLine="0" w:firstLineChars="0"/>
                    <w:rPr>
                      <w:rFonts w:hint="default" w:ascii="Times New Roman" w:hAnsi="Times New Roman" w:eastAsia="宋体" w:cs="Times New Roman"/>
                      <w:color w:val="auto"/>
                      <w:kern w:val="0"/>
                      <w:sz w:val="21"/>
                      <w:szCs w:val="21"/>
                      <w:lang w:val="en-US" w:eastAsia="zh-CN" w:bidi="ar-SA"/>
                    </w:rPr>
                  </w:pPr>
                  <w:r>
                    <w:rPr>
                      <w:rFonts w:hint="eastAsia"/>
                      <w:color w:val="auto"/>
                      <w:lang w:val="en-US" w:eastAsia="zh-CN"/>
                    </w:rPr>
                    <w:t>边界南外1米</w:t>
                  </w:r>
                </w:p>
              </w:tc>
              <w:tc>
                <w:tcPr>
                  <w:tcW w:w="1212" w:type="dxa"/>
                  <w:vAlign w:val="center"/>
                </w:tcPr>
                <w:p w14:paraId="2112DCB8">
                  <w:pPr>
                    <w:pStyle w:val="17"/>
                    <w:bidi w:val="0"/>
                    <w:ind w:firstLine="0" w:firstLineChars="0"/>
                    <w:rPr>
                      <w:rFonts w:hint="default" w:ascii="Times New Roman" w:hAnsi="Times New Roman" w:eastAsia="宋体" w:cs="Times New Roman"/>
                      <w:color w:val="auto"/>
                      <w:kern w:val="0"/>
                      <w:sz w:val="21"/>
                      <w:szCs w:val="21"/>
                      <w:lang w:val="en-US" w:eastAsia="zh-CN" w:bidi="ar-SA"/>
                    </w:rPr>
                  </w:pPr>
                  <w:r>
                    <w:rPr>
                      <w:rFonts w:hint="eastAsia"/>
                      <w:color w:val="auto"/>
                      <w:lang w:val="en-US" w:eastAsia="zh-CN"/>
                    </w:rPr>
                    <w:t>生产性噪声</w:t>
                  </w:r>
                </w:p>
              </w:tc>
              <w:tc>
                <w:tcPr>
                  <w:tcW w:w="1019" w:type="dxa"/>
                  <w:vAlign w:val="center"/>
                </w:tcPr>
                <w:p w14:paraId="748DC0EE">
                  <w:pPr>
                    <w:pStyle w:val="17"/>
                    <w:bidi w:val="0"/>
                    <w:rPr>
                      <w:rFonts w:hint="default"/>
                      <w:color w:val="auto"/>
                      <w:lang w:val="en-US" w:eastAsia="zh-CN"/>
                    </w:rPr>
                  </w:pPr>
                  <w:r>
                    <w:rPr>
                      <w:rFonts w:hint="eastAsia"/>
                      <w:color w:val="auto"/>
                      <w:lang w:val="en-US" w:eastAsia="zh-CN"/>
                    </w:rPr>
                    <w:t>51</w:t>
                  </w:r>
                </w:p>
              </w:tc>
              <w:tc>
                <w:tcPr>
                  <w:tcW w:w="1019" w:type="dxa"/>
                  <w:vAlign w:val="center"/>
                </w:tcPr>
                <w:p w14:paraId="282DF755">
                  <w:pPr>
                    <w:pStyle w:val="17"/>
                    <w:bidi w:val="0"/>
                    <w:rPr>
                      <w:rFonts w:hint="default"/>
                      <w:color w:val="auto"/>
                      <w:lang w:val="en-US" w:eastAsia="zh-CN"/>
                    </w:rPr>
                  </w:pPr>
                  <w:r>
                    <w:rPr>
                      <w:rFonts w:hint="eastAsia"/>
                      <w:color w:val="auto"/>
                      <w:lang w:val="en-US" w:eastAsia="zh-CN"/>
                    </w:rPr>
                    <w:t>52</w:t>
                  </w:r>
                </w:p>
              </w:tc>
              <w:tc>
                <w:tcPr>
                  <w:tcW w:w="3341" w:type="dxa"/>
                  <w:vMerge w:val="continue"/>
                  <w:vAlign w:val="center"/>
                </w:tcPr>
                <w:p w14:paraId="7DF20A1E">
                  <w:pPr>
                    <w:pStyle w:val="17"/>
                    <w:bidi w:val="0"/>
                    <w:rPr>
                      <w:rFonts w:hint="default"/>
                      <w:color w:val="auto"/>
                      <w:lang w:val="en-US" w:eastAsia="zh-CN"/>
                    </w:rPr>
                  </w:pPr>
                </w:p>
              </w:tc>
            </w:tr>
            <w:tr w14:paraId="73A92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399" w:type="dxa"/>
              </w:trPr>
              <w:tc>
                <w:tcPr>
                  <w:tcW w:w="461" w:type="dxa"/>
                  <w:vAlign w:val="center"/>
                </w:tcPr>
                <w:p w14:paraId="0180C78C">
                  <w:pPr>
                    <w:pStyle w:val="17"/>
                    <w:bidi w:val="0"/>
                    <w:ind w:firstLine="0" w:firstLineChars="0"/>
                    <w:rPr>
                      <w:rFonts w:hint="default" w:ascii="Times New Roman" w:hAnsi="Times New Roman" w:eastAsia="宋体" w:cs="Times New Roman"/>
                      <w:color w:val="auto"/>
                      <w:kern w:val="0"/>
                      <w:sz w:val="21"/>
                      <w:szCs w:val="21"/>
                      <w:lang w:val="en-US" w:eastAsia="zh-CN" w:bidi="ar-SA"/>
                    </w:rPr>
                  </w:pPr>
                  <w:r>
                    <w:rPr>
                      <w:rFonts w:hint="eastAsia"/>
                      <w:color w:val="auto"/>
                      <w:lang w:val="en-US" w:eastAsia="zh-CN"/>
                    </w:rPr>
                    <w:t>N3</w:t>
                  </w:r>
                </w:p>
              </w:tc>
              <w:tc>
                <w:tcPr>
                  <w:tcW w:w="1338" w:type="dxa"/>
                  <w:vAlign w:val="center"/>
                </w:tcPr>
                <w:p w14:paraId="69752012">
                  <w:pPr>
                    <w:pStyle w:val="17"/>
                    <w:bidi w:val="0"/>
                    <w:ind w:firstLine="0" w:firstLineChars="0"/>
                    <w:rPr>
                      <w:rFonts w:hint="default" w:ascii="Times New Roman" w:hAnsi="Times New Roman" w:eastAsia="宋体" w:cs="Times New Roman"/>
                      <w:color w:val="auto"/>
                      <w:kern w:val="0"/>
                      <w:sz w:val="21"/>
                      <w:szCs w:val="21"/>
                      <w:lang w:val="en-US" w:eastAsia="zh-CN" w:bidi="ar-SA"/>
                    </w:rPr>
                  </w:pPr>
                  <w:r>
                    <w:rPr>
                      <w:rFonts w:hint="eastAsia"/>
                      <w:color w:val="auto"/>
                      <w:lang w:val="en-US" w:eastAsia="zh-CN"/>
                    </w:rPr>
                    <w:t>边界西外1米</w:t>
                  </w:r>
                </w:p>
              </w:tc>
              <w:tc>
                <w:tcPr>
                  <w:tcW w:w="1212" w:type="dxa"/>
                  <w:vAlign w:val="center"/>
                </w:tcPr>
                <w:p w14:paraId="4C4E322F">
                  <w:pPr>
                    <w:pStyle w:val="17"/>
                    <w:bidi w:val="0"/>
                    <w:ind w:firstLine="0" w:firstLineChars="0"/>
                    <w:rPr>
                      <w:rFonts w:hint="default" w:ascii="Times New Roman" w:hAnsi="Times New Roman" w:eastAsia="宋体" w:cs="Times New Roman"/>
                      <w:color w:val="auto"/>
                      <w:kern w:val="0"/>
                      <w:sz w:val="21"/>
                      <w:szCs w:val="21"/>
                      <w:lang w:val="en-US" w:eastAsia="zh-CN" w:bidi="ar-SA"/>
                    </w:rPr>
                  </w:pPr>
                  <w:r>
                    <w:rPr>
                      <w:rFonts w:hint="eastAsia"/>
                      <w:color w:val="auto"/>
                      <w:lang w:val="en-US" w:eastAsia="zh-CN"/>
                    </w:rPr>
                    <w:t>生产性噪声</w:t>
                  </w:r>
                </w:p>
              </w:tc>
              <w:tc>
                <w:tcPr>
                  <w:tcW w:w="1019" w:type="dxa"/>
                  <w:vAlign w:val="center"/>
                </w:tcPr>
                <w:p w14:paraId="47605048">
                  <w:pPr>
                    <w:pStyle w:val="17"/>
                    <w:bidi w:val="0"/>
                    <w:rPr>
                      <w:rFonts w:hint="default"/>
                      <w:color w:val="auto"/>
                      <w:lang w:val="en-US" w:eastAsia="zh-CN"/>
                    </w:rPr>
                  </w:pPr>
                  <w:r>
                    <w:rPr>
                      <w:rFonts w:hint="eastAsia"/>
                      <w:color w:val="auto"/>
                      <w:lang w:val="en-US" w:eastAsia="zh-CN"/>
                    </w:rPr>
                    <w:t>52</w:t>
                  </w:r>
                </w:p>
              </w:tc>
              <w:tc>
                <w:tcPr>
                  <w:tcW w:w="1019" w:type="dxa"/>
                  <w:vAlign w:val="center"/>
                </w:tcPr>
                <w:p w14:paraId="5E17F119">
                  <w:pPr>
                    <w:pStyle w:val="17"/>
                    <w:bidi w:val="0"/>
                    <w:rPr>
                      <w:rFonts w:hint="default"/>
                      <w:color w:val="auto"/>
                      <w:lang w:val="en-US" w:eastAsia="zh-CN"/>
                    </w:rPr>
                  </w:pPr>
                  <w:r>
                    <w:rPr>
                      <w:rFonts w:hint="eastAsia"/>
                      <w:color w:val="auto"/>
                      <w:lang w:val="en-US" w:eastAsia="zh-CN"/>
                    </w:rPr>
                    <w:t>50</w:t>
                  </w:r>
                </w:p>
              </w:tc>
              <w:tc>
                <w:tcPr>
                  <w:tcW w:w="3341" w:type="dxa"/>
                  <w:vMerge w:val="continue"/>
                  <w:vAlign w:val="center"/>
                </w:tcPr>
                <w:p w14:paraId="7418CAEB">
                  <w:pPr>
                    <w:pStyle w:val="17"/>
                    <w:bidi w:val="0"/>
                    <w:rPr>
                      <w:rFonts w:hint="default"/>
                      <w:color w:val="auto"/>
                      <w:lang w:val="en-US" w:eastAsia="zh-CN"/>
                    </w:rPr>
                  </w:pPr>
                </w:p>
              </w:tc>
            </w:tr>
            <w:tr w14:paraId="6D3E7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399" w:type="dxa"/>
              </w:trPr>
              <w:tc>
                <w:tcPr>
                  <w:tcW w:w="461" w:type="dxa"/>
                  <w:vAlign w:val="center"/>
                </w:tcPr>
                <w:p w14:paraId="6EF267AF">
                  <w:pPr>
                    <w:pStyle w:val="17"/>
                    <w:bidi w:val="0"/>
                    <w:ind w:firstLine="0" w:firstLineChars="0"/>
                    <w:rPr>
                      <w:rFonts w:hint="eastAsia" w:ascii="Times New Roman" w:hAnsi="Times New Roman" w:eastAsia="宋体" w:cs="Times New Roman"/>
                      <w:color w:val="auto"/>
                      <w:kern w:val="0"/>
                      <w:sz w:val="21"/>
                      <w:szCs w:val="21"/>
                      <w:lang w:val="en-US" w:eastAsia="zh-CN" w:bidi="ar-SA"/>
                    </w:rPr>
                  </w:pPr>
                  <w:r>
                    <w:rPr>
                      <w:rFonts w:hint="eastAsia"/>
                      <w:color w:val="auto"/>
                      <w:lang w:val="en-US" w:eastAsia="zh-CN"/>
                    </w:rPr>
                    <w:t>N4</w:t>
                  </w:r>
                </w:p>
              </w:tc>
              <w:tc>
                <w:tcPr>
                  <w:tcW w:w="1338" w:type="dxa"/>
                  <w:vAlign w:val="center"/>
                </w:tcPr>
                <w:p w14:paraId="4CBB736B">
                  <w:pPr>
                    <w:pStyle w:val="17"/>
                    <w:bidi w:val="0"/>
                    <w:ind w:firstLine="0" w:firstLineChars="0"/>
                    <w:rPr>
                      <w:rFonts w:hint="eastAsia" w:ascii="Times New Roman" w:hAnsi="Times New Roman" w:eastAsia="宋体" w:cs="Times New Roman"/>
                      <w:color w:val="auto"/>
                      <w:kern w:val="0"/>
                      <w:sz w:val="21"/>
                      <w:szCs w:val="21"/>
                      <w:lang w:val="en-US" w:eastAsia="zh-CN" w:bidi="ar-SA"/>
                    </w:rPr>
                  </w:pPr>
                  <w:r>
                    <w:rPr>
                      <w:rFonts w:hint="eastAsia"/>
                      <w:color w:val="auto"/>
                      <w:lang w:val="en-US" w:eastAsia="zh-CN"/>
                    </w:rPr>
                    <w:t>边界北外1米</w:t>
                  </w:r>
                </w:p>
              </w:tc>
              <w:tc>
                <w:tcPr>
                  <w:tcW w:w="1212" w:type="dxa"/>
                  <w:vAlign w:val="center"/>
                </w:tcPr>
                <w:p w14:paraId="5CBBBB75">
                  <w:pPr>
                    <w:pStyle w:val="17"/>
                    <w:bidi w:val="0"/>
                    <w:ind w:firstLine="0" w:firstLineChars="0"/>
                    <w:rPr>
                      <w:rFonts w:hint="eastAsia" w:ascii="Times New Roman" w:hAnsi="Times New Roman" w:eastAsia="宋体" w:cs="Times New Roman"/>
                      <w:color w:val="auto"/>
                      <w:kern w:val="0"/>
                      <w:sz w:val="21"/>
                      <w:szCs w:val="21"/>
                      <w:lang w:val="en-US" w:eastAsia="zh-CN" w:bidi="ar-SA"/>
                    </w:rPr>
                  </w:pPr>
                  <w:r>
                    <w:rPr>
                      <w:rFonts w:hint="eastAsia"/>
                      <w:color w:val="auto"/>
                      <w:lang w:val="en-US" w:eastAsia="zh-CN"/>
                    </w:rPr>
                    <w:t>生产性噪声</w:t>
                  </w:r>
                </w:p>
              </w:tc>
              <w:tc>
                <w:tcPr>
                  <w:tcW w:w="1019" w:type="dxa"/>
                  <w:vAlign w:val="center"/>
                </w:tcPr>
                <w:p w14:paraId="1A57583D">
                  <w:pPr>
                    <w:pStyle w:val="17"/>
                    <w:bidi w:val="0"/>
                    <w:rPr>
                      <w:rFonts w:hint="default"/>
                      <w:color w:val="auto"/>
                      <w:lang w:val="en-US" w:eastAsia="zh-CN"/>
                    </w:rPr>
                  </w:pPr>
                  <w:r>
                    <w:rPr>
                      <w:rFonts w:hint="eastAsia"/>
                      <w:color w:val="auto"/>
                      <w:lang w:val="en-US" w:eastAsia="zh-CN"/>
                    </w:rPr>
                    <w:t>54</w:t>
                  </w:r>
                </w:p>
              </w:tc>
              <w:tc>
                <w:tcPr>
                  <w:tcW w:w="1019" w:type="dxa"/>
                  <w:vAlign w:val="center"/>
                </w:tcPr>
                <w:p w14:paraId="325373A1">
                  <w:pPr>
                    <w:pStyle w:val="17"/>
                    <w:bidi w:val="0"/>
                    <w:rPr>
                      <w:rFonts w:hint="default"/>
                      <w:color w:val="auto"/>
                      <w:lang w:val="en-US" w:eastAsia="zh-CN"/>
                    </w:rPr>
                  </w:pPr>
                  <w:r>
                    <w:rPr>
                      <w:rFonts w:hint="eastAsia"/>
                      <w:color w:val="auto"/>
                      <w:lang w:val="en-US" w:eastAsia="zh-CN"/>
                    </w:rPr>
                    <w:t>55</w:t>
                  </w:r>
                </w:p>
              </w:tc>
              <w:tc>
                <w:tcPr>
                  <w:tcW w:w="3341" w:type="dxa"/>
                  <w:vMerge w:val="continue"/>
                  <w:vAlign w:val="center"/>
                </w:tcPr>
                <w:p w14:paraId="2B719E12">
                  <w:pPr>
                    <w:pStyle w:val="17"/>
                    <w:bidi w:val="0"/>
                    <w:rPr>
                      <w:rFonts w:hint="default"/>
                      <w:color w:val="auto"/>
                      <w:lang w:val="en-US" w:eastAsia="zh-CN"/>
                    </w:rPr>
                  </w:pPr>
                </w:p>
              </w:tc>
            </w:tr>
          </w:tbl>
          <w:p w14:paraId="5F744474">
            <w:pPr>
              <w:bidi w:val="0"/>
              <w:rPr>
                <w:rFonts w:hint="eastAsia"/>
                <w:color w:val="auto"/>
                <w:lang w:val="en-US" w:eastAsia="zh-CN"/>
              </w:rPr>
            </w:pPr>
            <w:r>
              <w:rPr>
                <w:rFonts w:hint="default"/>
                <w:color w:val="auto"/>
                <w:lang w:val="en-US" w:eastAsia="zh-CN"/>
              </w:rPr>
              <w:t>由检测结果可知，现有项目厂界噪声各监测点位昼间噪声检测结果均符合《工业企业厂界环境噪声排放标准》（GB</w:t>
            </w:r>
            <w:r>
              <w:rPr>
                <w:rFonts w:hint="eastAsia"/>
                <w:color w:val="auto"/>
                <w:lang w:val="en-US" w:eastAsia="zh-CN"/>
              </w:rPr>
              <w:t xml:space="preserve"> </w:t>
            </w:r>
            <w:r>
              <w:rPr>
                <w:rFonts w:hint="default"/>
                <w:color w:val="auto"/>
                <w:lang w:val="en-US" w:eastAsia="zh-CN"/>
              </w:rPr>
              <w:t>12348</w:t>
            </w:r>
            <w:r>
              <w:rPr>
                <w:rFonts w:hint="eastAsia"/>
                <w:color w:val="auto"/>
                <w:lang w:val="en-US" w:eastAsia="zh-CN"/>
              </w:rPr>
              <w:t>-</w:t>
            </w:r>
            <w:r>
              <w:rPr>
                <w:rFonts w:hint="default"/>
                <w:color w:val="auto"/>
                <w:lang w:val="en-US" w:eastAsia="zh-CN"/>
              </w:rPr>
              <w:t>2008）</w:t>
            </w:r>
            <w:r>
              <w:rPr>
                <w:rFonts w:hint="eastAsia"/>
                <w:color w:val="auto"/>
                <w:lang w:val="en-US" w:eastAsia="zh-CN"/>
              </w:rPr>
              <w:t>2</w:t>
            </w:r>
            <w:r>
              <w:rPr>
                <w:rFonts w:hint="default"/>
                <w:color w:val="auto"/>
                <w:lang w:val="en-US" w:eastAsia="zh-CN"/>
              </w:rPr>
              <w:t>类标准要求</w:t>
            </w:r>
            <w:r>
              <w:rPr>
                <w:rFonts w:hint="eastAsia"/>
                <w:color w:val="auto"/>
                <w:lang w:val="en-US" w:eastAsia="zh-CN"/>
              </w:rPr>
              <w:t>。</w:t>
            </w:r>
          </w:p>
          <w:p w14:paraId="13E15324">
            <w:pPr>
              <w:pStyle w:val="5"/>
              <w:bidi w:val="0"/>
              <w:rPr>
                <w:rFonts w:hint="eastAsia"/>
                <w:color w:val="auto"/>
                <w:lang w:val="en-US" w:eastAsia="zh-CN"/>
              </w:rPr>
            </w:pPr>
            <w:bookmarkStart w:id="255" w:name="_Toc15168"/>
            <w:bookmarkStart w:id="256" w:name="_Toc13302"/>
            <w:bookmarkStart w:id="257" w:name="_Toc31990"/>
            <w:bookmarkStart w:id="258" w:name="_Toc10052"/>
            <w:bookmarkStart w:id="259" w:name="_Toc20099"/>
            <w:r>
              <w:rPr>
                <w:rFonts w:hint="eastAsia"/>
                <w:color w:val="auto"/>
                <w:lang w:val="en-US" w:eastAsia="zh-CN"/>
              </w:rPr>
              <w:t>3.4 现有项目工业固体废物现状</w:t>
            </w:r>
            <w:bookmarkEnd w:id="255"/>
            <w:bookmarkEnd w:id="256"/>
            <w:bookmarkEnd w:id="257"/>
            <w:bookmarkEnd w:id="258"/>
            <w:bookmarkEnd w:id="259"/>
          </w:p>
          <w:p w14:paraId="6DD85778">
            <w:pPr>
              <w:rPr>
                <w:rFonts w:hint="eastAsia"/>
                <w:color w:val="auto"/>
                <w:lang w:val="en-US" w:eastAsia="zh-CN"/>
              </w:rPr>
            </w:pPr>
            <w:r>
              <w:rPr>
                <w:rFonts w:hint="eastAsia"/>
                <w:color w:val="auto"/>
                <w:lang w:val="en-US" w:eastAsia="zh-CN"/>
              </w:rPr>
              <w:t>本项目工业固体废物主要包括：一般工业固体废物、危险废物和生活垃圾。</w:t>
            </w:r>
          </w:p>
          <w:p w14:paraId="36ECEEE4">
            <w:pPr>
              <w:rPr>
                <w:rFonts w:hint="eastAsia"/>
                <w:color w:val="auto"/>
                <w:lang w:val="en-US" w:eastAsia="zh-CN"/>
              </w:rPr>
            </w:pPr>
            <w:r>
              <w:rPr>
                <w:rFonts w:hint="eastAsia"/>
                <w:color w:val="auto"/>
                <w:lang w:val="en-US" w:eastAsia="zh-CN"/>
              </w:rPr>
              <w:t>（1）一般工业固体废物</w:t>
            </w:r>
          </w:p>
          <w:p w14:paraId="3F9765B4">
            <w:pPr>
              <w:rPr>
                <w:rFonts w:hint="eastAsia"/>
                <w:color w:val="auto"/>
                <w:lang w:val="en-US" w:eastAsia="zh-CN"/>
              </w:rPr>
            </w:pPr>
            <w:r>
              <w:rPr>
                <w:rFonts w:hint="eastAsia"/>
                <w:color w:val="auto"/>
                <w:lang w:val="en-US" w:eastAsia="zh-CN"/>
              </w:rPr>
              <w:t>①初期雨水池沉渣</w:t>
            </w:r>
          </w:p>
          <w:p w14:paraId="7B9EDAB8">
            <w:pPr>
              <w:rPr>
                <w:rFonts w:hint="eastAsia"/>
                <w:color w:val="auto"/>
                <w:lang w:val="en-US" w:eastAsia="zh-CN"/>
              </w:rPr>
            </w:pPr>
            <w:r>
              <w:rPr>
                <w:rFonts w:hint="eastAsia"/>
                <w:color w:val="auto"/>
                <w:lang w:val="en-US" w:eastAsia="zh-CN"/>
              </w:rPr>
              <w:t>项目区域降雨时，细小颗粒物会随水流进入初期雨水池，通过沉降沉积于池底，根据雨水中SS浓度等数据，估算出每年的沉渣量为2.145t/a，通过对初期雨水池定期清淤，沉渣外售砖厂制砖。</w:t>
            </w:r>
          </w:p>
          <w:p w14:paraId="0B9AD096">
            <w:pPr>
              <w:rPr>
                <w:rFonts w:hint="eastAsia"/>
                <w:color w:val="auto"/>
                <w:lang w:val="en-US" w:eastAsia="zh-CN"/>
              </w:rPr>
            </w:pPr>
            <w:r>
              <w:rPr>
                <w:rFonts w:hint="eastAsia"/>
                <w:color w:val="auto"/>
                <w:lang w:val="en-US" w:eastAsia="zh-CN"/>
              </w:rPr>
              <w:t>②除尘器收集的粉尘</w:t>
            </w:r>
          </w:p>
          <w:p w14:paraId="1E53523F">
            <w:pPr>
              <w:rPr>
                <w:rFonts w:hint="eastAsia"/>
                <w:color w:val="auto"/>
                <w:lang w:val="en-US" w:eastAsia="zh-CN"/>
              </w:rPr>
            </w:pPr>
            <w:r>
              <w:rPr>
                <w:rFonts w:hint="eastAsia"/>
                <w:color w:val="auto"/>
                <w:lang w:val="en-US" w:eastAsia="zh-CN"/>
              </w:rPr>
              <w:t>现有项目在破碎、筛分工序产生粉尘量为180t/a，在各工序设置抽风装置（风机风量均为3000m</w:t>
            </w:r>
            <w:r>
              <w:rPr>
                <w:rFonts w:hint="eastAsia"/>
                <w:color w:val="auto"/>
                <w:vertAlign w:val="superscript"/>
                <w:lang w:val="en-US" w:eastAsia="zh-CN"/>
              </w:rPr>
              <w:t>3</w:t>
            </w:r>
            <w:r>
              <w:rPr>
                <w:rFonts w:hint="eastAsia"/>
                <w:color w:val="auto"/>
                <w:lang w:val="en-US" w:eastAsia="zh-CN"/>
              </w:rPr>
              <w:t>/h），在引风机的负压作用下，经集气罩收集（收集效率90%）、旋风除尘器（治理效率65%）和脉冲反吹袋式除尘器（治理效率99%）处理，破碎、筛分工序粉尘有组织产生量为162t/a、产生速率为67.5kg/h，排放量为0.567t/a、排放速率为0.2363kg/h，则除尘器收集的粉尘量为179.7637t/a。分类收集后定期外售综合利用。</w:t>
            </w:r>
          </w:p>
          <w:p w14:paraId="5C9EF526">
            <w:pPr>
              <w:rPr>
                <w:rFonts w:hint="eastAsia"/>
                <w:color w:val="auto"/>
                <w:lang w:val="en-US" w:eastAsia="zh-CN"/>
              </w:rPr>
            </w:pPr>
            <w:r>
              <w:rPr>
                <w:rFonts w:hint="eastAsia"/>
                <w:color w:val="auto"/>
                <w:lang w:val="en-US" w:eastAsia="zh-CN"/>
              </w:rPr>
              <w:t>③除尘器废布袋</w:t>
            </w:r>
          </w:p>
          <w:p w14:paraId="39410B00">
            <w:pPr>
              <w:rPr>
                <w:rFonts w:hint="eastAsia"/>
                <w:color w:val="auto"/>
                <w:lang w:val="en-US" w:eastAsia="zh-CN"/>
              </w:rPr>
            </w:pPr>
            <w:r>
              <w:rPr>
                <w:rFonts w:hint="eastAsia"/>
                <w:color w:val="auto"/>
                <w:lang w:val="en-US" w:eastAsia="zh-CN"/>
              </w:rPr>
              <w:t>现有项目采用脉冲反吹袋式除尘器处理破碎、筛分废气，需定期更换布袋，根据建设单位提供资料，废布袋的产生量约为0.3t/a。分类收集后定期外售综合利用。</w:t>
            </w:r>
          </w:p>
          <w:p w14:paraId="3F90CE4D">
            <w:pPr>
              <w:rPr>
                <w:rFonts w:hint="eastAsia"/>
                <w:color w:val="auto"/>
                <w:lang w:val="en-US" w:eastAsia="zh-CN"/>
              </w:rPr>
            </w:pPr>
            <w:r>
              <w:rPr>
                <w:rFonts w:hint="eastAsia"/>
                <w:color w:val="auto"/>
                <w:lang w:val="en-US" w:eastAsia="zh-CN"/>
              </w:rPr>
              <w:t>④钢筋、木块、废塑料等</w:t>
            </w:r>
          </w:p>
          <w:p w14:paraId="74899F5C">
            <w:pPr>
              <w:rPr>
                <w:rFonts w:hint="eastAsia"/>
                <w:color w:val="auto"/>
                <w:lang w:val="en-US" w:eastAsia="zh-CN"/>
              </w:rPr>
            </w:pPr>
            <w:r>
              <w:rPr>
                <w:rFonts w:hint="eastAsia"/>
                <w:color w:val="auto"/>
                <w:lang w:val="en-US" w:eastAsia="zh-CN"/>
              </w:rPr>
              <w:t>建筑垃圾处置在人工分选中，会产生剩余的钢筋、木材、少量的塑料等一般固废，现有项目年最大处理建筑垃圾24万t/a，根据建设单位提供资料，钢筋、木块、废塑料等一般固体废物约占建筑垃圾总量的1%，即2400t/a，分类收集后定期外售综合利用。</w:t>
            </w:r>
          </w:p>
          <w:p w14:paraId="3C9AB25D">
            <w:pPr>
              <w:rPr>
                <w:rFonts w:hint="eastAsia"/>
                <w:color w:val="auto"/>
                <w:lang w:val="en-US" w:eastAsia="zh-CN"/>
              </w:rPr>
            </w:pPr>
            <w:r>
              <w:rPr>
                <w:rFonts w:hint="eastAsia"/>
                <w:color w:val="auto"/>
                <w:lang w:val="en-US" w:eastAsia="zh-CN"/>
              </w:rPr>
              <w:t>（2）危险废物</w:t>
            </w:r>
          </w:p>
          <w:p w14:paraId="4CA0B947">
            <w:pPr>
              <w:rPr>
                <w:rFonts w:hint="eastAsia"/>
                <w:color w:val="auto"/>
                <w:lang w:val="en-US" w:eastAsia="zh-CN"/>
              </w:rPr>
            </w:pPr>
            <w:r>
              <w:rPr>
                <w:rFonts w:hint="eastAsia"/>
                <w:color w:val="auto"/>
                <w:lang w:val="en-US" w:eastAsia="zh-CN"/>
              </w:rPr>
              <w:t>①隔油渣</w:t>
            </w:r>
          </w:p>
          <w:p w14:paraId="6D7EB008">
            <w:pPr>
              <w:rPr>
                <w:rFonts w:hint="eastAsia"/>
                <w:color w:val="auto"/>
                <w:lang w:val="en-US" w:eastAsia="zh-CN"/>
              </w:rPr>
            </w:pPr>
            <w:r>
              <w:rPr>
                <w:rFonts w:hint="eastAsia"/>
                <w:color w:val="auto"/>
                <w:lang w:val="en-US" w:eastAsia="zh-CN"/>
              </w:rPr>
              <w:t>根据建设单位提供资料，现有项目隔油渣产生量约为0.2t/a，属于“HW08废矿物油与含矿物油废物”，危废代码“900-210-08”，收集后暂存于危废暂存间外委处置。</w:t>
            </w:r>
          </w:p>
          <w:p w14:paraId="31E81907">
            <w:pPr>
              <w:rPr>
                <w:rFonts w:hint="eastAsia"/>
                <w:color w:val="auto"/>
                <w:lang w:val="en-US" w:eastAsia="zh-CN"/>
              </w:rPr>
            </w:pPr>
            <w:r>
              <w:rPr>
                <w:rFonts w:hint="eastAsia"/>
                <w:color w:val="auto"/>
                <w:lang w:val="en-US" w:eastAsia="zh-CN"/>
              </w:rPr>
              <w:t>（3）生活垃圾</w:t>
            </w:r>
          </w:p>
          <w:p w14:paraId="5F44D74A">
            <w:pPr>
              <w:rPr>
                <w:rFonts w:hint="eastAsia"/>
                <w:color w:val="auto"/>
                <w:lang w:val="en-US" w:eastAsia="zh-CN"/>
              </w:rPr>
            </w:pPr>
            <w:r>
              <w:rPr>
                <w:rFonts w:hint="eastAsia"/>
                <w:color w:val="auto"/>
                <w:lang w:val="en-US" w:eastAsia="zh-CN"/>
              </w:rPr>
              <w:t>现有项目劳动定员8人，均不在厂内食宿，职工生活垃圾按0.5kg/人·d计，则生活垃圾产生量为1.2t/a，经厂区内垃圾桶收集后交由当地环卫部门清运处理。</w:t>
            </w:r>
          </w:p>
          <w:p w14:paraId="15E03728">
            <w:pPr>
              <w:pStyle w:val="5"/>
              <w:bidi w:val="0"/>
              <w:rPr>
                <w:rFonts w:hint="eastAsia"/>
                <w:color w:val="auto"/>
                <w:lang w:val="en-US" w:eastAsia="zh-CN"/>
              </w:rPr>
            </w:pPr>
            <w:bookmarkStart w:id="260" w:name="_Toc23234"/>
            <w:bookmarkStart w:id="261" w:name="_Toc28549"/>
            <w:bookmarkStart w:id="262" w:name="_Toc9815"/>
            <w:bookmarkStart w:id="263" w:name="_Toc25741"/>
            <w:bookmarkStart w:id="264" w:name="_Toc31880"/>
            <w:r>
              <w:rPr>
                <w:rFonts w:hint="eastAsia"/>
                <w:color w:val="auto"/>
                <w:lang w:val="en-US" w:eastAsia="zh-CN"/>
              </w:rPr>
              <w:t>3.5 现有项目排污汇总</w:t>
            </w:r>
            <w:bookmarkEnd w:id="260"/>
            <w:bookmarkEnd w:id="261"/>
            <w:bookmarkEnd w:id="262"/>
            <w:bookmarkEnd w:id="263"/>
            <w:bookmarkEnd w:id="264"/>
          </w:p>
          <w:p w14:paraId="492DC1F5">
            <w:pPr>
              <w:rPr>
                <w:rFonts w:hint="eastAsia"/>
                <w:color w:val="auto"/>
                <w:lang w:val="en-US" w:eastAsia="zh-CN"/>
              </w:rPr>
            </w:pPr>
            <w:r>
              <w:rPr>
                <w:rFonts w:hint="eastAsia"/>
                <w:color w:val="auto"/>
                <w:lang w:val="en-US" w:eastAsia="zh-CN"/>
              </w:rPr>
              <w:t>根据现有项目的环评及验收报告，经核算，现有项目排污情况详见表2-17。</w:t>
            </w:r>
          </w:p>
          <w:p w14:paraId="3041A0E6">
            <w:pPr>
              <w:pStyle w:val="18"/>
              <w:bidi w:val="0"/>
              <w:rPr>
                <w:rFonts w:hint="eastAsia"/>
                <w:color w:val="auto"/>
                <w:lang w:val="en-US" w:eastAsia="zh-CN"/>
              </w:rPr>
            </w:pPr>
            <w:r>
              <w:rPr>
                <w:rFonts w:hint="eastAsia"/>
                <w:color w:val="auto"/>
                <w:lang w:val="en-US" w:eastAsia="zh-CN"/>
              </w:rPr>
              <w:t>表2-17 现有项目排污汇总一览表（单位：t/a）</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1135"/>
              <w:gridCol w:w="2489"/>
              <w:gridCol w:w="2261"/>
              <w:gridCol w:w="1133"/>
            </w:tblGrid>
            <w:tr w14:paraId="5FD6E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3" w:type="pct"/>
                  <w:gridSpan w:val="3"/>
                  <w:vAlign w:val="center"/>
                </w:tcPr>
                <w:p w14:paraId="64351375">
                  <w:pPr>
                    <w:pStyle w:val="17"/>
                    <w:jc w:val="center"/>
                    <w:rPr>
                      <w:rFonts w:hint="default"/>
                      <w:color w:val="auto"/>
                      <w:vertAlign w:val="baseline"/>
                      <w:lang w:val="en-US" w:eastAsia="zh-CN"/>
                    </w:rPr>
                  </w:pPr>
                  <w:r>
                    <w:rPr>
                      <w:rFonts w:hint="eastAsia"/>
                      <w:color w:val="auto"/>
                      <w:vertAlign w:val="baseline"/>
                      <w:lang w:val="en-US" w:eastAsia="zh-CN"/>
                    </w:rPr>
                    <w:t>污染物</w:t>
                  </w:r>
                </w:p>
              </w:tc>
              <w:tc>
                <w:tcPr>
                  <w:tcW w:w="1349" w:type="pct"/>
                  <w:vAlign w:val="center"/>
                </w:tcPr>
                <w:p w14:paraId="158583A3">
                  <w:pPr>
                    <w:pStyle w:val="17"/>
                    <w:jc w:val="center"/>
                    <w:rPr>
                      <w:rFonts w:hint="default"/>
                      <w:color w:val="auto"/>
                      <w:vertAlign w:val="baseline"/>
                      <w:lang w:val="en-US" w:eastAsia="zh-CN"/>
                    </w:rPr>
                  </w:pPr>
                  <w:r>
                    <w:rPr>
                      <w:rFonts w:hint="eastAsia"/>
                      <w:color w:val="auto"/>
                      <w:vertAlign w:val="baseline"/>
                      <w:lang w:val="en-US" w:eastAsia="zh-CN"/>
                    </w:rPr>
                    <w:t>现有工程实际排放量</w:t>
                  </w:r>
                </w:p>
              </w:tc>
              <w:tc>
                <w:tcPr>
                  <w:tcW w:w="676" w:type="pct"/>
                  <w:vAlign w:val="center"/>
                </w:tcPr>
                <w:p w14:paraId="66B290A0">
                  <w:pPr>
                    <w:pStyle w:val="17"/>
                    <w:jc w:val="center"/>
                    <w:rPr>
                      <w:rFonts w:hint="default"/>
                      <w:color w:val="auto"/>
                      <w:vertAlign w:val="baseline"/>
                      <w:lang w:val="en-US" w:eastAsia="zh-CN"/>
                    </w:rPr>
                  </w:pPr>
                  <w:r>
                    <w:rPr>
                      <w:rFonts w:hint="eastAsia"/>
                      <w:color w:val="auto"/>
                      <w:vertAlign w:val="baseline"/>
                      <w:lang w:val="en-US" w:eastAsia="zh-CN"/>
                    </w:rPr>
                    <w:t>数据来源</w:t>
                  </w:r>
                </w:p>
              </w:tc>
            </w:tr>
            <w:tr w14:paraId="347A7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8" w:type="pct"/>
                  <w:gridSpan w:val="2"/>
                  <w:vAlign w:val="center"/>
                </w:tcPr>
                <w:p w14:paraId="41AAB51A">
                  <w:pPr>
                    <w:pStyle w:val="17"/>
                    <w:jc w:val="center"/>
                    <w:rPr>
                      <w:rFonts w:hint="default"/>
                      <w:color w:val="auto"/>
                      <w:vertAlign w:val="baseline"/>
                      <w:lang w:val="en-US" w:eastAsia="zh-CN"/>
                    </w:rPr>
                  </w:pPr>
                  <w:r>
                    <w:rPr>
                      <w:rFonts w:hint="eastAsia"/>
                      <w:color w:val="auto"/>
                      <w:vertAlign w:val="baseline"/>
                      <w:lang w:val="en-US" w:eastAsia="zh-CN"/>
                    </w:rPr>
                    <w:t>有组织废气排放量</w:t>
                  </w:r>
                </w:p>
              </w:tc>
              <w:tc>
                <w:tcPr>
                  <w:tcW w:w="1485" w:type="pct"/>
                  <w:vAlign w:val="center"/>
                </w:tcPr>
                <w:p w14:paraId="30452B52">
                  <w:pPr>
                    <w:pStyle w:val="17"/>
                    <w:jc w:val="center"/>
                    <w:rPr>
                      <w:rFonts w:hint="default"/>
                      <w:color w:val="auto"/>
                      <w:vertAlign w:val="baseline"/>
                      <w:lang w:val="en-US" w:eastAsia="zh-CN"/>
                    </w:rPr>
                  </w:pPr>
                  <w:r>
                    <w:rPr>
                      <w:rFonts w:hint="eastAsia"/>
                      <w:color w:val="auto"/>
                      <w:vertAlign w:val="baseline"/>
                      <w:lang w:val="en-US" w:eastAsia="zh-CN"/>
                    </w:rPr>
                    <w:t>破碎、筛分粉尘</w:t>
                  </w:r>
                </w:p>
              </w:tc>
              <w:tc>
                <w:tcPr>
                  <w:tcW w:w="1349" w:type="pct"/>
                  <w:vAlign w:val="center"/>
                </w:tcPr>
                <w:p w14:paraId="0B2BEDA8">
                  <w:pPr>
                    <w:pStyle w:val="17"/>
                    <w:jc w:val="center"/>
                    <w:rPr>
                      <w:rFonts w:hint="default"/>
                      <w:color w:val="auto"/>
                      <w:vertAlign w:val="baseline"/>
                      <w:lang w:val="en-US" w:eastAsia="zh-CN"/>
                    </w:rPr>
                  </w:pPr>
                  <w:r>
                    <w:rPr>
                      <w:rFonts w:hint="eastAsia"/>
                      <w:color w:val="auto"/>
                      <w:vertAlign w:val="baseline"/>
                      <w:lang w:val="en-US" w:eastAsia="zh-CN"/>
                    </w:rPr>
                    <w:t>0.567t/a</w:t>
                  </w:r>
                </w:p>
              </w:tc>
              <w:tc>
                <w:tcPr>
                  <w:tcW w:w="676" w:type="pct"/>
                  <w:vAlign w:val="center"/>
                </w:tcPr>
                <w:p w14:paraId="17B62B86">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物料衡算</w:t>
                  </w:r>
                </w:p>
              </w:tc>
            </w:tr>
            <w:tr w14:paraId="3F69D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8" w:type="pct"/>
                  <w:gridSpan w:val="2"/>
                  <w:vAlign w:val="center"/>
                </w:tcPr>
                <w:p w14:paraId="6C5479A9">
                  <w:pPr>
                    <w:pStyle w:val="17"/>
                    <w:jc w:val="center"/>
                    <w:rPr>
                      <w:rFonts w:hint="default"/>
                      <w:color w:val="auto"/>
                      <w:vertAlign w:val="baseline"/>
                      <w:lang w:val="en-US" w:eastAsia="zh-CN"/>
                    </w:rPr>
                  </w:pPr>
                  <w:r>
                    <w:rPr>
                      <w:rFonts w:hint="eastAsia"/>
                      <w:color w:val="auto"/>
                      <w:vertAlign w:val="baseline"/>
                      <w:lang w:val="en-US" w:eastAsia="zh-CN"/>
                    </w:rPr>
                    <w:t>无组织废气排放量</w:t>
                  </w:r>
                </w:p>
              </w:tc>
              <w:tc>
                <w:tcPr>
                  <w:tcW w:w="1485" w:type="pct"/>
                  <w:vAlign w:val="center"/>
                </w:tcPr>
                <w:p w14:paraId="3FA11066">
                  <w:pPr>
                    <w:pStyle w:val="17"/>
                    <w:jc w:val="center"/>
                    <w:rPr>
                      <w:rFonts w:hint="default"/>
                      <w:color w:val="auto"/>
                      <w:vertAlign w:val="baseline"/>
                      <w:lang w:val="en-US" w:eastAsia="zh-CN"/>
                    </w:rPr>
                  </w:pPr>
                  <w:r>
                    <w:rPr>
                      <w:rFonts w:hint="eastAsia"/>
                      <w:color w:val="auto"/>
                      <w:vertAlign w:val="baseline"/>
                      <w:lang w:val="en-US" w:eastAsia="zh-CN"/>
                    </w:rPr>
                    <w:t>颗粒物</w:t>
                  </w:r>
                </w:p>
              </w:tc>
              <w:tc>
                <w:tcPr>
                  <w:tcW w:w="1349" w:type="pct"/>
                  <w:vAlign w:val="center"/>
                </w:tcPr>
                <w:p w14:paraId="5034450B">
                  <w:pPr>
                    <w:pStyle w:val="17"/>
                    <w:jc w:val="center"/>
                    <w:rPr>
                      <w:rFonts w:hint="default"/>
                      <w:color w:val="auto"/>
                      <w:vertAlign w:val="baseline"/>
                      <w:lang w:val="en-US" w:eastAsia="zh-CN"/>
                    </w:rPr>
                  </w:pPr>
                  <w:r>
                    <w:rPr>
                      <w:rFonts w:hint="eastAsia"/>
                      <w:color w:val="auto"/>
                      <w:vertAlign w:val="baseline"/>
                      <w:lang w:val="en-US" w:eastAsia="zh-CN"/>
                    </w:rPr>
                    <w:t>2.0755t/a</w:t>
                  </w:r>
                </w:p>
              </w:tc>
              <w:tc>
                <w:tcPr>
                  <w:tcW w:w="676" w:type="pct"/>
                  <w:vAlign w:val="center"/>
                </w:tcPr>
                <w:p w14:paraId="3D6F3764">
                  <w:pPr>
                    <w:pStyle w:val="17"/>
                    <w:jc w:val="center"/>
                    <w:rPr>
                      <w:rFonts w:hint="default"/>
                      <w:color w:val="auto"/>
                      <w:vertAlign w:val="baseline"/>
                      <w:lang w:val="en-US" w:eastAsia="zh-CN"/>
                    </w:rPr>
                  </w:pPr>
                  <w:r>
                    <w:rPr>
                      <w:rFonts w:hint="eastAsia"/>
                      <w:color w:val="auto"/>
                      <w:vertAlign w:val="baseline"/>
                      <w:lang w:val="en-US" w:eastAsia="zh-CN"/>
                    </w:rPr>
                    <w:t>物料衡算</w:t>
                  </w:r>
                </w:p>
              </w:tc>
            </w:tr>
            <w:tr w14:paraId="2457E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8" w:type="pct"/>
                  <w:gridSpan w:val="2"/>
                  <w:vAlign w:val="center"/>
                </w:tcPr>
                <w:p w14:paraId="7D260677">
                  <w:pPr>
                    <w:pStyle w:val="17"/>
                    <w:jc w:val="center"/>
                    <w:rPr>
                      <w:rFonts w:hint="default"/>
                      <w:color w:val="auto"/>
                      <w:vertAlign w:val="baseline"/>
                      <w:lang w:val="en-US" w:eastAsia="zh-CN"/>
                    </w:rPr>
                  </w:pPr>
                  <w:r>
                    <w:rPr>
                      <w:rFonts w:hint="eastAsia"/>
                      <w:color w:val="auto"/>
                      <w:vertAlign w:val="baseline"/>
                      <w:lang w:val="en-US" w:eastAsia="zh-CN"/>
                    </w:rPr>
                    <w:t>生产废水排放量</w:t>
                  </w:r>
                </w:p>
              </w:tc>
              <w:tc>
                <w:tcPr>
                  <w:tcW w:w="1485" w:type="pct"/>
                  <w:vAlign w:val="center"/>
                </w:tcPr>
                <w:p w14:paraId="45AD01D7">
                  <w:pPr>
                    <w:pStyle w:val="17"/>
                    <w:jc w:val="center"/>
                    <w:rPr>
                      <w:rFonts w:hint="default"/>
                      <w:color w:val="auto"/>
                      <w:vertAlign w:val="baseline"/>
                      <w:lang w:val="en-US" w:eastAsia="zh-CN"/>
                    </w:rPr>
                  </w:pPr>
                  <w:r>
                    <w:rPr>
                      <w:rFonts w:hint="eastAsia"/>
                      <w:color w:val="auto"/>
                      <w:vertAlign w:val="baseline"/>
                      <w:lang w:val="en-US" w:eastAsia="zh-CN"/>
                    </w:rPr>
                    <w:t>废水量</w:t>
                  </w:r>
                </w:p>
              </w:tc>
              <w:tc>
                <w:tcPr>
                  <w:tcW w:w="1349" w:type="pct"/>
                  <w:vAlign w:val="center"/>
                </w:tcPr>
                <w:p w14:paraId="465B3FF0">
                  <w:pPr>
                    <w:pStyle w:val="17"/>
                    <w:jc w:val="center"/>
                    <w:rPr>
                      <w:rFonts w:hint="default"/>
                      <w:color w:val="auto"/>
                      <w:vertAlign w:val="baseline"/>
                      <w:lang w:val="en-US" w:eastAsia="zh-CN"/>
                    </w:rPr>
                  </w:pPr>
                  <w:r>
                    <w:rPr>
                      <w:rFonts w:hint="eastAsia"/>
                      <w:color w:val="auto"/>
                      <w:vertAlign w:val="baseline"/>
                      <w:lang w:val="en-US" w:eastAsia="zh-CN"/>
                    </w:rPr>
                    <w:t>0</w:t>
                  </w:r>
                </w:p>
              </w:tc>
              <w:tc>
                <w:tcPr>
                  <w:tcW w:w="676" w:type="pct"/>
                  <w:vAlign w:val="center"/>
                </w:tcPr>
                <w:p w14:paraId="11781297">
                  <w:pPr>
                    <w:pStyle w:val="17"/>
                    <w:jc w:val="center"/>
                    <w:rPr>
                      <w:rFonts w:hint="default"/>
                      <w:color w:val="auto"/>
                      <w:vertAlign w:val="baseline"/>
                      <w:lang w:val="en-US" w:eastAsia="zh-CN"/>
                    </w:rPr>
                  </w:pPr>
                  <w:r>
                    <w:rPr>
                      <w:rFonts w:hint="eastAsia"/>
                      <w:color w:val="auto"/>
                      <w:vertAlign w:val="baseline"/>
                      <w:lang w:val="en-US" w:eastAsia="zh-CN"/>
                    </w:rPr>
                    <w:t>物料衡算</w:t>
                  </w:r>
                </w:p>
              </w:tc>
            </w:tr>
            <w:tr w14:paraId="4D8D0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8" w:type="pct"/>
                  <w:gridSpan w:val="2"/>
                  <w:vAlign w:val="center"/>
                </w:tcPr>
                <w:p w14:paraId="3CC1DDFA">
                  <w:pPr>
                    <w:pStyle w:val="17"/>
                    <w:jc w:val="center"/>
                    <w:rPr>
                      <w:rFonts w:hint="default"/>
                      <w:color w:val="auto"/>
                      <w:vertAlign w:val="baseline"/>
                      <w:lang w:val="en-US" w:eastAsia="zh-CN"/>
                    </w:rPr>
                  </w:pPr>
                  <w:r>
                    <w:rPr>
                      <w:rFonts w:hint="eastAsia"/>
                      <w:color w:val="auto"/>
                      <w:vertAlign w:val="baseline"/>
                      <w:lang w:val="en-US" w:eastAsia="zh-CN"/>
                    </w:rPr>
                    <w:t>生活污水排放量</w:t>
                  </w:r>
                </w:p>
              </w:tc>
              <w:tc>
                <w:tcPr>
                  <w:tcW w:w="1485" w:type="pct"/>
                  <w:vAlign w:val="center"/>
                </w:tcPr>
                <w:p w14:paraId="5144F1CE">
                  <w:pPr>
                    <w:pStyle w:val="17"/>
                    <w:jc w:val="center"/>
                    <w:rPr>
                      <w:rFonts w:hint="default"/>
                      <w:color w:val="auto"/>
                      <w:vertAlign w:val="baseline"/>
                      <w:lang w:val="en-US" w:eastAsia="zh-CN"/>
                    </w:rPr>
                  </w:pPr>
                  <w:r>
                    <w:rPr>
                      <w:rFonts w:hint="eastAsia"/>
                      <w:color w:val="auto"/>
                      <w:vertAlign w:val="baseline"/>
                      <w:lang w:val="en-US" w:eastAsia="zh-CN"/>
                    </w:rPr>
                    <w:t>废水量</w:t>
                  </w:r>
                </w:p>
              </w:tc>
              <w:tc>
                <w:tcPr>
                  <w:tcW w:w="1349" w:type="pct"/>
                  <w:vAlign w:val="center"/>
                </w:tcPr>
                <w:p w14:paraId="69C621D4">
                  <w:pPr>
                    <w:pStyle w:val="17"/>
                    <w:jc w:val="center"/>
                    <w:rPr>
                      <w:rFonts w:hint="default"/>
                      <w:color w:val="auto"/>
                      <w:vertAlign w:val="baseline"/>
                      <w:lang w:val="en-US" w:eastAsia="zh-CN"/>
                    </w:rPr>
                  </w:pPr>
                  <w:r>
                    <w:rPr>
                      <w:rFonts w:hint="eastAsia"/>
                      <w:color w:val="auto"/>
                      <w:vertAlign w:val="baseline"/>
                      <w:lang w:val="en-US" w:eastAsia="zh-CN"/>
                    </w:rPr>
                    <w:t>0</w:t>
                  </w:r>
                </w:p>
              </w:tc>
              <w:tc>
                <w:tcPr>
                  <w:tcW w:w="676" w:type="pct"/>
                  <w:vAlign w:val="center"/>
                </w:tcPr>
                <w:p w14:paraId="2F077220">
                  <w:pPr>
                    <w:pStyle w:val="17"/>
                    <w:jc w:val="center"/>
                    <w:rPr>
                      <w:rFonts w:hint="default"/>
                      <w:color w:val="auto"/>
                      <w:vertAlign w:val="baseline"/>
                      <w:lang w:val="en-US" w:eastAsia="zh-CN"/>
                    </w:rPr>
                  </w:pPr>
                  <w:r>
                    <w:rPr>
                      <w:rFonts w:hint="eastAsia"/>
                      <w:color w:val="auto"/>
                      <w:vertAlign w:val="baseline"/>
                      <w:lang w:val="en-US" w:eastAsia="zh-CN"/>
                    </w:rPr>
                    <w:t>物料衡算</w:t>
                  </w:r>
                </w:p>
              </w:tc>
            </w:tr>
            <w:tr w14:paraId="76586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Merge w:val="restart"/>
                  <w:vAlign w:val="center"/>
                </w:tcPr>
                <w:p w14:paraId="5D8F4437">
                  <w:pPr>
                    <w:pStyle w:val="17"/>
                    <w:jc w:val="center"/>
                    <w:rPr>
                      <w:rFonts w:hint="default"/>
                      <w:color w:val="auto"/>
                      <w:vertAlign w:val="baseline"/>
                      <w:lang w:val="en-US" w:eastAsia="zh-CN"/>
                    </w:rPr>
                  </w:pPr>
                  <w:r>
                    <w:rPr>
                      <w:rFonts w:hint="eastAsia"/>
                      <w:color w:val="auto"/>
                      <w:vertAlign w:val="baseline"/>
                      <w:lang w:val="en-US" w:eastAsia="zh-CN"/>
                    </w:rPr>
                    <w:t>固废产生量</w:t>
                  </w:r>
                </w:p>
              </w:tc>
              <w:tc>
                <w:tcPr>
                  <w:tcW w:w="677" w:type="pct"/>
                  <w:vMerge w:val="restart"/>
                  <w:vAlign w:val="center"/>
                </w:tcPr>
                <w:p w14:paraId="0D98783F">
                  <w:pPr>
                    <w:pStyle w:val="17"/>
                    <w:jc w:val="center"/>
                    <w:rPr>
                      <w:rFonts w:hint="default"/>
                      <w:color w:val="auto"/>
                      <w:vertAlign w:val="baseline"/>
                      <w:lang w:val="en-US" w:eastAsia="zh-CN"/>
                    </w:rPr>
                  </w:pPr>
                  <w:r>
                    <w:rPr>
                      <w:rFonts w:hint="eastAsia"/>
                      <w:color w:val="auto"/>
                      <w:vertAlign w:val="baseline"/>
                      <w:lang w:val="en-US" w:eastAsia="zh-CN"/>
                    </w:rPr>
                    <w:t>一般固废</w:t>
                  </w:r>
                </w:p>
              </w:tc>
              <w:tc>
                <w:tcPr>
                  <w:tcW w:w="1485" w:type="pct"/>
                  <w:vAlign w:val="center"/>
                </w:tcPr>
                <w:p w14:paraId="01E2D0B0">
                  <w:pPr>
                    <w:pStyle w:val="17"/>
                    <w:jc w:val="center"/>
                    <w:rPr>
                      <w:rFonts w:hint="default"/>
                      <w:color w:val="auto"/>
                      <w:vertAlign w:val="baseline"/>
                      <w:lang w:val="en-US" w:eastAsia="zh-CN"/>
                    </w:rPr>
                  </w:pPr>
                  <w:r>
                    <w:rPr>
                      <w:rFonts w:hint="eastAsia"/>
                      <w:color w:val="auto"/>
                      <w:vertAlign w:val="baseline"/>
                      <w:lang w:val="en-US" w:eastAsia="zh-CN"/>
                    </w:rPr>
                    <w:t>初期雨水池沉渣</w:t>
                  </w:r>
                </w:p>
              </w:tc>
              <w:tc>
                <w:tcPr>
                  <w:tcW w:w="1349" w:type="pct"/>
                  <w:vAlign w:val="center"/>
                </w:tcPr>
                <w:p w14:paraId="5451D0BC">
                  <w:pPr>
                    <w:pStyle w:val="17"/>
                    <w:jc w:val="center"/>
                    <w:rPr>
                      <w:rFonts w:hint="default"/>
                      <w:color w:val="auto"/>
                      <w:vertAlign w:val="baseline"/>
                      <w:lang w:val="en-US" w:eastAsia="zh-CN"/>
                    </w:rPr>
                  </w:pPr>
                  <w:r>
                    <w:rPr>
                      <w:rFonts w:hint="eastAsia"/>
                      <w:color w:val="auto"/>
                      <w:vertAlign w:val="baseline"/>
                      <w:lang w:val="en-US" w:eastAsia="zh-CN"/>
                    </w:rPr>
                    <w:t>2.145t/a</w:t>
                  </w:r>
                </w:p>
              </w:tc>
              <w:tc>
                <w:tcPr>
                  <w:tcW w:w="676" w:type="pct"/>
                  <w:vAlign w:val="center"/>
                </w:tcPr>
                <w:p w14:paraId="7ABBF613">
                  <w:pPr>
                    <w:pStyle w:val="17"/>
                    <w:jc w:val="center"/>
                    <w:rPr>
                      <w:rFonts w:hint="default"/>
                      <w:color w:val="auto"/>
                      <w:vertAlign w:val="baseline"/>
                      <w:lang w:val="en-US" w:eastAsia="zh-CN"/>
                    </w:rPr>
                  </w:pPr>
                  <w:r>
                    <w:rPr>
                      <w:rFonts w:hint="eastAsia"/>
                      <w:color w:val="auto"/>
                      <w:vertAlign w:val="baseline"/>
                      <w:lang w:val="en-US" w:eastAsia="zh-CN"/>
                    </w:rPr>
                    <w:t>物料衡算</w:t>
                  </w:r>
                </w:p>
              </w:tc>
            </w:tr>
            <w:tr w14:paraId="16C80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Merge w:val="continue"/>
                  <w:vAlign w:val="center"/>
                </w:tcPr>
                <w:p w14:paraId="6089724A">
                  <w:pPr>
                    <w:pStyle w:val="17"/>
                    <w:jc w:val="center"/>
                    <w:rPr>
                      <w:rFonts w:hint="default"/>
                      <w:color w:val="auto"/>
                      <w:vertAlign w:val="baseline"/>
                      <w:lang w:val="en-US" w:eastAsia="zh-CN"/>
                    </w:rPr>
                  </w:pPr>
                </w:p>
              </w:tc>
              <w:tc>
                <w:tcPr>
                  <w:tcW w:w="677" w:type="pct"/>
                  <w:vMerge w:val="continue"/>
                  <w:vAlign w:val="center"/>
                </w:tcPr>
                <w:p w14:paraId="3A88D900">
                  <w:pPr>
                    <w:pStyle w:val="17"/>
                    <w:jc w:val="center"/>
                    <w:rPr>
                      <w:rFonts w:hint="default"/>
                      <w:color w:val="auto"/>
                      <w:vertAlign w:val="baseline"/>
                      <w:lang w:val="en-US" w:eastAsia="zh-CN"/>
                    </w:rPr>
                  </w:pPr>
                </w:p>
              </w:tc>
              <w:tc>
                <w:tcPr>
                  <w:tcW w:w="1485" w:type="pct"/>
                  <w:vAlign w:val="center"/>
                </w:tcPr>
                <w:p w14:paraId="6930C442">
                  <w:pPr>
                    <w:pStyle w:val="17"/>
                    <w:jc w:val="center"/>
                    <w:rPr>
                      <w:rFonts w:hint="default"/>
                      <w:color w:val="auto"/>
                      <w:vertAlign w:val="baseline"/>
                      <w:lang w:val="en-US" w:eastAsia="zh-CN"/>
                    </w:rPr>
                  </w:pPr>
                  <w:r>
                    <w:rPr>
                      <w:rFonts w:hint="eastAsia"/>
                      <w:color w:val="auto"/>
                      <w:vertAlign w:val="baseline"/>
                      <w:lang w:val="en-US" w:eastAsia="zh-CN"/>
                    </w:rPr>
                    <w:t>除尘器粉尘</w:t>
                  </w:r>
                </w:p>
              </w:tc>
              <w:tc>
                <w:tcPr>
                  <w:tcW w:w="1349" w:type="pct"/>
                  <w:vAlign w:val="center"/>
                </w:tcPr>
                <w:p w14:paraId="7FFAAE42">
                  <w:pPr>
                    <w:pStyle w:val="17"/>
                    <w:jc w:val="center"/>
                    <w:rPr>
                      <w:rFonts w:hint="default"/>
                      <w:color w:val="auto"/>
                      <w:vertAlign w:val="baseline"/>
                      <w:lang w:val="en-US" w:eastAsia="zh-CN"/>
                    </w:rPr>
                  </w:pPr>
                  <w:r>
                    <w:rPr>
                      <w:rFonts w:hint="eastAsia"/>
                      <w:color w:val="auto"/>
                      <w:vertAlign w:val="baseline"/>
                      <w:lang w:val="en-US" w:eastAsia="zh-CN"/>
                    </w:rPr>
                    <w:t>179.7637t/a</w:t>
                  </w:r>
                </w:p>
              </w:tc>
              <w:tc>
                <w:tcPr>
                  <w:tcW w:w="676" w:type="pct"/>
                  <w:vAlign w:val="center"/>
                </w:tcPr>
                <w:p w14:paraId="182B5EC9">
                  <w:pPr>
                    <w:pStyle w:val="17"/>
                    <w:jc w:val="center"/>
                    <w:rPr>
                      <w:rFonts w:hint="default"/>
                      <w:color w:val="auto"/>
                      <w:vertAlign w:val="baseline"/>
                      <w:lang w:val="en-US" w:eastAsia="zh-CN"/>
                    </w:rPr>
                  </w:pPr>
                  <w:r>
                    <w:rPr>
                      <w:rFonts w:hint="eastAsia"/>
                      <w:color w:val="auto"/>
                      <w:vertAlign w:val="baseline"/>
                      <w:lang w:val="en-US" w:eastAsia="zh-CN"/>
                    </w:rPr>
                    <w:t>物料衡算</w:t>
                  </w:r>
                </w:p>
              </w:tc>
            </w:tr>
            <w:tr w14:paraId="1E63A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Merge w:val="continue"/>
                  <w:vAlign w:val="center"/>
                </w:tcPr>
                <w:p w14:paraId="7F796330">
                  <w:pPr>
                    <w:pStyle w:val="17"/>
                    <w:jc w:val="center"/>
                    <w:rPr>
                      <w:rFonts w:hint="default"/>
                      <w:color w:val="auto"/>
                      <w:vertAlign w:val="baseline"/>
                      <w:lang w:val="en-US" w:eastAsia="zh-CN"/>
                    </w:rPr>
                  </w:pPr>
                </w:p>
              </w:tc>
              <w:tc>
                <w:tcPr>
                  <w:tcW w:w="677" w:type="pct"/>
                  <w:vMerge w:val="continue"/>
                  <w:vAlign w:val="center"/>
                </w:tcPr>
                <w:p w14:paraId="27725622">
                  <w:pPr>
                    <w:pStyle w:val="17"/>
                    <w:jc w:val="center"/>
                    <w:rPr>
                      <w:rFonts w:hint="default"/>
                      <w:color w:val="auto"/>
                      <w:vertAlign w:val="baseline"/>
                      <w:lang w:val="en-US" w:eastAsia="zh-CN"/>
                    </w:rPr>
                  </w:pPr>
                </w:p>
              </w:tc>
              <w:tc>
                <w:tcPr>
                  <w:tcW w:w="1485" w:type="pct"/>
                  <w:vAlign w:val="center"/>
                </w:tcPr>
                <w:p w14:paraId="1A33349A">
                  <w:pPr>
                    <w:pStyle w:val="17"/>
                    <w:jc w:val="center"/>
                    <w:rPr>
                      <w:rFonts w:hint="default"/>
                      <w:color w:val="auto"/>
                      <w:vertAlign w:val="baseline"/>
                      <w:lang w:val="en-US" w:eastAsia="zh-CN"/>
                    </w:rPr>
                  </w:pPr>
                  <w:r>
                    <w:rPr>
                      <w:rFonts w:hint="eastAsia"/>
                      <w:color w:val="auto"/>
                      <w:vertAlign w:val="baseline"/>
                      <w:lang w:val="en-US" w:eastAsia="zh-CN"/>
                    </w:rPr>
                    <w:t>除尘器废布袋</w:t>
                  </w:r>
                </w:p>
              </w:tc>
              <w:tc>
                <w:tcPr>
                  <w:tcW w:w="1349" w:type="pct"/>
                  <w:vAlign w:val="center"/>
                </w:tcPr>
                <w:p w14:paraId="7AAD952F">
                  <w:pPr>
                    <w:pStyle w:val="17"/>
                    <w:jc w:val="center"/>
                    <w:rPr>
                      <w:rFonts w:hint="default"/>
                      <w:color w:val="auto"/>
                      <w:vertAlign w:val="baseline"/>
                      <w:lang w:val="en-US" w:eastAsia="zh-CN"/>
                    </w:rPr>
                  </w:pPr>
                  <w:r>
                    <w:rPr>
                      <w:rFonts w:hint="eastAsia"/>
                      <w:color w:val="auto"/>
                      <w:vertAlign w:val="baseline"/>
                      <w:lang w:val="en-US" w:eastAsia="zh-CN"/>
                    </w:rPr>
                    <w:t>0.3t/a</w:t>
                  </w:r>
                </w:p>
              </w:tc>
              <w:tc>
                <w:tcPr>
                  <w:tcW w:w="676" w:type="pct"/>
                  <w:vAlign w:val="center"/>
                </w:tcPr>
                <w:p w14:paraId="2768342D">
                  <w:pPr>
                    <w:pStyle w:val="17"/>
                    <w:jc w:val="center"/>
                    <w:rPr>
                      <w:rFonts w:hint="default"/>
                      <w:color w:val="auto"/>
                      <w:vertAlign w:val="baseline"/>
                      <w:lang w:val="en-US" w:eastAsia="zh-CN"/>
                    </w:rPr>
                  </w:pPr>
                  <w:r>
                    <w:rPr>
                      <w:rFonts w:hint="eastAsia"/>
                      <w:color w:val="auto"/>
                      <w:vertAlign w:val="baseline"/>
                      <w:lang w:val="en-US" w:eastAsia="zh-CN"/>
                    </w:rPr>
                    <w:t>物料衡算</w:t>
                  </w:r>
                </w:p>
              </w:tc>
            </w:tr>
            <w:tr w14:paraId="4ECC1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Merge w:val="continue"/>
                  <w:vAlign w:val="center"/>
                </w:tcPr>
                <w:p w14:paraId="2B6D7005">
                  <w:pPr>
                    <w:pStyle w:val="17"/>
                    <w:jc w:val="center"/>
                    <w:rPr>
                      <w:rFonts w:hint="default"/>
                      <w:color w:val="auto"/>
                      <w:vertAlign w:val="baseline"/>
                      <w:lang w:val="en-US" w:eastAsia="zh-CN"/>
                    </w:rPr>
                  </w:pPr>
                </w:p>
              </w:tc>
              <w:tc>
                <w:tcPr>
                  <w:tcW w:w="677" w:type="pct"/>
                  <w:vMerge w:val="continue"/>
                  <w:vAlign w:val="center"/>
                </w:tcPr>
                <w:p w14:paraId="3639B637">
                  <w:pPr>
                    <w:pStyle w:val="17"/>
                    <w:jc w:val="center"/>
                    <w:rPr>
                      <w:rFonts w:hint="default"/>
                      <w:color w:val="auto"/>
                      <w:vertAlign w:val="baseline"/>
                      <w:lang w:val="en-US" w:eastAsia="zh-CN"/>
                    </w:rPr>
                  </w:pPr>
                </w:p>
              </w:tc>
              <w:tc>
                <w:tcPr>
                  <w:tcW w:w="1485" w:type="pct"/>
                  <w:vAlign w:val="center"/>
                </w:tcPr>
                <w:p w14:paraId="320E7718">
                  <w:pPr>
                    <w:pStyle w:val="17"/>
                    <w:jc w:val="center"/>
                    <w:rPr>
                      <w:rFonts w:hint="default"/>
                      <w:color w:val="auto"/>
                      <w:vertAlign w:val="baseline"/>
                      <w:lang w:val="en-US" w:eastAsia="zh-CN"/>
                    </w:rPr>
                  </w:pPr>
                  <w:r>
                    <w:rPr>
                      <w:rFonts w:hint="eastAsia"/>
                      <w:color w:val="auto"/>
                      <w:vertAlign w:val="baseline"/>
                      <w:lang w:val="en-US" w:eastAsia="zh-CN"/>
                    </w:rPr>
                    <w:t>钢筋、木块、废塑料等</w:t>
                  </w:r>
                </w:p>
              </w:tc>
              <w:tc>
                <w:tcPr>
                  <w:tcW w:w="1349" w:type="pct"/>
                  <w:vAlign w:val="center"/>
                </w:tcPr>
                <w:p w14:paraId="64E7880F">
                  <w:pPr>
                    <w:pStyle w:val="17"/>
                    <w:jc w:val="center"/>
                    <w:rPr>
                      <w:rFonts w:hint="default"/>
                      <w:color w:val="auto"/>
                      <w:vertAlign w:val="baseline"/>
                      <w:lang w:val="en-US" w:eastAsia="zh-CN"/>
                    </w:rPr>
                  </w:pPr>
                  <w:r>
                    <w:rPr>
                      <w:rFonts w:hint="eastAsia"/>
                      <w:color w:val="auto"/>
                      <w:vertAlign w:val="baseline"/>
                      <w:lang w:val="en-US" w:eastAsia="zh-CN"/>
                    </w:rPr>
                    <w:t>2400t/a</w:t>
                  </w:r>
                </w:p>
              </w:tc>
              <w:tc>
                <w:tcPr>
                  <w:tcW w:w="676" w:type="pct"/>
                  <w:vAlign w:val="center"/>
                </w:tcPr>
                <w:p w14:paraId="17E968DD">
                  <w:pPr>
                    <w:pStyle w:val="17"/>
                    <w:jc w:val="center"/>
                    <w:rPr>
                      <w:rFonts w:hint="default"/>
                      <w:color w:val="auto"/>
                      <w:vertAlign w:val="baseline"/>
                      <w:lang w:val="en-US" w:eastAsia="zh-CN"/>
                    </w:rPr>
                  </w:pPr>
                  <w:r>
                    <w:rPr>
                      <w:rFonts w:hint="eastAsia"/>
                      <w:color w:val="auto"/>
                      <w:vertAlign w:val="baseline"/>
                      <w:lang w:val="en-US" w:eastAsia="zh-CN"/>
                    </w:rPr>
                    <w:t>物料衡算</w:t>
                  </w:r>
                </w:p>
              </w:tc>
            </w:tr>
            <w:tr w14:paraId="29D58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Merge w:val="continue"/>
                  <w:vAlign w:val="center"/>
                </w:tcPr>
                <w:p w14:paraId="13E1E728">
                  <w:pPr>
                    <w:pStyle w:val="17"/>
                    <w:jc w:val="center"/>
                    <w:rPr>
                      <w:rFonts w:hint="default"/>
                      <w:color w:val="auto"/>
                      <w:vertAlign w:val="baseline"/>
                      <w:lang w:val="en-US" w:eastAsia="zh-CN"/>
                    </w:rPr>
                  </w:pPr>
                </w:p>
              </w:tc>
              <w:tc>
                <w:tcPr>
                  <w:tcW w:w="677" w:type="pct"/>
                  <w:vAlign w:val="center"/>
                </w:tcPr>
                <w:p w14:paraId="26D0AFDF">
                  <w:pPr>
                    <w:pStyle w:val="17"/>
                    <w:jc w:val="center"/>
                    <w:rPr>
                      <w:rFonts w:hint="default"/>
                      <w:color w:val="auto"/>
                      <w:vertAlign w:val="baseline"/>
                      <w:lang w:val="en-US" w:eastAsia="zh-CN"/>
                    </w:rPr>
                  </w:pPr>
                  <w:r>
                    <w:rPr>
                      <w:rFonts w:hint="eastAsia"/>
                      <w:color w:val="auto"/>
                      <w:vertAlign w:val="baseline"/>
                      <w:lang w:val="en-US" w:eastAsia="zh-CN"/>
                    </w:rPr>
                    <w:t>危险废物</w:t>
                  </w:r>
                </w:p>
              </w:tc>
              <w:tc>
                <w:tcPr>
                  <w:tcW w:w="1485" w:type="pct"/>
                  <w:vAlign w:val="center"/>
                </w:tcPr>
                <w:p w14:paraId="737F380F">
                  <w:pPr>
                    <w:pStyle w:val="17"/>
                    <w:jc w:val="center"/>
                    <w:rPr>
                      <w:rFonts w:hint="default"/>
                      <w:color w:val="auto"/>
                      <w:vertAlign w:val="baseline"/>
                      <w:lang w:val="en-US" w:eastAsia="zh-CN"/>
                    </w:rPr>
                  </w:pPr>
                  <w:r>
                    <w:rPr>
                      <w:rFonts w:hint="eastAsia"/>
                      <w:color w:val="auto"/>
                      <w:vertAlign w:val="baseline"/>
                      <w:lang w:val="en-US" w:eastAsia="zh-CN"/>
                    </w:rPr>
                    <w:t>隔油渣</w:t>
                  </w:r>
                </w:p>
              </w:tc>
              <w:tc>
                <w:tcPr>
                  <w:tcW w:w="1349" w:type="pct"/>
                  <w:vAlign w:val="center"/>
                </w:tcPr>
                <w:p w14:paraId="33F4A0F3">
                  <w:pPr>
                    <w:pStyle w:val="17"/>
                    <w:jc w:val="center"/>
                    <w:rPr>
                      <w:rFonts w:hint="default"/>
                      <w:color w:val="auto"/>
                      <w:vertAlign w:val="baseline"/>
                      <w:lang w:val="en-US" w:eastAsia="zh-CN"/>
                    </w:rPr>
                  </w:pPr>
                  <w:r>
                    <w:rPr>
                      <w:rFonts w:hint="eastAsia"/>
                      <w:color w:val="auto"/>
                      <w:vertAlign w:val="baseline"/>
                      <w:lang w:val="en-US" w:eastAsia="zh-CN"/>
                    </w:rPr>
                    <w:t>0.2t/a</w:t>
                  </w:r>
                </w:p>
              </w:tc>
              <w:tc>
                <w:tcPr>
                  <w:tcW w:w="676" w:type="pct"/>
                  <w:vAlign w:val="center"/>
                </w:tcPr>
                <w:p w14:paraId="6066D9A0">
                  <w:pPr>
                    <w:pStyle w:val="17"/>
                    <w:jc w:val="center"/>
                    <w:rPr>
                      <w:rFonts w:hint="default"/>
                      <w:color w:val="auto"/>
                      <w:vertAlign w:val="baseline"/>
                      <w:lang w:val="en-US" w:eastAsia="zh-CN"/>
                    </w:rPr>
                  </w:pPr>
                  <w:r>
                    <w:rPr>
                      <w:rFonts w:hint="eastAsia"/>
                      <w:color w:val="auto"/>
                      <w:vertAlign w:val="baseline"/>
                      <w:lang w:val="en-US" w:eastAsia="zh-CN"/>
                    </w:rPr>
                    <w:t>物料衡算</w:t>
                  </w:r>
                </w:p>
              </w:tc>
            </w:tr>
            <w:tr w14:paraId="5B622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Merge w:val="continue"/>
                  <w:vAlign w:val="center"/>
                </w:tcPr>
                <w:p w14:paraId="27E04B4B">
                  <w:pPr>
                    <w:pStyle w:val="17"/>
                    <w:jc w:val="center"/>
                    <w:rPr>
                      <w:rFonts w:hint="default"/>
                      <w:color w:val="auto"/>
                      <w:vertAlign w:val="baseline"/>
                      <w:lang w:val="en-US" w:eastAsia="zh-CN"/>
                    </w:rPr>
                  </w:pPr>
                </w:p>
              </w:tc>
              <w:tc>
                <w:tcPr>
                  <w:tcW w:w="2162" w:type="pct"/>
                  <w:gridSpan w:val="2"/>
                  <w:vAlign w:val="center"/>
                </w:tcPr>
                <w:p w14:paraId="08EECA6B">
                  <w:pPr>
                    <w:pStyle w:val="17"/>
                    <w:jc w:val="center"/>
                    <w:rPr>
                      <w:rFonts w:hint="default"/>
                      <w:color w:val="auto"/>
                      <w:vertAlign w:val="baseline"/>
                      <w:lang w:val="en-US" w:eastAsia="zh-CN"/>
                    </w:rPr>
                  </w:pPr>
                  <w:r>
                    <w:rPr>
                      <w:rFonts w:hint="eastAsia"/>
                      <w:color w:val="auto"/>
                      <w:vertAlign w:val="baseline"/>
                      <w:lang w:val="en-US" w:eastAsia="zh-CN"/>
                    </w:rPr>
                    <w:t>生活垃圾</w:t>
                  </w:r>
                </w:p>
              </w:tc>
              <w:tc>
                <w:tcPr>
                  <w:tcW w:w="1349" w:type="pct"/>
                  <w:vAlign w:val="center"/>
                </w:tcPr>
                <w:p w14:paraId="30008FB9">
                  <w:pPr>
                    <w:pStyle w:val="17"/>
                    <w:jc w:val="center"/>
                    <w:rPr>
                      <w:rFonts w:hint="default"/>
                      <w:color w:val="auto"/>
                      <w:vertAlign w:val="baseline"/>
                      <w:lang w:val="en-US" w:eastAsia="zh-CN"/>
                    </w:rPr>
                  </w:pPr>
                  <w:r>
                    <w:rPr>
                      <w:rFonts w:hint="eastAsia"/>
                      <w:color w:val="auto"/>
                      <w:vertAlign w:val="baseline"/>
                      <w:lang w:val="en-US" w:eastAsia="zh-CN"/>
                    </w:rPr>
                    <w:t>1.2t/a</w:t>
                  </w:r>
                </w:p>
              </w:tc>
              <w:tc>
                <w:tcPr>
                  <w:tcW w:w="676" w:type="pct"/>
                  <w:vAlign w:val="center"/>
                </w:tcPr>
                <w:p w14:paraId="2F8C038C">
                  <w:pPr>
                    <w:pStyle w:val="17"/>
                    <w:jc w:val="center"/>
                    <w:rPr>
                      <w:rFonts w:hint="default"/>
                      <w:color w:val="auto"/>
                      <w:vertAlign w:val="baseline"/>
                      <w:lang w:val="en-US" w:eastAsia="zh-CN"/>
                    </w:rPr>
                  </w:pPr>
                  <w:r>
                    <w:rPr>
                      <w:rFonts w:hint="eastAsia"/>
                      <w:color w:val="auto"/>
                      <w:vertAlign w:val="baseline"/>
                      <w:lang w:val="en-US" w:eastAsia="zh-CN"/>
                    </w:rPr>
                    <w:t>物料衡算</w:t>
                  </w:r>
                </w:p>
              </w:tc>
            </w:tr>
          </w:tbl>
          <w:p w14:paraId="54027B38">
            <w:pPr>
              <w:pStyle w:val="5"/>
              <w:bidi w:val="0"/>
              <w:rPr>
                <w:rFonts w:hint="eastAsia"/>
                <w:color w:val="auto"/>
                <w:lang w:val="en-US" w:eastAsia="zh-CN"/>
              </w:rPr>
            </w:pPr>
            <w:bookmarkStart w:id="265" w:name="_Toc3274"/>
            <w:bookmarkStart w:id="266" w:name="_Toc23286"/>
            <w:bookmarkStart w:id="267" w:name="_Toc21640"/>
            <w:bookmarkStart w:id="268" w:name="_Toc12596"/>
            <w:bookmarkStart w:id="269" w:name="_Toc28049"/>
            <w:r>
              <w:rPr>
                <w:rFonts w:hint="eastAsia"/>
                <w:color w:val="auto"/>
                <w:lang w:val="en-US" w:eastAsia="zh-CN"/>
              </w:rPr>
              <w:t>3.6 现有项目主要环境问题及整改情况</w:t>
            </w:r>
            <w:bookmarkEnd w:id="265"/>
            <w:bookmarkEnd w:id="266"/>
            <w:bookmarkEnd w:id="267"/>
            <w:bookmarkEnd w:id="268"/>
            <w:bookmarkEnd w:id="269"/>
          </w:p>
          <w:p w14:paraId="31016598">
            <w:pPr>
              <w:rPr>
                <w:rFonts w:hint="eastAsia"/>
                <w:color w:val="auto"/>
                <w:lang w:val="en-US" w:eastAsia="zh-CN"/>
              </w:rPr>
            </w:pPr>
            <w:r>
              <w:rPr>
                <w:rFonts w:hint="eastAsia"/>
                <w:color w:val="auto"/>
                <w:lang w:val="en-US" w:eastAsia="zh-CN"/>
              </w:rPr>
              <w:t>目前衡阳京泰建材有限公司各大气污染物能做到达标排放，生活污水经化粪池熟化后用作农肥，车辆冲洗废水经隔油池、沉淀池处理后回用于车辆冲洗，其余生产废水全部蒸发损耗或进入产品，固废均得到合理处理处置，噪声达标排放，目前现有项目未存在明显相关污染物排放等环保问题。衡阳京泰建材有限公司按照排污许可要求开展自行监测，目前现有项目未存在明显相关污染物排放等环保问题。</w:t>
            </w:r>
          </w:p>
          <w:p w14:paraId="618E948E">
            <w:pPr>
              <w:rPr>
                <w:rFonts w:hint="default"/>
                <w:color w:val="auto"/>
                <w:lang w:val="en-US" w:eastAsia="zh-CN"/>
              </w:rPr>
            </w:pPr>
            <w:r>
              <w:rPr>
                <w:rFonts w:hint="eastAsia"/>
                <w:color w:val="auto"/>
                <w:lang w:val="en-US" w:eastAsia="zh-CN"/>
              </w:rPr>
              <w:t>环保问题1：现有项目部分砂石露天堆放；</w:t>
            </w:r>
          </w:p>
          <w:p w14:paraId="042BFCB5">
            <w:pPr>
              <w:rPr>
                <w:rFonts w:hint="eastAsia"/>
                <w:color w:val="auto"/>
                <w:lang w:val="en-US" w:eastAsia="zh-CN"/>
              </w:rPr>
            </w:pPr>
            <w:r>
              <w:rPr>
                <w:rFonts w:hint="eastAsia"/>
                <w:color w:val="auto"/>
                <w:lang w:val="en-US" w:eastAsia="zh-CN"/>
              </w:rPr>
              <w:t>整改措施1：将所有砂石入棚堆放，并进行喷雾抑尘。</w:t>
            </w:r>
          </w:p>
          <w:p w14:paraId="132B020A">
            <w:pPr>
              <w:rPr>
                <w:rFonts w:hint="default"/>
                <w:color w:val="auto"/>
                <w:lang w:val="en-US" w:eastAsia="zh-CN"/>
              </w:rPr>
            </w:pPr>
            <w:r>
              <w:rPr>
                <w:rFonts w:hint="eastAsia"/>
                <w:color w:val="auto"/>
                <w:lang w:val="en-US" w:eastAsia="zh-CN"/>
              </w:rPr>
              <w:t>环保问题2：废气、废水、固废标识牌缺失；</w:t>
            </w:r>
          </w:p>
          <w:p w14:paraId="3521B2C7">
            <w:pPr>
              <w:rPr>
                <w:rFonts w:hint="eastAsia"/>
                <w:color w:val="auto"/>
                <w:lang w:val="en-US" w:eastAsia="zh-CN"/>
              </w:rPr>
            </w:pPr>
            <w:r>
              <w:rPr>
                <w:rFonts w:hint="eastAsia"/>
                <w:color w:val="auto"/>
                <w:lang w:val="en-US" w:eastAsia="zh-CN"/>
              </w:rPr>
              <w:t>整改措施2：按照《排污许可管理条例》的要求对厂区所有的环保设备以及排气筒应粘贴相应的标识标牌。</w:t>
            </w:r>
          </w:p>
          <w:p w14:paraId="0B45093A">
            <w:pPr>
              <w:rPr>
                <w:rFonts w:hint="eastAsia"/>
                <w:color w:val="auto"/>
                <w:lang w:val="en-US" w:eastAsia="zh-CN"/>
              </w:rPr>
            </w:pPr>
            <w:r>
              <w:rPr>
                <w:rFonts w:hint="eastAsia"/>
                <w:color w:val="auto"/>
                <w:lang w:val="en-US" w:eastAsia="zh-CN"/>
              </w:rPr>
              <w:t>环保问题3：未加强厂区的环境管理以及环保设备的维护；</w:t>
            </w:r>
          </w:p>
          <w:p w14:paraId="2FD059A0">
            <w:pPr>
              <w:rPr>
                <w:rFonts w:hint="eastAsia"/>
                <w:color w:val="auto"/>
                <w:lang w:val="en-US" w:eastAsia="zh-CN"/>
              </w:rPr>
            </w:pPr>
            <w:r>
              <w:rPr>
                <w:rFonts w:hint="eastAsia"/>
                <w:color w:val="auto"/>
                <w:lang w:val="en-US" w:eastAsia="zh-CN"/>
              </w:rPr>
              <w:t>整改措施3：应加强厂区的环境管理，制定相应的环保管理制度；定期对环保设备进行检查，加强环保设施的维护，确保污染物稳定达标排放。</w:t>
            </w:r>
          </w:p>
          <w:p w14:paraId="417FBF65">
            <w:pPr>
              <w:rPr>
                <w:rFonts w:hint="eastAsia"/>
                <w:color w:val="auto"/>
                <w:lang w:val="en-US" w:eastAsia="zh-CN"/>
              </w:rPr>
            </w:pPr>
            <w:r>
              <w:rPr>
                <w:rFonts w:hint="eastAsia"/>
                <w:color w:val="auto"/>
                <w:lang w:val="en-US" w:eastAsia="zh-CN"/>
              </w:rPr>
              <w:t>环保问题4：厂区雨污分流不彻底；</w:t>
            </w:r>
          </w:p>
          <w:p w14:paraId="4EE590AB">
            <w:pPr>
              <w:rPr>
                <w:rFonts w:hint="default"/>
                <w:color w:val="auto"/>
                <w:lang w:val="en-US" w:eastAsia="zh-CN"/>
              </w:rPr>
            </w:pPr>
            <w:r>
              <w:rPr>
                <w:rFonts w:hint="eastAsia"/>
                <w:color w:val="auto"/>
                <w:lang w:val="en-US" w:eastAsia="zh-CN"/>
              </w:rPr>
              <w:t>整改措施4：完善厂区雨污分流，将厂区环场雨水沟与初期雨水池定期进行清淤。</w:t>
            </w:r>
          </w:p>
        </w:tc>
      </w:tr>
    </w:tbl>
    <w:p w14:paraId="11045341">
      <w:pPr>
        <w:jc w:val="center"/>
        <w:rPr>
          <w:rFonts w:ascii="黑体" w:hAnsi="黑体" w:eastAsia="黑体"/>
          <w:snapToGrid w:val="0"/>
          <w:color w:val="auto"/>
          <w:sz w:val="36"/>
          <w:szCs w:val="36"/>
        </w:rPr>
        <w:sectPr>
          <w:pgSz w:w="11906" w:h="16838"/>
          <w:pgMar w:top="1701" w:right="1531" w:bottom="1701" w:left="1531" w:header="851" w:footer="851" w:gutter="0"/>
          <w:pgNumType w:fmt="decimal"/>
          <w:cols w:space="720" w:num="1"/>
          <w:docGrid w:linePitch="312" w:charSpace="0"/>
        </w:sectPr>
      </w:pPr>
    </w:p>
    <w:p w14:paraId="772B6DDC">
      <w:pPr>
        <w:pStyle w:val="2"/>
        <w:bidi w:val="0"/>
        <w:rPr>
          <w:color w:val="auto"/>
        </w:rPr>
      </w:pPr>
      <w:bookmarkStart w:id="270" w:name="_Toc31260"/>
      <w:r>
        <w:rPr>
          <w:rFonts w:hint="eastAsia"/>
          <w:color w:val="auto"/>
        </w:rPr>
        <w:t>三、区域环境质量现状、环境保护目标及评价标准</w:t>
      </w:r>
      <w:bookmarkEnd w:id="270"/>
    </w:p>
    <w:tbl>
      <w:tblPr>
        <w:tblStyle w:val="12"/>
        <w:tblW w:w="5032"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8406"/>
      </w:tblGrid>
      <w:tr w14:paraId="250B7C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06" w:hRule="atLeast"/>
          <w:jc w:val="center"/>
        </w:trPr>
        <w:tc>
          <w:tcPr>
            <w:tcW w:w="391" w:type="pct"/>
            <w:noWrap w:val="0"/>
            <w:vAlign w:val="center"/>
          </w:tcPr>
          <w:p w14:paraId="359C6DB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cs="宋体"/>
                <w:color w:val="auto"/>
                <w:kern w:val="0"/>
                <w:szCs w:val="21"/>
              </w:rPr>
            </w:pPr>
            <w:r>
              <w:rPr>
                <w:rFonts w:hint="eastAsia" w:ascii="宋体" w:hAnsi="宋体" w:cs="宋体"/>
                <w:color w:val="auto"/>
                <w:kern w:val="0"/>
                <w:szCs w:val="21"/>
              </w:rPr>
              <w:t>区域</w:t>
            </w:r>
          </w:p>
          <w:p w14:paraId="2BDD9CA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cs="宋体"/>
                <w:color w:val="auto"/>
                <w:kern w:val="0"/>
                <w:szCs w:val="21"/>
              </w:rPr>
            </w:pPr>
            <w:r>
              <w:rPr>
                <w:rFonts w:hint="eastAsia" w:ascii="宋体" w:hAnsi="宋体" w:cs="宋体"/>
                <w:color w:val="auto"/>
                <w:kern w:val="0"/>
                <w:szCs w:val="21"/>
              </w:rPr>
              <w:t>环境</w:t>
            </w:r>
          </w:p>
          <w:p w14:paraId="6C3551D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cs="宋体"/>
                <w:color w:val="auto"/>
                <w:kern w:val="0"/>
                <w:szCs w:val="21"/>
              </w:rPr>
            </w:pPr>
            <w:r>
              <w:rPr>
                <w:rFonts w:hint="eastAsia" w:ascii="宋体" w:hAnsi="宋体" w:cs="宋体"/>
                <w:color w:val="auto"/>
                <w:kern w:val="0"/>
                <w:szCs w:val="21"/>
              </w:rPr>
              <w:t>质量</w:t>
            </w:r>
          </w:p>
          <w:p w14:paraId="369F406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宋体" w:hAnsi="宋体" w:cs="宋体"/>
                <w:color w:val="auto"/>
                <w:kern w:val="0"/>
                <w:szCs w:val="21"/>
              </w:rPr>
            </w:pPr>
            <w:r>
              <w:rPr>
                <w:rFonts w:hint="eastAsia" w:ascii="宋体" w:hAnsi="宋体" w:cs="宋体"/>
                <w:color w:val="auto"/>
                <w:kern w:val="0"/>
                <w:szCs w:val="21"/>
              </w:rPr>
              <w:t>现状</w:t>
            </w:r>
          </w:p>
        </w:tc>
        <w:tc>
          <w:tcPr>
            <w:tcW w:w="4608" w:type="pct"/>
            <w:noWrap w:val="0"/>
            <w:vAlign w:val="center"/>
          </w:tcPr>
          <w:p w14:paraId="44564812">
            <w:pPr>
              <w:pStyle w:val="4"/>
              <w:bidi w:val="0"/>
              <w:rPr>
                <w:rFonts w:hint="eastAsia"/>
                <w:color w:val="auto"/>
                <w:lang w:val="en-US" w:eastAsia="zh-CN"/>
              </w:rPr>
            </w:pPr>
            <w:bookmarkStart w:id="271" w:name="_Toc18470"/>
            <w:bookmarkStart w:id="272" w:name="_Toc1854"/>
            <w:bookmarkStart w:id="273" w:name="_Toc6972"/>
            <w:bookmarkStart w:id="274" w:name="_Toc16250"/>
            <w:bookmarkStart w:id="275" w:name="_Toc14039"/>
            <w:r>
              <w:rPr>
                <w:rFonts w:hint="eastAsia"/>
                <w:color w:val="auto"/>
                <w:lang w:val="en-US" w:eastAsia="zh-CN"/>
              </w:rPr>
              <w:t>1、环境空气质量现状评价</w:t>
            </w:r>
            <w:bookmarkEnd w:id="271"/>
            <w:bookmarkEnd w:id="272"/>
            <w:bookmarkEnd w:id="273"/>
            <w:bookmarkEnd w:id="274"/>
            <w:bookmarkEnd w:id="275"/>
          </w:p>
          <w:p w14:paraId="2CE4B704">
            <w:pPr>
              <w:rPr>
                <w:rFonts w:hint="default"/>
                <w:color w:val="auto"/>
                <w:lang w:val="en-US" w:eastAsia="zh-CN"/>
              </w:rPr>
            </w:pPr>
            <w:r>
              <w:rPr>
                <w:rFonts w:hint="default"/>
                <w:color w:val="auto"/>
                <w:lang w:val="en-US" w:eastAsia="zh-CN"/>
              </w:rPr>
              <w:t>根据《建设项目环境影响报告表编制技术指南（污染影响类）》（试行）对区域大气环境质量现状数据引用规定：</w:t>
            </w:r>
            <w:r>
              <w:rPr>
                <w:rFonts w:hint="eastAsia" w:ascii="宋体" w:hAnsi="宋体" w:eastAsia="宋体" w:cs="宋体"/>
                <w:color w:val="auto"/>
                <w:lang w:val="en-US" w:eastAsia="zh-CN"/>
              </w:rPr>
              <w:t>“</w:t>
            </w:r>
            <w:r>
              <w:rPr>
                <w:rFonts w:hint="default"/>
                <w:color w:val="auto"/>
                <w:lang w:val="en-US" w:eastAsia="zh-CN"/>
              </w:rPr>
              <w:t>大气环境。常规污染物引用与建设项目距离近的有效数据，包括近3年的规划环境影响评价的监测数据，国家、地方环境空气质量监测网数据或生态环境主管部门公开发布的质量数据等。</w:t>
            </w:r>
            <w:r>
              <w:rPr>
                <w:rFonts w:hint="eastAsia" w:ascii="宋体" w:hAnsi="宋体" w:eastAsia="宋体" w:cs="宋体"/>
                <w:color w:val="auto"/>
                <w:lang w:val="en-US" w:eastAsia="zh-CN"/>
              </w:rPr>
              <w:t>”</w:t>
            </w:r>
          </w:p>
          <w:p w14:paraId="66BEA230">
            <w:pPr>
              <w:rPr>
                <w:rFonts w:hint="default"/>
                <w:color w:val="auto"/>
                <w:lang w:val="en-US" w:eastAsia="zh-CN"/>
              </w:rPr>
            </w:pPr>
            <w:r>
              <w:rPr>
                <w:rFonts w:hint="default"/>
                <w:color w:val="auto"/>
                <w:lang w:val="en-US" w:eastAsia="zh-CN"/>
              </w:rPr>
              <w:t>本项目位于二类环境空气功能区，执行《环境空气质量标准》（GB</w:t>
            </w:r>
            <w:r>
              <w:rPr>
                <w:rFonts w:hint="eastAsia"/>
                <w:color w:val="auto"/>
                <w:lang w:val="en-US" w:eastAsia="zh-CN"/>
              </w:rPr>
              <w:t xml:space="preserve"> </w:t>
            </w:r>
            <w:r>
              <w:rPr>
                <w:rFonts w:hint="default"/>
                <w:color w:val="auto"/>
                <w:lang w:val="en-US" w:eastAsia="zh-CN"/>
              </w:rPr>
              <w:t>3095-2012及2018修改单）中的二级标准。为了解建设项目所在地的大气环境状况，本项目引用衡阳市生态环境局发布的《关于202</w:t>
            </w:r>
            <w:r>
              <w:rPr>
                <w:rFonts w:hint="eastAsia"/>
                <w:color w:val="auto"/>
                <w:lang w:val="en-US" w:eastAsia="zh-CN"/>
              </w:rPr>
              <w:t>3</w:t>
            </w:r>
            <w:r>
              <w:rPr>
                <w:rFonts w:hint="default"/>
                <w:color w:val="auto"/>
                <w:lang w:val="en-US" w:eastAsia="zh-CN"/>
              </w:rPr>
              <w:t>年12月及1~12月全市环境质量状况的通报》中附表2相关数据。具体分析情况详见</w:t>
            </w:r>
            <w:r>
              <w:rPr>
                <w:rFonts w:hint="eastAsia"/>
                <w:color w:val="auto"/>
                <w:lang w:val="en-US" w:eastAsia="zh-CN"/>
              </w:rPr>
              <w:t>图</w:t>
            </w:r>
            <w:r>
              <w:rPr>
                <w:rFonts w:hint="default"/>
                <w:color w:val="auto"/>
                <w:lang w:val="en-US" w:eastAsia="zh-CN"/>
              </w:rPr>
              <w:t>3-1。</w:t>
            </w:r>
          </w:p>
          <w:p w14:paraId="46115222">
            <w:pPr>
              <w:pStyle w:val="17"/>
              <w:bidi w:val="0"/>
              <w:rPr>
                <w:rFonts w:hint="eastAsia" w:eastAsia="宋体"/>
                <w:color w:val="auto"/>
                <w:lang w:eastAsia="zh-CN"/>
              </w:rPr>
            </w:pPr>
            <w:r>
              <w:rPr>
                <w:rFonts w:hint="eastAsia" w:eastAsia="宋体"/>
                <w:color w:val="auto"/>
                <w:lang w:eastAsia="zh-CN"/>
              </w:rPr>
              <w:drawing>
                <wp:inline distT="0" distB="0" distL="114300" distR="114300">
                  <wp:extent cx="5192395" cy="2624455"/>
                  <wp:effectExtent l="0" t="0" r="8255" b="4445"/>
                  <wp:docPr id="35" name="图片 35" descr="snipaste_20240312_092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snipaste_20240312_092330"/>
                          <pic:cNvPicPr>
                            <a:picLocks noChangeAspect="1"/>
                          </pic:cNvPicPr>
                        </pic:nvPicPr>
                        <pic:blipFill>
                          <a:blip r:embed="rId33"/>
                          <a:stretch>
                            <a:fillRect/>
                          </a:stretch>
                        </pic:blipFill>
                        <pic:spPr>
                          <a:xfrm>
                            <a:off x="0" y="0"/>
                            <a:ext cx="5192395" cy="2624455"/>
                          </a:xfrm>
                          <a:prstGeom prst="rect">
                            <a:avLst/>
                          </a:prstGeom>
                        </pic:spPr>
                      </pic:pic>
                    </a:graphicData>
                  </a:graphic>
                </wp:inline>
              </w:drawing>
            </w:r>
          </w:p>
          <w:p w14:paraId="3DA75232">
            <w:pPr>
              <w:pStyle w:val="18"/>
              <w:bidi w:val="0"/>
              <w:rPr>
                <w:rFonts w:hint="eastAsia"/>
                <w:color w:val="auto"/>
                <w:lang w:val="en-US" w:eastAsia="zh-CN"/>
              </w:rPr>
            </w:pPr>
            <w:r>
              <w:rPr>
                <w:rFonts w:hint="eastAsia"/>
                <w:color w:val="auto"/>
                <w:lang w:val="en-US" w:eastAsia="zh-CN"/>
              </w:rPr>
              <w:t>图3-1 2023年12月及1-12月衡阳市城区环境空气污染物浓度情况</w:t>
            </w:r>
          </w:p>
          <w:p w14:paraId="0FE9703F">
            <w:pPr>
              <w:bidi w:val="0"/>
              <w:rPr>
                <w:rFonts w:hint="default"/>
                <w:color w:val="auto"/>
                <w:lang w:val="en-US" w:eastAsia="zh-CN"/>
              </w:rPr>
            </w:pPr>
            <w:r>
              <w:rPr>
                <w:rFonts w:hint="eastAsia"/>
                <w:color w:val="auto"/>
                <w:lang w:val="en-US" w:eastAsia="zh-CN"/>
              </w:rPr>
              <w:t>由上图可知，蒸湘区</w:t>
            </w:r>
            <w:r>
              <w:rPr>
                <w:rFonts w:hint="default"/>
                <w:color w:val="auto"/>
                <w:lang w:val="en-US" w:eastAsia="zh-CN"/>
              </w:rPr>
              <w:t>二氧化硫和二氧化氮年平均质量浓度、一氧化碳年评价浓度（第95百分位数）、臭氧年评价浓度（第90百分位数）、细颗粒物（PM</w:t>
            </w:r>
            <w:r>
              <w:rPr>
                <w:rFonts w:hint="default"/>
                <w:color w:val="auto"/>
                <w:vertAlign w:val="subscript"/>
                <w:lang w:val="en-US" w:eastAsia="zh-CN"/>
              </w:rPr>
              <w:t>2.5</w:t>
            </w:r>
            <w:r>
              <w:rPr>
                <w:rFonts w:hint="default"/>
                <w:color w:val="auto"/>
                <w:lang w:val="en-US" w:eastAsia="zh-CN"/>
              </w:rPr>
              <w:t>）和可吸入颗粒物（PM</w:t>
            </w:r>
            <w:r>
              <w:rPr>
                <w:rFonts w:hint="default"/>
                <w:color w:val="auto"/>
                <w:vertAlign w:val="subscript"/>
                <w:lang w:val="en-US" w:eastAsia="zh-CN"/>
              </w:rPr>
              <w:t>10</w:t>
            </w:r>
            <w:r>
              <w:rPr>
                <w:rFonts w:hint="default"/>
                <w:color w:val="auto"/>
                <w:lang w:val="en-US" w:eastAsia="zh-CN"/>
              </w:rPr>
              <w:t>）均达到《环境空气质量标准》（GB</w:t>
            </w:r>
            <w:r>
              <w:rPr>
                <w:rFonts w:hint="eastAsia"/>
                <w:color w:val="auto"/>
                <w:lang w:val="en-US" w:eastAsia="zh-CN"/>
              </w:rPr>
              <w:t xml:space="preserve"> </w:t>
            </w:r>
            <w:r>
              <w:rPr>
                <w:rFonts w:hint="default"/>
                <w:color w:val="auto"/>
                <w:lang w:val="en-US" w:eastAsia="zh-CN"/>
              </w:rPr>
              <w:t>3095-2012及2018修改单）中的二级标准，本项目所在区域为达标区。</w:t>
            </w:r>
          </w:p>
          <w:p w14:paraId="6E1568CD">
            <w:pPr>
              <w:bidi w:val="0"/>
              <w:rPr>
                <w:rFonts w:hint="eastAsia" w:ascii="宋体" w:hAnsi="宋体" w:eastAsia="宋体" w:cs="宋体"/>
                <w:color w:val="auto"/>
                <w:lang w:val="en-US" w:eastAsia="zh-CN"/>
              </w:rPr>
            </w:pPr>
            <w:r>
              <w:rPr>
                <w:rFonts w:hint="default"/>
                <w:color w:val="auto"/>
                <w:lang w:val="en-US" w:eastAsia="zh-CN"/>
              </w:rPr>
              <w:t>根据《建设项目环境影响报告表编制技术指南（污染影响类）》（试行）对区域大气环境质量现状数据引用规定：</w:t>
            </w:r>
            <w:r>
              <w:rPr>
                <w:rFonts w:hint="eastAsia" w:ascii="宋体" w:hAnsi="宋体" w:eastAsia="宋体" w:cs="宋体"/>
                <w:color w:val="auto"/>
                <w:lang w:val="en-US" w:eastAsia="zh-CN"/>
              </w:rPr>
              <w:t>“</w:t>
            </w:r>
            <w:r>
              <w:rPr>
                <w:rFonts w:hint="default"/>
                <w:color w:val="auto"/>
                <w:lang w:val="en-US" w:eastAsia="zh-CN"/>
              </w:rPr>
              <w:t>大气环境。排放国家、地方环境空气质量标准中有标准限值要求的特征污染物时，引用建设项目周边5千米范围内近3年的现有监测数据，无相关数据的选择当季主导风向下风向1个点位补充不少于3天的监测数据。</w:t>
            </w:r>
            <w:r>
              <w:rPr>
                <w:rFonts w:hint="eastAsia" w:ascii="宋体" w:hAnsi="宋体" w:eastAsia="宋体" w:cs="宋体"/>
                <w:color w:val="auto"/>
                <w:lang w:val="en-US" w:eastAsia="zh-CN"/>
              </w:rPr>
              <w:t>”</w:t>
            </w:r>
          </w:p>
          <w:p w14:paraId="2A8AFA85">
            <w:pPr>
              <w:rPr>
                <w:color w:val="auto"/>
              </w:rPr>
            </w:pPr>
            <w:r>
              <w:rPr>
                <w:rFonts w:hint="default"/>
                <w:color w:val="auto"/>
                <w:lang w:val="en-US" w:eastAsia="zh-CN"/>
              </w:rPr>
              <w:t>本项目排放的其他污染物主要为TSP</w:t>
            </w:r>
            <w:r>
              <w:rPr>
                <w:rFonts w:hint="eastAsia"/>
                <w:color w:val="auto"/>
                <w:lang w:val="en-US" w:eastAsia="zh-CN"/>
              </w:rPr>
              <w:t>。</w:t>
            </w:r>
            <w:r>
              <w:rPr>
                <w:rFonts w:hint="default"/>
                <w:color w:val="auto"/>
                <w:lang w:val="en-US" w:eastAsia="zh-CN"/>
              </w:rPr>
              <w:t>本项目需要进行环境空气质量现状监测的大气污染物为TSP。</w:t>
            </w:r>
          </w:p>
          <w:p w14:paraId="5208EC4C">
            <w:pPr>
              <w:bidi w:val="0"/>
              <w:rPr>
                <w:rFonts w:hint="eastAsia"/>
                <w:color w:val="auto"/>
                <w:lang w:val="en-US" w:eastAsia="zh-CN"/>
              </w:rPr>
            </w:pPr>
            <w:r>
              <w:rPr>
                <w:rFonts w:hint="eastAsia"/>
                <w:color w:val="auto"/>
                <w:lang w:val="en-US" w:eastAsia="zh-CN"/>
              </w:rPr>
              <w:t>为了解项目所在区域TSP的质量状况，引用2023年7月《耒阳新五丰生物饲料科技有限公司衡阳蒸湘分公司年产15万吨饲料改扩建项目环境影响报告表》中</w:t>
            </w:r>
            <w:r>
              <w:rPr>
                <w:rFonts w:hint="eastAsia"/>
                <w:color w:val="auto"/>
                <w:vertAlign w:val="baseline"/>
                <w:lang w:val="en-US" w:eastAsia="zh-CN"/>
              </w:rPr>
              <w:t>环境质量现状</w:t>
            </w:r>
            <w:r>
              <w:rPr>
                <w:rFonts w:hint="eastAsia"/>
                <w:color w:val="auto"/>
                <w:lang w:val="en-US" w:eastAsia="zh-CN"/>
              </w:rPr>
              <w:t>监测数据，为近三年监测数据，且监测点位在本项目周边5km范围内，可以引用。监测报告见附件11。TSP的监测点分布及监测数据详见表3-1。</w:t>
            </w:r>
          </w:p>
          <w:p w14:paraId="58DB14B6">
            <w:pPr>
              <w:pStyle w:val="18"/>
              <w:bidi w:val="0"/>
              <w:rPr>
                <w:rFonts w:hint="eastAsia"/>
                <w:color w:val="auto"/>
                <w:lang w:val="en-US" w:eastAsia="zh-CN"/>
              </w:rPr>
            </w:pPr>
            <w:r>
              <w:rPr>
                <w:rFonts w:hint="eastAsia"/>
                <w:color w:val="auto"/>
                <w:lang w:val="en-US" w:eastAsia="zh-CN"/>
              </w:rPr>
              <w:t>表3-1 环境空气监测布点及TSP监测数据</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69"/>
              <w:gridCol w:w="662"/>
              <w:gridCol w:w="563"/>
              <w:gridCol w:w="1387"/>
              <w:gridCol w:w="1387"/>
              <w:gridCol w:w="1388"/>
              <w:gridCol w:w="1088"/>
              <w:gridCol w:w="735"/>
            </w:tblGrid>
            <w:tr w14:paraId="2EAD4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69" w:type="dxa"/>
                  <w:vMerge w:val="restart"/>
                  <w:vAlign w:val="center"/>
                </w:tcPr>
                <w:p w14:paraId="62C1AED5">
                  <w:pPr>
                    <w:pStyle w:val="17"/>
                    <w:jc w:val="center"/>
                    <w:rPr>
                      <w:rFonts w:hint="default"/>
                      <w:color w:val="auto"/>
                      <w:vertAlign w:val="baseline"/>
                      <w:lang w:val="en-US" w:eastAsia="zh-CN"/>
                    </w:rPr>
                  </w:pPr>
                  <w:r>
                    <w:rPr>
                      <w:rFonts w:hint="eastAsia"/>
                      <w:color w:val="auto"/>
                      <w:vertAlign w:val="baseline"/>
                      <w:lang w:val="en-US" w:eastAsia="zh-CN"/>
                    </w:rPr>
                    <w:t>采样点位</w:t>
                  </w:r>
                </w:p>
              </w:tc>
              <w:tc>
                <w:tcPr>
                  <w:tcW w:w="662" w:type="dxa"/>
                  <w:vMerge w:val="restart"/>
                  <w:vAlign w:val="center"/>
                </w:tcPr>
                <w:p w14:paraId="6260B7C5">
                  <w:pPr>
                    <w:pStyle w:val="17"/>
                    <w:jc w:val="center"/>
                    <w:rPr>
                      <w:rFonts w:hint="default"/>
                      <w:color w:val="auto"/>
                      <w:vertAlign w:val="baseline"/>
                      <w:lang w:val="en-US" w:eastAsia="zh-CN"/>
                    </w:rPr>
                  </w:pPr>
                  <w:r>
                    <w:rPr>
                      <w:rFonts w:hint="eastAsia"/>
                      <w:color w:val="auto"/>
                      <w:vertAlign w:val="baseline"/>
                      <w:lang w:val="en-US" w:eastAsia="zh-CN"/>
                    </w:rPr>
                    <w:t>方位距离</w:t>
                  </w:r>
                </w:p>
              </w:tc>
              <w:tc>
                <w:tcPr>
                  <w:tcW w:w="563" w:type="dxa"/>
                  <w:vMerge w:val="restart"/>
                  <w:vAlign w:val="center"/>
                </w:tcPr>
                <w:p w14:paraId="3A938CF1">
                  <w:pPr>
                    <w:pStyle w:val="17"/>
                    <w:jc w:val="center"/>
                    <w:rPr>
                      <w:rFonts w:hint="default"/>
                      <w:color w:val="auto"/>
                      <w:vertAlign w:val="baseline"/>
                      <w:lang w:val="en-US" w:eastAsia="zh-CN"/>
                    </w:rPr>
                  </w:pPr>
                  <w:r>
                    <w:rPr>
                      <w:rFonts w:hint="eastAsia"/>
                      <w:color w:val="auto"/>
                      <w:vertAlign w:val="baseline"/>
                      <w:lang w:val="en-US" w:eastAsia="zh-CN"/>
                    </w:rPr>
                    <w:t>监测项目</w:t>
                  </w:r>
                </w:p>
              </w:tc>
              <w:tc>
                <w:tcPr>
                  <w:tcW w:w="4162" w:type="dxa"/>
                  <w:gridSpan w:val="3"/>
                  <w:vAlign w:val="center"/>
                </w:tcPr>
                <w:p w14:paraId="2CB92E37">
                  <w:pPr>
                    <w:pStyle w:val="17"/>
                    <w:jc w:val="center"/>
                    <w:rPr>
                      <w:rFonts w:hint="default"/>
                      <w:color w:val="auto"/>
                      <w:vertAlign w:val="baseline"/>
                      <w:lang w:val="en-US" w:eastAsia="zh-CN"/>
                    </w:rPr>
                  </w:pPr>
                  <w:r>
                    <w:rPr>
                      <w:rFonts w:hint="eastAsia"/>
                      <w:color w:val="auto"/>
                      <w:vertAlign w:val="baseline"/>
                      <w:lang w:val="en-US" w:eastAsia="zh-CN"/>
                    </w:rPr>
                    <w:t>监测结果（</w:t>
                  </w:r>
                  <w:r>
                    <w:rPr>
                      <w:rFonts w:hint="eastAsia" w:ascii="Times New Roman" w:hAnsi="Times New Roman" w:cs="Times New Roman"/>
                      <w:color w:val="auto"/>
                      <w:vertAlign w:val="baseline"/>
                      <w:lang w:val="en-US" w:eastAsia="zh-CN"/>
                    </w:rPr>
                    <w:t>m</w:t>
                  </w:r>
                  <w:r>
                    <w:rPr>
                      <w:rFonts w:hint="eastAsia"/>
                      <w:color w:val="auto"/>
                      <w:vertAlign w:val="baseline"/>
                      <w:lang w:val="en-US" w:eastAsia="zh-CN"/>
                    </w:rPr>
                    <w:t>g/m</w:t>
                  </w:r>
                  <w:r>
                    <w:rPr>
                      <w:rFonts w:hint="eastAsia"/>
                      <w:color w:val="auto"/>
                      <w:vertAlign w:val="superscript"/>
                      <w:lang w:val="en-US" w:eastAsia="zh-CN"/>
                    </w:rPr>
                    <w:t>3</w:t>
                  </w:r>
                  <w:r>
                    <w:rPr>
                      <w:rFonts w:hint="eastAsia"/>
                      <w:color w:val="auto"/>
                      <w:vertAlign w:val="baseline"/>
                      <w:lang w:val="en-US" w:eastAsia="zh-CN"/>
                    </w:rPr>
                    <w:t>）</w:t>
                  </w:r>
                </w:p>
              </w:tc>
              <w:tc>
                <w:tcPr>
                  <w:tcW w:w="1088" w:type="dxa"/>
                  <w:vMerge w:val="restart"/>
                  <w:vAlign w:val="center"/>
                </w:tcPr>
                <w:p w14:paraId="3CDA183E">
                  <w:pPr>
                    <w:pStyle w:val="17"/>
                    <w:jc w:val="center"/>
                    <w:rPr>
                      <w:rFonts w:hint="default"/>
                      <w:color w:val="auto"/>
                      <w:vertAlign w:val="baseline"/>
                      <w:lang w:val="en-US" w:eastAsia="zh-CN"/>
                    </w:rPr>
                  </w:pPr>
                  <w:r>
                    <w:rPr>
                      <w:rFonts w:hint="eastAsia"/>
                      <w:color w:val="auto"/>
                      <w:vertAlign w:val="baseline"/>
                      <w:lang w:val="en-US" w:eastAsia="zh-CN"/>
                    </w:rPr>
                    <w:t>最大浓度占标率（%）</w:t>
                  </w:r>
                </w:p>
              </w:tc>
              <w:tc>
                <w:tcPr>
                  <w:tcW w:w="735" w:type="dxa"/>
                  <w:vMerge w:val="restart"/>
                  <w:vAlign w:val="center"/>
                </w:tcPr>
                <w:p w14:paraId="522B0F21">
                  <w:pPr>
                    <w:pStyle w:val="17"/>
                    <w:jc w:val="center"/>
                    <w:rPr>
                      <w:rFonts w:hint="default"/>
                      <w:color w:val="auto"/>
                      <w:vertAlign w:val="baseline"/>
                      <w:lang w:val="en-US" w:eastAsia="zh-CN"/>
                    </w:rPr>
                  </w:pPr>
                  <w:r>
                    <w:rPr>
                      <w:rFonts w:hint="eastAsia"/>
                      <w:color w:val="auto"/>
                      <w:vertAlign w:val="baseline"/>
                      <w:lang w:val="en-US" w:eastAsia="zh-CN"/>
                    </w:rPr>
                    <w:t>超标率（%）</w:t>
                  </w:r>
                </w:p>
              </w:tc>
            </w:tr>
            <w:tr w14:paraId="6D56E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69" w:type="dxa"/>
                  <w:vMerge w:val="continue"/>
                  <w:vAlign w:val="center"/>
                </w:tcPr>
                <w:p w14:paraId="2D52BBC8">
                  <w:pPr>
                    <w:pStyle w:val="17"/>
                    <w:jc w:val="center"/>
                    <w:rPr>
                      <w:rFonts w:hint="default"/>
                      <w:color w:val="auto"/>
                      <w:vertAlign w:val="baseline"/>
                      <w:lang w:val="en-US" w:eastAsia="zh-CN"/>
                    </w:rPr>
                  </w:pPr>
                </w:p>
              </w:tc>
              <w:tc>
                <w:tcPr>
                  <w:tcW w:w="662" w:type="dxa"/>
                  <w:vMerge w:val="continue"/>
                  <w:vAlign w:val="center"/>
                </w:tcPr>
                <w:p w14:paraId="4E18C7F3">
                  <w:pPr>
                    <w:pStyle w:val="17"/>
                    <w:jc w:val="center"/>
                    <w:rPr>
                      <w:rFonts w:hint="default"/>
                      <w:color w:val="auto"/>
                      <w:vertAlign w:val="baseline"/>
                      <w:lang w:val="en-US" w:eastAsia="zh-CN"/>
                    </w:rPr>
                  </w:pPr>
                </w:p>
              </w:tc>
              <w:tc>
                <w:tcPr>
                  <w:tcW w:w="563" w:type="dxa"/>
                  <w:vMerge w:val="continue"/>
                  <w:vAlign w:val="center"/>
                </w:tcPr>
                <w:p w14:paraId="339386ED">
                  <w:pPr>
                    <w:pStyle w:val="17"/>
                    <w:jc w:val="center"/>
                    <w:rPr>
                      <w:rFonts w:hint="default"/>
                      <w:color w:val="auto"/>
                      <w:vertAlign w:val="baseline"/>
                      <w:lang w:val="en-US" w:eastAsia="zh-CN"/>
                    </w:rPr>
                  </w:pPr>
                </w:p>
              </w:tc>
              <w:tc>
                <w:tcPr>
                  <w:tcW w:w="1387" w:type="dxa"/>
                  <w:vAlign w:val="center"/>
                </w:tcPr>
                <w:p w14:paraId="3B850B03">
                  <w:pPr>
                    <w:pStyle w:val="17"/>
                    <w:jc w:val="center"/>
                    <w:rPr>
                      <w:rFonts w:hint="default"/>
                      <w:color w:val="auto"/>
                      <w:vertAlign w:val="baseline"/>
                      <w:lang w:val="en-US" w:eastAsia="zh-CN"/>
                    </w:rPr>
                  </w:pPr>
                  <w:r>
                    <w:rPr>
                      <w:rFonts w:hint="eastAsia"/>
                      <w:color w:val="auto"/>
                      <w:vertAlign w:val="baseline"/>
                      <w:lang w:val="en-US" w:eastAsia="zh-CN"/>
                    </w:rPr>
                    <w:t>2023.4.22~23</w:t>
                  </w:r>
                </w:p>
              </w:tc>
              <w:tc>
                <w:tcPr>
                  <w:tcW w:w="1387" w:type="dxa"/>
                  <w:vAlign w:val="center"/>
                </w:tcPr>
                <w:p w14:paraId="15A406C6">
                  <w:pPr>
                    <w:pStyle w:val="17"/>
                    <w:jc w:val="center"/>
                    <w:rPr>
                      <w:rFonts w:hint="default"/>
                      <w:color w:val="auto"/>
                      <w:vertAlign w:val="baseline"/>
                      <w:lang w:val="en-US" w:eastAsia="zh-CN"/>
                    </w:rPr>
                  </w:pPr>
                  <w:r>
                    <w:rPr>
                      <w:rFonts w:hint="eastAsia"/>
                      <w:color w:val="auto"/>
                      <w:vertAlign w:val="baseline"/>
                      <w:lang w:val="en-US" w:eastAsia="zh-CN"/>
                    </w:rPr>
                    <w:t>2023.4.23~24</w:t>
                  </w:r>
                </w:p>
              </w:tc>
              <w:tc>
                <w:tcPr>
                  <w:tcW w:w="1388" w:type="dxa"/>
                  <w:vAlign w:val="center"/>
                </w:tcPr>
                <w:p w14:paraId="4F478180">
                  <w:pPr>
                    <w:pStyle w:val="17"/>
                    <w:jc w:val="center"/>
                    <w:rPr>
                      <w:rFonts w:hint="default"/>
                      <w:color w:val="auto"/>
                      <w:vertAlign w:val="baseline"/>
                      <w:lang w:val="en-US" w:eastAsia="zh-CN"/>
                    </w:rPr>
                  </w:pPr>
                  <w:r>
                    <w:rPr>
                      <w:rFonts w:hint="eastAsia"/>
                      <w:color w:val="auto"/>
                      <w:vertAlign w:val="baseline"/>
                      <w:lang w:val="en-US" w:eastAsia="zh-CN"/>
                    </w:rPr>
                    <w:t>2023.4.24~25</w:t>
                  </w:r>
                </w:p>
              </w:tc>
              <w:tc>
                <w:tcPr>
                  <w:tcW w:w="1088" w:type="dxa"/>
                  <w:vMerge w:val="continue"/>
                  <w:vAlign w:val="center"/>
                </w:tcPr>
                <w:p w14:paraId="12291AA5">
                  <w:pPr>
                    <w:pStyle w:val="17"/>
                    <w:jc w:val="center"/>
                    <w:rPr>
                      <w:rFonts w:hint="eastAsia"/>
                      <w:color w:val="auto"/>
                      <w:vertAlign w:val="baseline"/>
                      <w:lang w:val="en-US" w:eastAsia="zh-CN"/>
                    </w:rPr>
                  </w:pPr>
                </w:p>
              </w:tc>
              <w:tc>
                <w:tcPr>
                  <w:tcW w:w="735" w:type="dxa"/>
                  <w:vMerge w:val="continue"/>
                  <w:vAlign w:val="center"/>
                </w:tcPr>
                <w:p w14:paraId="639EC2FF">
                  <w:pPr>
                    <w:pStyle w:val="17"/>
                    <w:jc w:val="center"/>
                    <w:rPr>
                      <w:rFonts w:hint="eastAsia"/>
                      <w:color w:val="auto"/>
                      <w:vertAlign w:val="baseline"/>
                      <w:lang w:val="en-US" w:eastAsia="zh-CN"/>
                    </w:rPr>
                  </w:pPr>
                </w:p>
              </w:tc>
            </w:tr>
            <w:tr w14:paraId="1577A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69" w:type="dxa"/>
                  <w:vAlign w:val="center"/>
                </w:tcPr>
                <w:p w14:paraId="125A0486">
                  <w:pPr>
                    <w:pStyle w:val="17"/>
                    <w:jc w:val="center"/>
                    <w:rPr>
                      <w:rFonts w:hint="default"/>
                      <w:color w:val="auto"/>
                      <w:vertAlign w:val="baseline"/>
                      <w:lang w:val="en-US" w:eastAsia="zh-CN"/>
                    </w:rPr>
                  </w:pPr>
                  <w:r>
                    <w:rPr>
                      <w:rFonts w:hint="eastAsia"/>
                      <w:color w:val="auto"/>
                      <w:vertAlign w:val="baseline"/>
                      <w:lang w:val="en-US" w:eastAsia="zh-CN"/>
                    </w:rPr>
                    <w:t>G1鸡市新村居民点</w:t>
                  </w:r>
                </w:p>
              </w:tc>
              <w:tc>
                <w:tcPr>
                  <w:tcW w:w="662" w:type="dxa"/>
                  <w:vAlign w:val="center"/>
                </w:tcPr>
                <w:p w14:paraId="26BB1C97">
                  <w:pPr>
                    <w:pStyle w:val="17"/>
                    <w:jc w:val="center"/>
                    <w:rPr>
                      <w:rFonts w:hint="default"/>
                      <w:color w:val="auto"/>
                      <w:vertAlign w:val="baseline"/>
                      <w:lang w:val="en-US" w:eastAsia="zh-CN"/>
                    </w:rPr>
                  </w:pPr>
                  <w:r>
                    <w:rPr>
                      <w:rFonts w:hint="eastAsia"/>
                      <w:color w:val="auto"/>
                      <w:vertAlign w:val="baseline"/>
                      <w:lang w:val="en-US" w:eastAsia="zh-CN"/>
                    </w:rPr>
                    <w:t>SW，2000m</w:t>
                  </w:r>
                </w:p>
              </w:tc>
              <w:tc>
                <w:tcPr>
                  <w:tcW w:w="563" w:type="dxa"/>
                  <w:vMerge w:val="restart"/>
                  <w:vAlign w:val="center"/>
                </w:tcPr>
                <w:p w14:paraId="03829CC4">
                  <w:pPr>
                    <w:pStyle w:val="17"/>
                    <w:jc w:val="center"/>
                    <w:rPr>
                      <w:rFonts w:hint="default"/>
                      <w:color w:val="auto"/>
                      <w:vertAlign w:val="baseline"/>
                      <w:lang w:val="en-US" w:eastAsia="zh-CN"/>
                    </w:rPr>
                  </w:pPr>
                  <w:r>
                    <w:rPr>
                      <w:rFonts w:hint="eastAsia"/>
                      <w:color w:val="auto"/>
                      <w:vertAlign w:val="baseline"/>
                      <w:lang w:val="en-US" w:eastAsia="zh-CN"/>
                    </w:rPr>
                    <w:t>TSP</w:t>
                  </w:r>
                </w:p>
              </w:tc>
              <w:tc>
                <w:tcPr>
                  <w:tcW w:w="1387" w:type="dxa"/>
                  <w:vAlign w:val="center"/>
                </w:tcPr>
                <w:p w14:paraId="7E625C51">
                  <w:pPr>
                    <w:pStyle w:val="17"/>
                    <w:jc w:val="center"/>
                    <w:rPr>
                      <w:rFonts w:hint="default"/>
                      <w:color w:val="auto"/>
                      <w:vertAlign w:val="baseline"/>
                      <w:lang w:val="en-US" w:eastAsia="zh-CN"/>
                    </w:rPr>
                  </w:pPr>
                  <w:r>
                    <w:rPr>
                      <w:rFonts w:hint="eastAsia"/>
                      <w:color w:val="auto"/>
                      <w:vertAlign w:val="baseline"/>
                      <w:lang w:val="en-US" w:eastAsia="zh-CN"/>
                    </w:rPr>
                    <w:t>0.055</w:t>
                  </w:r>
                </w:p>
              </w:tc>
              <w:tc>
                <w:tcPr>
                  <w:tcW w:w="1387" w:type="dxa"/>
                  <w:vAlign w:val="center"/>
                </w:tcPr>
                <w:p w14:paraId="79D35E8F">
                  <w:pPr>
                    <w:pStyle w:val="17"/>
                    <w:jc w:val="center"/>
                    <w:rPr>
                      <w:rFonts w:hint="default"/>
                      <w:color w:val="auto"/>
                      <w:vertAlign w:val="baseline"/>
                      <w:lang w:val="en-US" w:eastAsia="zh-CN"/>
                    </w:rPr>
                  </w:pPr>
                  <w:r>
                    <w:rPr>
                      <w:rFonts w:hint="eastAsia"/>
                      <w:color w:val="auto"/>
                      <w:vertAlign w:val="baseline"/>
                      <w:lang w:val="en-US" w:eastAsia="zh-CN"/>
                    </w:rPr>
                    <w:t>0.058</w:t>
                  </w:r>
                </w:p>
              </w:tc>
              <w:tc>
                <w:tcPr>
                  <w:tcW w:w="1388" w:type="dxa"/>
                  <w:vAlign w:val="center"/>
                </w:tcPr>
                <w:p w14:paraId="59D2DCDB">
                  <w:pPr>
                    <w:pStyle w:val="17"/>
                    <w:jc w:val="center"/>
                    <w:rPr>
                      <w:rFonts w:hint="default"/>
                      <w:color w:val="auto"/>
                      <w:vertAlign w:val="baseline"/>
                      <w:lang w:val="en-US" w:eastAsia="zh-CN"/>
                    </w:rPr>
                  </w:pPr>
                  <w:r>
                    <w:rPr>
                      <w:rFonts w:hint="eastAsia"/>
                      <w:color w:val="auto"/>
                      <w:vertAlign w:val="baseline"/>
                      <w:lang w:val="en-US" w:eastAsia="zh-CN"/>
                    </w:rPr>
                    <w:t>0.057</w:t>
                  </w:r>
                </w:p>
              </w:tc>
              <w:tc>
                <w:tcPr>
                  <w:tcW w:w="1088" w:type="dxa"/>
                  <w:vAlign w:val="center"/>
                </w:tcPr>
                <w:p w14:paraId="66BEB434">
                  <w:pPr>
                    <w:pStyle w:val="17"/>
                    <w:jc w:val="center"/>
                    <w:rPr>
                      <w:rFonts w:hint="default"/>
                      <w:color w:val="auto"/>
                      <w:vertAlign w:val="baseline"/>
                      <w:lang w:val="en-US" w:eastAsia="zh-CN"/>
                    </w:rPr>
                  </w:pPr>
                  <w:r>
                    <w:rPr>
                      <w:rFonts w:hint="eastAsia"/>
                      <w:color w:val="auto"/>
                      <w:vertAlign w:val="baseline"/>
                      <w:lang w:val="en-US" w:eastAsia="zh-CN"/>
                    </w:rPr>
                    <w:t>19.33</w:t>
                  </w:r>
                </w:p>
              </w:tc>
              <w:tc>
                <w:tcPr>
                  <w:tcW w:w="735" w:type="dxa"/>
                  <w:vAlign w:val="center"/>
                </w:tcPr>
                <w:p w14:paraId="610DC0BC">
                  <w:pPr>
                    <w:pStyle w:val="17"/>
                    <w:jc w:val="center"/>
                    <w:rPr>
                      <w:rFonts w:hint="default"/>
                      <w:color w:val="auto"/>
                      <w:vertAlign w:val="baseline"/>
                      <w:lang w:val="en-US" w:eastAsia="zh-CN"/>
                    </w:rPr>
                  </w:pPr>
                  <w:r>
                    <w:rPr>
                      <w:rFonts w:hint="eastAsia"/>
                      <w:color w:val="auto"/>
                      <w:vertAlign w:val="baseline"/>
                      <w:lang w:val="en-US" w:eastAsia="zh-CN"/>
                    </w:rPr>
                    <w:t>0</w:t>
                  </w:r>
                </w:p>
              </w:tc>
            </w:tr>
            <w:tr w14:paraId="17B84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31" w:type="dxa"/>
                  <w:gridSpan w:val="2"/>
                  <w:vAlign w:val="center"/>
                </w:tcPr>
                <w:p w14:paraId="71A06F1B">
                  <w:pPr>
                    <w:pStyle w:val="17"/>
                    <w:jc w:val="center"/>
                    <w:rPr>
                      <w:rFonts w:hint="default"/>
                      <w:color w:val="auto"/>
                      <w:vertAlign w:val="baseline"/>
                      <w:lang w:val="en-US" w:eastAsia="zh-CN"/>
                    </w:rPr>
                  </w:pPr>
                  <w:r>
                    <w:rPr>
                      <w:rFonts w:hint="eastAsia"/>
                      <w:color w:val="auto"/>
                      <w:vertAlign w:val="baseline"/>
                      <w:lang w:val="en-US" w:eastAsia="zh-CN"/>
                    </w:rPr>
                    <w:t>标准限值</w:t>
                  </w:r>
                </w:p>
              </w:tc>
              <w:tc>
                <w:tcPr>
                  <w:tcW w:w="563" w:type="dxa"/>
                  <w:vMerge w:val="continue"/>
                  <w:vAlign w:val="center"/>
                </w:tcPr>
                <w:p w14:paraId="2FDB14BB">
                  <w:pPr>
                    <w:pStyle w:val="17"/>
                    <w:jc w:val="center"/>
                    <w:rPr>
                      <w:rFonts w:hint="default"/>
                      <w:color w:val="auto"/>
                      <w:vertAlign w:val="baseline"/>
                      <w:lang w:val="en-US" w:eastAsia="zh-CN"/>
                    </w:rPr>
                  </w:pPr>
                </w:p>
              </w:tc>
              <w:tc>
                <w:tcPr>
                  <w:tcW w:w="5985" w:type="dxa"/>
                  <w:gridSpan w:val="5"/>
                  <w:vAlign w:val="center"/>
                </w:tcPr>
                <w:p w14:paraId="19172113">
                  <w:pPr>
                    <w:pStyle w:val="17"/>
                    <w:jc w:val="center"/>
                    <w:rPr>
                      <w:rFonts w:hint="eastAsia"/>
                      <w:color w:val="auto"/>
                      <w:vertAlign w:val="baseline"/>
                      <w:lang w:val="en-US" w:eastAsia="zh-CN"/>
                    </w:rPr>
                  </w:pPr>
                  <w:r>
                    <w:rPr>
                      <w:rFonts w:hint="eastAsia"/>
                      <w:color w:val="auto"/>
                      <w:vertAlign w:val="baseline"/>
                      <w:lang w:val="en-US" w:eastAsia="zh-CN"/>
                    </w:rPr>
                    <w:t>0.3</w:t>
                  </w:r>
                </w:p>
              </w:tc>
            </w:tr>
          </w:tbl>
          <w:p w14:paraId="08A4A96B">
            <w:pPr>
              <w:bidi w:val="0"/>
              <w:rPr>
                <w:rFonts w:hint="default"/>
                <w:color w:val="auto"/>
                <w:lang w:val="en-US" w:eastAsia="zh-CN"/>
              </w:rPr>
            </w:pPr>
            <w:r>
              <w:rPr>
                <w:rFonts w:hint="eastAsia"/>
                <w:color w:val="auto"/>
                <w:lang w:val="en-US" w:eastAsia="zh-CN"/>
              </w:rPr>
              <w:t>根据上表监测结果可知，监测期间，</w:t>
            </w:r>
            <w:r>
              <w:rPr>
                <w:rFonts w:hint="default"/>
                <w:color w:val="auto"/>
                <w:lang w:val="en-US" w:eastAsia="zh-CN"/>
              </w:rPr>
              <w:t>项目所在区域大气评价范围内监测点位TSP监测结果能满足《环境空气质量标准》（GB 3095-2012及2018修改单）中的二级标准。因此，本项目建设前，项目所在区域空气质量良好。</w:t>
            </w:r>
          </w:p>
          <w:p w14:paraId="6888162D">
            <w:pPr>
              <w:pStyle w:val="4"/>
              <w:bidi w:val="0"/>
              <w:rPr>
                <w:rFonts w:hint="eastAsia"/>
                <w:color w:val="auto"/>
                <w:lang w:val="en-US" w:eastAsia="zh-CN"/>
              </w:rPr>
            </w:pPr>
            <w:bookmarkStart w:id="276" w:name="_Toc8759"/>
            <w:bookmarkStart w:id="277" w:name="_Toc32385"/>
            <w:bookmarkStart w:id="278" w:name="_Toc16040"/>
            <w:bookmarkStart w:id="279" w:name="_Toc18704"/>
            <w:bookmarkStart w:id="280" w:name="_Toc20104"/>
            <w:r>
              <w:rPr>
                <w:rFonts w:hint="eastAsia"/>
                <w:color w:val="auto"/>
                <w:lang w:val="en-US" w:eastAsia="zh-CN"/>
              </w:rPr>
              <w:t>2、地表水环境质量现状评价</w:t>
            </w:r>
            <w:bookmarkEnd w:id="276"/>
            <w:bookmarkEnd w:id="277"/>
            <w:bookmarkEnd w:id="278"/>
            <w:bookmarkEnd w:id="279"/>
            <w:bookmarkEnd w:id="280"/>
          </w:p>
          <w:p w14:paraId="73A6BA4A">
            <w:pPr>
              <w:bidi w:val="0"/>
              <w:rPr>
                <w:rFonts w:hint="default"/>
                <w:color w:val="auto"/>
                <w:lang w:val="en-US" w:eastAsia="zh-CN"/>
              </w:rPr>
            </w:pPr>
            <w:r>
              <w:rPr>
                <w:rFonts w:hint="default"/>
                <w:color w:val="auto"/>
                <w:lang w:val="en-US" w:eastAsia="zh-CN"/>
              </w:rPr>
              <w:t>根据《建设项目环境影响报告表编制技术指南（污染影响类）》（试行）对区域地表水环境质量现状数据引用规定：</w:t>
            </w:r>
            <w:r>
              <w:rPr>
                <w:rFonts w:hint="eastAsia" w:ascii="宋体" w:hAnsi="宋体" w:eastAsia="宋体" w:cs="宋体"/>
                <w:color w:val="auto"/>
                <w:lang w:val="en-US" w:eastAsia="zh-CN"/>
              </w:rPr>
              <w:t>“</w:t>
            </w:r>
            <w:r>
              <w:rPr>
                <w:rFonts w:hint="default"/>
                <w:color w:val="auto"/>
                <w:lang w:val="en-US" w:eastAsia="zh-CN"/>
              </w:rPr>
              <w:t>地表水环境。引用与建设项目距离近的有效数据，包括近3年的规划环境影响评价的监测数据，所在流域控制单元内国家、地方控制断面监测数据，生态环境主管部门发布的水环境质量数据或地表水达标情况的结论</w:t>
            </w:r>
            <w:r>
              <w:rPr>
                <w:rFonts w:hint="eastAsia" w:ascii="宋体" w:hAnsi="宋体" w:eastAsia="宋体" w:cs="宋体"/>
                <w:color w:val="auto"/>
                <w:lang w:val="en-US" w:eastAsia="zh-CN"/>
              </w:rPr>
              <w:t>”</w:t>
            </w:r>
            <w:r>
              <w:rPr>
                <w:rFonts w:hint="default"/>
                <w:color w:val="auto"/>
                <w:lang w:val="en-US" w:eastAsia="zh-CN"/>
              </w:rPr>
              <w:t>。</w:t>
            </w:r>
          </w:p>
          <w:p w14:paraId="27581800">
            <w:pPr>
              <w:rPr>
                <w:rFonts w:hint="eastAsia"/>
                <w:color w:val="auto"/>
                <w:lang w:val="en-US" w:eastAsia="zh-CN"/>
              </w:rPr>
            </w:pPr>
            <w:r>
              <w:rPr>
                <w:rFonts w:hint="eastAsia"/>
                <w:color w:val="auto"/>
                <w:lang w:val="en-US" w:eastAsia="zh-CN"/>
              </w:rPr>
              <w:t>本项目员工生活污水经化粪池熟化后用作农肥，堆场抑尘废水和洒水降尘废水蒸发损耗或进入产品，车辆冲洗废水经隔油池、沉淀池处理后回用于车辆冲洗。</w:t>
            </w:r>
          </w:p>
          <w:p w14:paraId="76A7C02F">
            <w:pPr>
              <w:bidi w:val="0"/>
              <w:rPr>
                <w:rFonts w:hint="default" w:ascii="Times New Roman" w:hAnsi="Times New Roman" w:cs="Times New Roman"/>
                <w:color w:val="auto"/>
                <w:lang w:val="en-US" w:eastAsia="zh-CN"/>
              </w:rPr>
            </w:pPr>
            <w:r>
              <w:rPr>
                <w:rFonts w:hint="eastAsia"/>
                <w:color w:val="auto"/>
                <w:lang w:val="en-US" w:eastAsia="zh-CN"/>
              </w:rPr>
              <w:t>项目位于湖南省衡阳市蒸湘区呆鹰岭镇振兴村江家塘组，建设项目附近河流主要为蒸水。根据《湖南省主要地表水系水环境功能区划》（DB43/ 023-2005），本项目位于</w:t>
            </w:r>
            <w:r>
              <w:rPr>
                <w:rFonts w:hint="default" w:ascii="Times New Roman" w:hAnsi="Times New Roman" w:cs="Times New Roman"/>
                <w:color w:val="auto"/>
                <w:lang w:val="en-US" w:eastAsia="zh-CN"/>
              </w:rPr>
              <w:t>蒸水英陂拦河坝至湘江入河口水域，为工业用水区，水质执行《地表水环境质量标准》（GB</w:t>
            </w:r>
            <w:r>
              <w:rPr>
                <w:rFonts w:hint="eastAsia" w:ascii="Times New Roman" w:hAnsi="Times New Roman" w:cs="Times New Roman"/>
                <w:color w:val="auto"/>
                <w:lang w:val="en-US" w:eastAsia="zh-CN"/>
              </w:rPr>
              <w:t xml:space="preserve"> </w:t>
            </w:r>
            <w:r>
              <w:rPr>
                <w:rFonts w:hint="default" w:ascii="Times New Roman" w:hAnsi="Times New Roman" w:cs="Times New Roman"/>
                <w:color w:val="auto"/>
                <w:lang w:val="en-US" w:eastAsia="zh-CN"/>
              </w:rPr>
              <w:t>3838-2002）Ⅳ类标准。</w:t>
            </w:r>
          </w:p>
          <w:p w14:paraId="4D4C5786">
            <w:pPr>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为了解本项目所在区域地表水环境现状，本评价引用衡阳市生态环境局发布的《关于2022年12月及1-12月全市环境质量状况的通报》中蒸水入湘江口断面的监测数据进行评价，监测情况如图3</w:t>
            </w:r>
            <w:r>
              <w:rPr>
                <w:rFonts w:hint="eastAsia" w:ascii="Times New Roman" w:hAnsi="Times New Roman" w:cs="Times New Roman"/>
                <w:color w:val="auto"/>
                <w:lang w:val="en-US" w:eastAsia="zh-CN"/>
              </w:rPr>
              <w:t>-</w:t>
            </w:r>
            <w:r>
              <w:rPr>
                <w:rFonts w:hint="eastAsia" w:cs="Times New Roman"/>
                <w:color w:val="auto"/>
                <w:lang w:val="en-US" w:eastAsia="zh-CN"/>
              </w:rPr>
              <w:t>4</w:t>
            </w:r>
            <w:r>
              <w:rPr>
                <w:rFonts w:hint="default" w:ascii="Times New Roman" w:hAnsi="Times New Roman" w:cs="Times New Roman"/>
                <w:color w:val="auto"/>
                <w:lang w:val="en-US" w:eastAsia="zh-CN"/>
              </w:rPr>
              <w:t>所示。</w:t>
            </w:r>
          </w:p>
          <w:p w14:paraId="7A1434C4">
            <w:pPr>
              <w:pStyle w:val="17"/>
              <w:bidi w:val="0"/>
              <w:rPr>
                <w:rFonts w:hint="default"/>
                <w:color w:val="auto"/>
                <w:lang w:val="en-US" w:eastAsia="zh-CN"/>
              </w:rPr>
            </w:pPr>
            <w:r>
              <w:rPr>
                <w:rFonts w:hint="default"/>
                <w:color w:val="auto"/>
                <w:lang w:val="en-US" w:eastAsia="zh-CN"/>
              </w:rPr>
              <w:drawing>
                <wp:inline distT="0" distB="0" distL="114300" distR="114300">
                  <wp:extent cx="5096510" cy="3272155"/>
                  <wp:effectExtent l="0" t="0" r="8890" b="4445"/>
                  <wp:docPr id="5" name="图片 14" descr="1675236598107u1h86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4" descr="1675236598107u1h86g"/>
                          <pic:cNvPicPr>
                            <a:picLocks noChangeAspect="1"/>
                          </pic:cNvPicPr>
                        </pic:nvPicPr>
                        <pic:blipFill>
                          <a:blip r:embed="rId34"/>
                          <a:stretch>
                            <a:fillRect/>
                          </a:stretch>
                        </pic:blipFill>
                        <pic:spPr>
                          <a:xfrm>
                            <a:off x="0" y="0"/>
                            <a:ext cx="5096510" cy="3272155"/>
                          </a:xfrm>
                          <a:prstGeom prst="rect">
                            <a:avLst/>
                          </a:prstGeom>
                          <a:noFill/>
                          <a:ln>
                            <a:noFill/>
                          </a:ln>
                        </pic:spPr>
                      </pic:pic>
                    </a:graphicData>
                  </a:graphic>
                </wp:inline>
              </w:drawing>
            </w:r>
          </w:p>
          <w:p w14:paraId="7CB747D2">
            <w:pPr>
              <w:pStyle w:val="18"/>
              <w:bidi w:val="0"/>
              <w:rPr>
                <w:rFonts w:hint="default"/>
                <w:color w:val="auto"/>
                <w:lang w:val="en-US" w:eastAsia="zh-CN"/>
              </w:rPr>
            </w:pPr>
            <w:r>
              <w:rPr>
                <w:rFonts w:hint="default"/>
                <w:color w:val="auto"/>
                <w:lang w:val="en-US" w:eastAsia="zh-CN"/>
              </w:rPr>
              <w:t>图3</w:t>
            </w:r>
            <w:r>
              <w:rPr>
                <w:rFonts w:hint="eastAsia"/>
                <w:color w:val="auto"/>
                <w:lang w:val="en-US" w:eastAsia="zh-CN"/>
              </w:rPr>
              <w:t>-4</w:t>
            </w:r>
            <w:r>
              <w:rPr>
                <w:rFonts w:hint="default"/>
                <w:color w:val="auto"/>
                <w:lang w:val="en-US" w:eastAsia="zh-CN"/>
              </w:rPr>
              <w:t xml:space="preserve"> 2022年12月及1-12月蒸湘区水环境质量状况截图</w:t>
            </w:r>
          </w:p>
          <w:p w14:paraId="55BD41B3">
            <w:pPr>
              <w:rPr>
                <w:rFonts w:hint="default" w:ascii="Times New Roman" w:hAnsi="Times New Roman" w:cs="Times New Roman"/>
                <w:b w:val="0"/>
                <w:bCs w:val="0"/>
                <w:color w:val="auto"/>
                <w:kern w:val="0"/>
                <w:sz w:val="24"/>
                <w:szCs w:val="21"/>
                <w:lang w:val="en-US" w:eastAsia="zh-CN"/>
              </w:rPr>
            </w:pPr>
            <w:r>
              <w:rPr>
                <w:rFonts w:hint="default" w:ascii="Times New Roman" w:hAnsi="Times New Roman" w:cs="Times New Roman"/>
                <w:b w:val="0"/>
                <w:bCs w:val="0"/>
                <w:color w:val="auto"/>
                <w:kern w:val="0"/>
                <w:sz w:val="24"/>
                <w:szCs w:val="21"/>
                <w:lang w:val="en-US" w:eastAsia="zh-CN"/>
              </w:rPr>
              <w:t>依据图</w:t>
            </w:r>
            <w:r>
              <w:rPr>
                <w:rFonts w:hint="eastAsia" w:ascii="Times New Roman" w:hAnsi="Times New Roman" w:cs="Times New Roman"/>
                <w:b w:val="0"/>
                <w:bCs w:val="0"/>
                <w:color w:val="auto"/>
                <w:kern w:val="0"/>
                <w:sz w:val="24"/>
                <w:szCs w:val="21"/>
                <w:lang w:val="en-US" w:eastAsia="zh-CN"/>
              </w:rPr>
              <w:t>3-</w:t>
            </w:r>
            <w:r>
              <w:rPr>
                <w:rFonts w:hint="eastAsia" w:cs="Times New Roman"/>
                <w:b w:val="0"/>
                <w:bCs w:val="0"/>
                <w:color w:val="auto"/>
                <w:kern w:val="0"/>
                <w:sz w:val="24"/>
                <w:szCs w:val="21"/>
                <w:lang w:val="en-US" w:eastAsia="zh-CN"/>
              </w:rPr>
              <w:t>4</w:t>
            </w:r>
            <w:r>
              <w:rPr>
                <w:rFonts w:hint="default" w:ascii="Times New Roman" w:hAnsi="Times New Roman" w:cs="Times New Roman"/>
                <w:b w:val="0"/>
                <w:bCs w:val="0"/>
                <w:color w:val="auto"/>
                <w:kern w:val="0"/>
                <w:sz w:val="24"/>
                <w:szCs w:val="21"/>
                <w:lang w:val="en-US" w:eastAsia="zh-CN"/>
              </w:rPr>
              <w:t>可知，蒸水入湘江口断面满足《地表水环境质量标准》（GB</w:t>
            </w:r>
            <w:r>
              <w:rPr>
                <w:rFonts w:hint="eastAsia" w:ascii="Times New Roman" w:hAnsi="Times New Roman" w:cs="Times New Roman"/>
                <w:b w:val="0"/>
                <w:bCs w:val="0"/>
                <w:color w:val="auto"/>
                <w:kern w:val="0"/>
                <w:sz w:val="24"/>
                <w:szCs w:val="21"/>
                <w:lang w:val="en-US" w:eastAsia="zh-CN"/>
              </w:rPr>
              <w:t xml:space="preserve"> </w:t>
            </w:r>
            <w:r>
              <w:rPr>
                <w:rFonts w:hint="default" w:ascii="Times New Roman" w:hAnsi="Times New Roman" w:cs="Times New Roman"/>
                <w:b w:val="0"/>
                <w:bCs w:val="0"/>
                <w:color w:val="auto"/>
                <w:kern w:val="0"/>
                <w:sz w:val="24"/>
                <w:szCs w:val="21"/>
                <w:lang w:val="en-US" w:eastAsia="zh-CN"/>
              </w:rPr>
              <w:t>3838-2002）Ⅲ类标准要求，能满足相应水功能区划要求。区域地表水水质现状情况良好，属于水质达标区。</w:t>
            </w:r>
          </w:p>
          <w:p w14:paraId="6E143493">
            <w:pPr>
              <w:pStyle w:val="4"/>
              <w:bidi w:val="0"/>
              <w:rPr>
                <w:rFonts w:hint="eastAsia"/>
                <w:color w:val="auto"/>
                <w:lang w:val="en-US" w:eastAsia="zh-CN"/>
              </w:rPr>
            </w:pPr>
            <w:bookmarkStart w:id="281" w:name="_Toc4573"/>
            <w:bookmarkStart w:id="282" w:name="_Toc1200"/>
            <w:bookmarkStart w:id="283" w:name="_Toc9528"/>
            <w:bookmarkStart w:id="284" w:name="_Toc9077"/>
            <w:bookmarkStart w:id="285" w:name="_Toc18981"/>
            <w:r>
              <w:rPr>
                <w:rFonts w:hint="eastAsia"/>
                <w:color w:val="auto"/>
                <w:lang w:val="en-US" w:eastAsia="zh-CN"/>
              </w:rPr>
              <w:t>3、声环境质量现状</w:t>
            </w:r>
            <w:bookmarkEnd w:id="281"/>
            <w:bookmarkEnd w:id="282"/>
            <w:bookmarkEnd w:id="283"/>
            <w:bookmarkEnd w:id="284"/>
            <w:bookmarkEnd w:id="285"/>
          </w:p>
          <w:p w14:paraId="23D57E80">
            <w:pPr>
              <w:bidi w:val="0"/>
              <w:rPr>
                <w:rFonts w:hint="eastAsia"/>
                <w:color w:val="auto"/>
                <w:lang w:val="en-US" w:eastAsia="zh-CN"/>
              </w:rPr>
            </w:pPr>
            <w:r>
              <w:rPr>
                <w:rFonts w:hint="eastAsia"/>
                <w:color w:val="auto"/>
                <w:lang w:val="en-US" w:eastAsia="zh-CN"/>
              </w:rPr>
              <w:t>根据《建设项目环境影响报告表编制技术指南（污染影响类）（试行）》，“声环境。厂界外周边50米范围内存在声环境保护目标的建设项目，应监测保护目标声环境质量现状并评价达标情况。各点位应监测昼夜间噪声，监测时间不少于1天，项目夜间不生产则仅监测昼间噪声”，经现场踏勘，本项目50m范围内存在居民点，因此对居民点昼间噪声进行了补充检测。建设单位委托衡阳职安环保科技有限责任公司于2024年1月20日对本项目50m范围内2处居民点昼间噪声进行了检测，监测结果详见表3-1，监测报告详见附件12。</w:t>
            </w:r>
          </w:p>
          <w:p w14:paraId="2843F26D">
            <w:pPr>
              <w:pStyle w:val="18"/>
              <w:bidi w:val="0"/>
              <w:rPr>
                <w:rFonts w:hint="eastAsia"/>
                <w:color w:val="auto"/>
                <w:lang w:val="en-US" w:eastAsia="zh-CN"/>
              </w:rPr>
            </w:pPr>
            <w:r>
              <w:rPr>
                <w:rFonts w:hint="eastAsia"/>
                <w:color w:val="auto"/>
                <w:lang w:val="en-US" w:eastAsia="zh-CN"/>
              </w:rPr>
              <w:t>表3-1 项目周边敏感点噪声监测报告</w:t>
            </w:r>
          </w:p>
          <w:tbl>
            <w:tblPr>
              <w:tblStyle w:val="1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2540"/>
              <w:gridCol w:w="1529"/>
              <w:gridCol w:w="1552"/>
              <w:gridCol w:w="779"/>
              <w:gridCol w:w="950"/>
            </w:tblGrid>
            <w:tr w14:paraId="38CD2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pct"/>
                  <w:vMerge w:val="restart"/>
                  <w:vAlign w:val="center"/>
                </w:tcPr>
                <w:p w14:paraId="1EA4E0AB">
                  <w:pPr>
                    <w:pStyle w:val="17"/>
                    <w:jc w:val="center"/>
                    <w:rPr>
                      <w:rFonts w:hint="default"/>
                      <w:color w:val="auto"/>
                      <w:vertAlign w:val="baseline"/>
                      <w:lang w:val="en-US" w:eastAsia="zh-CN"/>
                    </w:rPr>
                  </w:pPr>
                  <w:r>
                    <w:rPr>
                      <w:rFonts w:hint="eastAsia"/>
                      <w:color w:val="auto"/>
                      <w:vertAlign w:val="baseline"/>
                      <w:lang w:val="en-US" w:eastAsia="zh-CN"/>
                    </w:rPr>
                    <w:t>测点编号</w:t>
                  </w:r>
                </w:p>
              </w:tc>
              <w:tc>
                <w:tcPr>
                  <w:tcW w:w="1553" w:type="pct"/>
                  <w:vMerge w:val="restart"/>
                  <w:vAlign w:val="center"/>
                </w:tcPr>
                <w:p w14:paraId="529285E7">
                  <w:pPr>
                    <w:pStyle w:val="17"/>
                    <w:jc w:val="center"/>
                    <w:rPr>
                      <w:rFonts w:hint="default"/>
                      <w:color w:val="auto"/>
                      <w:vertAlign w:val="baseline"/>
                      <w:lang w:val="en-US" w:eastAsia="zh-CN"/>
                    </w:rPr>
                  </w:pPr>
                  <w:r>
                    <w:rPr>
                      <w:rFonts w:hint="eastAsia"/>
                      <w:color w:val="auto"/>
                      <w:vertAlign w:val="baseline"/>
                      <w:lang w:val="en-US" w:eastAsia="zh-CN"/>
                    </w:rPr>
                    <w:t>检测地点</w:t>
                  </w:r>
                </w:p>
              </w:tc>
              <w:tc>
                <w:tcPr>
                  <w:tcW w:w="935" w:type="pct"/>
                  <w:vMerge w:val="restart"/>
                  <w:vAlign w:val="center"/>
                </w:tcPr>
                <w:p w14:paraId="77FC3E38">
                  <w:pPr>
                    <w:pStyle w:val="17"/>
                    <w:jc w:val="center"/>
                    <w:rPr>
                      <w:rFonts w:hint="default"/>
                      <w:color w:val="auto"/>
                      <w:vertAlign w:val="baseline"/>
                      <w:lang w:val="en-US" w:eastAsia="zh-CN"/>
                    </w:rPr>
                  </w:pPr>
                  <w:r>
                    <w:rPr>
                      <w:rFonts w:hint="eastAsia"/>
                      <w:color w:val="auto"/>
                      <w:vertAlign w:val="baseline"/>
                      <w:lang w:val="en-US" w:eastAsia="zh-CN"/>
                    </w:rPr>
                    <w:t>敏感点名称</w:t>
                  </w:r>
                </w:p>
              </w:tc>
              <w:tc>
                <w:tcPr>
                  <w:tcW w:w="949" w:type="pct"/>
                  <w:vAlign w:val="center"/>
                </w:tcPr>
                <w:p w14:paraId="700921F0">
                  <w:pPr>
                    <w:pStyle w:val="17"/>
                    <w:jc w:val="center"/>
                    <w:rPr>
                      <w:rFonts w:hint="default"/>
                      <w:color w:val="auto"/>
                      <w:vertAlign w:val="baseline"/>
                      <w:lang w:val="en-US" w:eastAsia="zh-CN"/>
                    </w:rPr>
                  </w:pPr>
                  <w:r>
                    <w:rPr>
                      <w:rFonts w:hint="eastAsia"/>
                      <w:color w:val="auto"/>
                      <w:vertAlign w:val="baseline"/>
                      <w:lang w:val="en-US" w:eastAsia="zh-CN"/>
                    </w:rPr>
                    <w:t>测量值L</w:t>
                  </w:r>
                  <w:r>
                    <w:rPr>
                      <w:rFonts w:hint="eastAsia"/>
                      <w:color w:val="auto"/>
                      <w:vertAlign w:val="subscript"/>
                      <w:lang w:val="en-US" w:eastAsia="zh-CN"/>
                    </w:rPr>
                    <w:t>eq</w:t>
                  </w:r>
                </w:p>
              </w:tc>
              <w:tc>
                <w:tcPr>
                  <w:tcW w:w="476" w:type="pct"/>
                  <w:vMerge w:val="restart"/>
                  <w:vAlign w:val="center"/>
                </w:tcPr>
                <w:p w14:paraId="290C2917">
                  <w:pPr>
                    <w:pStyle w:val="17"/>
                    <w:jc w:val="center"/>
                    <w:rPr>
                      <w:rFonts w:hint="default"/>
                      <w:color w:val="auto"/>
                      <w:vertAlign w:val="baseline"/>
                      <w:lang w:val="en-US" w:eastAsia="zh-CN"/>
                    </w:rPr>
                  </w:pPr>
                  <w:r>
                    <w:rPr>
                      <w:rFonts w:hint="eastAsia"/>
                      <w:color w:val="auto"/>
                      <w:vertAlign w:val="baseline"/>
                      <w:lang w:val="en-US" w:eastAsia="zh-CN"/>
                    </w:rPr>
                    <w:t>标准限值</w:t>
                  </w:r>
                </w:p>
              </w:tc>
              <w:tc>
                <w:tcPr>
                  <w:tcW w:w="581" w:type="pct"/>
                  <w:vMerge w:val="restart"/>
                  <w:vAlign w:val="center"/>
                </w:tcPr>
                <w:p w14:paraId="154270A6">
                  <w:pPr>
                    <w:pStyle w:val="17"/>
                    <w:jc w:val="center"/>
                    <w:rPr>
                      <w:rFonts w:hint="default"/>
                      <w:color w:val="auto"/>
                      <w:vertAlign w:val="baseline"/>
                      <w:lang w:val="en-US" w:eastAsia="zh-CN"/>
                    </w:rPr>
                  </w:pPr>
                  <w:r>
                    <w:rPr>
                      <w:rFonts w:hint="eastAsia"/>
                      <w:color w:val="auto"/>
                      <w:vertAlign w:val="baseline"/>
                      <w:lang w:val="en-US" w:eastAsia="zh-CN"/>
                    </w:rPr>
                    <w:t>单位</w:t>
                  </w:r>
                </w:p>
              </w:tc>
            </w:tr>
            <w:tr w14:paraId="2EF99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pct"/>
                  <w:vMerge w:val="continue"/>
                  <w:vAlign w:val="center"/>
                </w:tcPr>
                <w:p w14:paraId="34ADEB3A">
                  <w:pPr>
                    <w:pStyle w:val="17"/>
                    <w:jc w:val="center"/>
                    <w:rPr>
                      <w:rFonts w:hint="default"/>
                      <w:color w:val="auto"/>
                      <w:vertAlign w:val="baseline"/>
                      <w:lang w:val="en-US" w:eastAsia="zh-CN"/>
                    </w:rPr>
                  </w:pPr>
                </w:p>
              </w:tc>
              <w:tc>
                <w:tcPr>
                  <w:tcW w:w="1553" w:type="pct"/>
                  <w:vMerge w:val="continue"/>
                  <w:vAlign w:val="center"/>
                </w:tcPr>
                <w:p w14:paraId="53946E4E">
                  <w:pPr>
                    <w:pStyle w:val="17"/>
                    <w:jc w:val="center"/>
                    <w:rPr>
                      <w:rFonts w:hint="default"/>
                      <w:color w:val="auto"/>
                      <w:vertAlign w:val="baseline"/>
                      <w:lang w:val="en-US" w:eastAsia="zh-CN"/>
                    </w:rPr>
                  </w:pPr>
                </w:p>
              </w:tc>
              <w:tc>
                <w:tcPr>
                  <w:tcW w:w="935" w:type="pct"/>
                  <w:vMerge w:val="continue"/>
                  <w:vAlign w:val="center"/>
                </w:tcPr>
                <w:p w14:paraId="41A29CD4">
                  <w:pPr>
                    <w:pStyle w:val="17"/>
                    <w:jc w:val="center"/>
                    <w:rPr>
                      <w:rFonts w:hint="default"/>
                      <w:color w:val="auto"/>
                      <w:vertAlign w:val="baseline"/>
                      <w:lang w:val="en-US" w:eastAsia="zh-CN"/>
                    </w:rPr>
                  </w:pPr>
                </w:p>
              </w:tc>
              <w:tc>
                <w:tcPr>
                  <w:tcW w:w="949" w:type="pct"/>
                  <w:vAlign w:val="center"/>
                </w:tcPr>
                <w:p w14:paraId="413CBB04">
                  <w:pPr>
                    <w:pStyle w:val="17"/>
                    <w:jc w:val="center"/>
                    <w:rPr>
                      <w:rFonts w:hint="default"/>
                      <w:color w:val="auto"/>
                      <w:vertAlign w:val="baseline"/>
                      <w:lang w:val="en-US" w:eastAsia="zh-CN"/>
                    </w:rPr>
                  </w:pPr>
                  <w:r>
                    <w:rPr>
                      <w:rFonts w:hint="eastAsia"/>
                      <w:color w:val="auto"/>
                      <w:vertAlign w:val="baseline"/>
                      <w:lang w:val="en-US" w:eastAsia="zh-CN"/>
                    </w:rPr>
                    <w:t>昼间</w:t>
                  </w:r>
                </w:p>
              </w:tc>
              <w:tc>
                <w:tcPr>
                  <w:tcW w:w="476" w:type="pct"/>
                  <w:vMerge w:val="continue"/>
                  <w:vAlign w:val="center"/>
                </w:tcPr>
                <w:p w14:paraId="6927ED38">
                  <w:pPr>
                    <w:pStyle w:val="17"/>
                    <w:jc w:val="center"/>
                    <w:rPr>
                      <w:rFonts w:hint="default"/>
                      <w:color w:val="auto"/>
                      <w:vertAlign w:val="baseline"/>
                      <w:lang w:val="en-US" w:eastAsia="zh-CN"/>
                    </w:rPr>
                  </w:pPr>
                </w:p>
              </w:tc>
              <w:tc>
                <w:tcPr>
                  <w:tcW w:w="581" w:type="pct"/>
                  <w:vMerge w:val="continue"/>
                  <w:vAlign w:val="center"/>
                </w:tcPr>
                <w:p w14:paraId="345B743F">
                  <w:pPr>
                    <w:pStyle w:val="17"/>
                    <w:jc w:val="center"/>
                    <w:rPr>
                      <w:rFonts w:hint="default"/>
                      <w:color w:val="auto"/>
                      <w:vertAlign w:val="baseline"/>
                      <w:lang w:val="en-US" w:eastAsia="zh-CN"/>
                    </w:rPr>
                  </w:pPr>
                </w:p>
              </w:tc>
            </w:tr>
            <w:tr w14:paraId="46F4B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pct"/>
                  <w:vAlign w:val="center"/>
                </w:tcPr>
                <w:p w14:paraId="21ED0288">
                  <w:pPr>
                    <w:pStyle w:val="17"/>
                    <w:jc w:val="center"/>
                    <w:rPr>
                      <w:rFonts w:hint="default"/>
                      <w:color w:val="auto"/>
                      <w:vertAlign w:val="baseline"/>
                      <w:lang w:val="en-US" w:eastAsia="zh-CN"/>
                    </w:rPr>
                  </w:pPr>
                  <w:r>
                    <w:rPr>
                      <w:rFonts w:hint="eastAsia"/>
                      <w:color w:val="auto"/>
                      <w:vertAlign w:val="baseline"/>
                      <w:lang w:val="en-US" w:eastAsia="zh-CN"/>
                    </w:rPr>
                    <w:t>N1</w:t>
                  </w:r>
                </w:p>
              </w:tc>
              <w:tc>
                <w:tcPr>
                  <w:tcW w:w="1553" w:type="pct"/>
                  <w:vAlign w:val="center"/>
                </w:tcPr>
                <w:p w14:paraId="18C16EF1">
                  <w:pPr>
                    <w:pStyle w:val="17"/>
                    <w:jc w:val="center"/>
                    <w:rPr>
                      <w:rFonts w:hint="default"/>
                      <w:color w:val="auto"/>
                      <w:vertAlign w:val="baseline"/>
                      <w:lang w:val="en-US" w:eastAsia="zh-CN"/>
                    </w:rPr>
                  </w:pPr>
                  <w:r>
                    <w:rPr>
                      <w:rFonts w:hint="eastAsia"/>
                      <w:color w:val="auto"/>
                      <w:vertAlign w:val="baseline"/>
                      <w:lang w:val="en-US" w:eastAsia="zh-CN"/>
                    </w:rPr>
                    <w:t>项目西40m的居民点</w:t>
                  </w:r>
                </w:p>
              </w:tc>
              <w:tc>
                <w:tcPr>
                  <w:tcW w:w="935" w:type="pct"/>
                  <w:vAlign w:val="center"/>
                </w:tcPr>
                <w:p w14:paraId="649D5EFA">
                  <w:pPr>
                    <w:pStyle w:val="17"/>
                    <w:jc w:val="center"/>
                    <w:rPr>
                      <w:rFonts w:hint="default"/>
                      <w:color w:val="auto"/>
                      <w:vertAlign w:val="baseline"/>
                      <w:lang w:val="en-US" w:eastAsia="zh-CN"/>
                    </w:rPr>
                  </w:pPr>
                  <w:r>
                    <w:rPr>
                      <w:rFonts w:hint="eastAsia"/>
                      <w:color w:val="auto"/>
                      <w:vertAlign w:val="baseline"/>
                      <w:lang w:val="en-US" w:eastAsia="zh-CN"/>
                    </w:rPr>
                    <w:t>周家垅</w:t>
                  </w:r>
                </w:p>
              </w:tc>
              <w:tc>
                <w:tcPr>
                  <w:tcW w:w="949" w:type="pct"/>
                  <w:vAlign w:val="center"/>
                </w:tcPr>
                <w:p w14:paraId="289CD9D8">
                  <w:pPr>
                    <w:pStyle w:val="17"/>
                    <w:jc w:val="center"/>
                    <w:rPr>
                      <w:rFonts w:hint="default"/>
                      <w:color w:val="auto"/>
                      <w:vertAlign w:val="baseline"/>
                      <w:lang w:val="en-US" w:eastAsia="zh-CN"/>
                    </w:rPr>
                  </w:pPr>
                  <w:r>
                    <w:rPr>
                      <w:rFonts w:hint="eastAsia"/>
                      <w:color w:val="auto"/>
                      <w:vertAlign w:val="baseline"/>
                      <w:lang w:val="en-US" w:eastAsia="zh-CN"/>
                    </w:rPr>
                    <w:t>52</w:t>
                  </w:r>
                </w:p>
              </w:tc>
              <w:tc>
                <w:tcPr>
                  <w:tcW w:w="476" w:type="pct"/>
                  <w:vMerge w:val="restart"/>
                  <w:vAlign w:val="center"/>
                </w:tcPr>
                <w:p w14:paraId="39A314F6">
                  <w:pPr>
                    <w:pStyle w:val="17"/>
                    <w:jc w:val="center"/>
                    <w:rPr>
                      <w:rFonts w:hint="default"/>
                      <w:color w:val="auto"/>
                      <w:vertAlign w:val="baseline"/>
                      <w:lang w:val="en-US" w:eastAsia="zh-CN"/>
                    </w:rPr>
                  </w:pPr>
                  <w:r>
                    <w:rPr>
                      <w:rFonts w:hint="eastAsia"/>
                      <w:color w:val="auto"/>
                      <w:vertAlign w:val="baseline"/>
                      <w:lang w:val="en-US" w:eastAsia="zh-CN"/>
                    </w:rPr>
                    <w:t>60</w:t>
                  </w:r>
                </w:p>
              </w:tc>
              <w:tc>
                <w:tcPr>
                  <w:tcW w:w="581" w:type="pct"/>
                  <w:vMerge w:val="restart"/>
                  <w:vAlign w:val="center"/>
                </w:tcPr>
                <w:p w14:paraId="0EE31B18">
                  <w:pPr>
                    <w:pStyle w:val="17"/>
                    <w:jc w:val="center"/>
                    <w:rPr>
                      <w:rFonts w:hint="default"/>
                      <w:color w:val="auto"/>
                      <w:vertAlign w:val="baseline"/>
                      <w:lang w:val="en-US" w:eastAsia="zh-CN"/>
                    </w:rPr>
                  </w:pPr>
                  <w:r>
                    <w:rPr>
                      <w:rFonts w:hint="eastAsia"/>
                      <w:color w:val="auto"/>
                      <w:vertAlign w:val="baseline"/>
                      <w:lang w:val="en-US" w:eastAsia="zh-CN"/>
                    </w:rPr>
                    <w:t>dB(A)</w:t>
                  </w:r>
                </w:p>
              </w:tc>
            </w:tr>
            <w:tr w14:paraId="055A9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pct"/>
                  <w:vAlign w:val="center"/>
                </w:tcPr>
                <w:p w14:paraId="1D149655">
                  <w:pPr>
                    <w:pStyle w:val="17"/>
                    <w:jc w:val="center"/>
                    <w:rPr>
                      <w:rFonts w:hint="default"/>
                      <w:color w:val="auto"/>
                      <w:vertAlign w:val="baseline"/>
                      <w:lang w:val="en-US" w:eastAsia="zh-CN"/>
                    </w:rPr>
                  </w:pPr>
                  <w:r>
                    <w:rPr>
                      <w:rFonts w:hint="eastAsia"/>
                      <w:color w:val="auto"/>
                      <w:vertAlign w:val="baseline"/>
                      <w:lang w:val="en-US" w:eastAsia="zh-CN"/>
                    </w:rPr>
                    <w:t>N2</w:t>
                  </w:r>
                </w:p>
              </w:tc>
              <w:tc>
                <w:tcPr>
                  <w:tcW w:w="1553" w:type="pct"/>
                  <w:vAlign w:val="center"/>
                </w:tcPr>
                <w:p w14:paraId="36691B34">
                  <w:pPr>
                    <w:pStyle w:val="17"/>
                    <w:jc w:val="center"/>
                    <w:rPr>
                      <w:rFonts w:hint="default"/>
                      <w:color w:val="auto"/>
                      <w:vertAlign w:val="baseline"/>
                      <w:lang w:val="en-US" w:eastAsia="zh-CN"/>
                    </w:rPr>
                  </w:pPr>
                  <w:r>
                    <w:rPr>
                      <w:rFonts w:hint="eastAsia"/>
                      <w:color w:val="auto"/>
                      <w:vertAlign w:val="baseline"/>
                      <w:lang w:val="en-US" w:eastAsia="zh-CN"/>
                    </w:rPr>
                    <w:t>项目东40m的居民点</w:t>
                  </w:r>
                </w:p>
              </w:tc>
              <w:tc>
                <w:tcPr>
                  <w:tcW w:w="935" w:type="pct"/>
                  <w:vAlign w:val="center"/>
                </w:tcPr>
                <w:p w14:paraId="0B57607A">
                  <w:pPr>
                    <w:pStyle w:val="17"/>
                    <w:jc w:val="center"/>
                    <w:rPr>
                      <w:rFonts w:hint="default"/>
                      <w:color w:val="auto"/>
                      <w:vertAlign w:val="baseline"/>
                      <w:lang w:val="en-US" w:eastAsia="zh-CN"/>
                    </w:rPr>
                  </w:pPr>
                  <w:r>
                    <w:rPr>
                      <w:rFonts w:hint="eastAsia"/>
                      <w:color w:val="auto"/>
                      <w:vertAlign w:val="baseline"/>
                      <w:lang w:val="en-US" w:eastAsia="zh-CN"/>
                    </w:rPr>
                    <w:t>肖家老屋</w:t>
                  </w:r>
                </w:p>
              </w:tc>
              <w:tc>
                <w:tcPr>
                  <w:tcW w:w="949" w:type="pct"/>
                  <w:vAlign w:val="center"/>
                </w:tcPr>
                <w:p w14:paraId="08632736">
                  <w:pPr>
                    <w:pStyle w:val="17"/>
                    <w:jc w:val="center"/>
                    <w:rPr>
                      <w:rFonts w:hint="default"/>
                      <w:color w:val="auto"/>
                      <w:vertAlign w:val="baseline"/>
                      <w:lang w:val="en-US" w:eastAsia="zh-CN"/>
                    </w:rPr>
                  </w:pPr>
                  <w:r>
                    <w:rPr>
                      <w:rFonts w:hint="eastAsia"/>
                      <w:color w:val="auto"/>
                      <w:vertAlign w:val="baseline"/>
                      <w:lang w:val="en-US" w:eastAsia="zh-CN"/>
                    </w:rPr>
                    <w:t>51</w:t>
                  </w:r>
                </w:p>
              </w:tc>
              <w:tc>
                <w:tcPr>
                  <w:tcW w:w="476" w:type="pct"/>
                  <w:vMerge w:val="continue"/>
                  <w:vAlign w:val="center"/>
                </w:tcPr>
                <w:p w14:paraId="1F75675D">
                  <w:pPr>
                    <w:pStyle w:val="17"/>
                    <w:jc w:val="center"/>
                    <w:rPr>
                      <w:rFonts w:hint="default"/>
                      <w:color w:val="auto"/>
                      <w:vertAlign w:val="baseline"/>
                      <w:lang w:val="en-US" w:eastAsia="zh-CN"/>
                    </w:rPr>
                  </w:pPr>
                </w:p>
              </w:tc>
              <w:tc>
                <w:tcPr>
                  <w:tcW w:w="581" w:type="pct"/>
                  <w:vMerge w:val="continue"/>
                  <w:vAlign w:val="center"/>
                </w:tcPr>
                <w:p w14:paraId="78BCE4AF">
                  <w:pPr>
                    <w:pStyle w:val="17"/>
                    <w:jc w:val="center"/>
                    <w:rPr>
                      <w:rFonts w:hint="default"/>
                      <w:color w:val="auto"/>
                      <w:vertAlign w:val="baseline"/>
                      <w:lang w:val="en-US" w:eastAsia="zh-CN"/>
                    </w:rPr>
                  </w:pPr>
                </w:p>
              </w:tc>
            </w:tr>
          </w:tbl>
          <w:p w14:paraId="037EF996">
            <w:pPr>
              <w:bidi w:val="0"/>
              <w:rPr>
                <w:rFonts w:hint="eastAsia"/>
                <w:color w:val="auto"/>
                <w:lang w:val="en-US" w:eastAsia="zh-CN"/>
              </w:rPr>
            </w:pPr>
            <w:bookmarkStart w:id="286" w:name="_Toc740"/>
            <w:bookmarkStart w:id="287" w:name="_Toc3260"/>
            <w:bookmarkStart w:id="288" w:name="_Toc17226"/>
            <w:r>
              <w:rPr>
                <w:rFonts w:hint="eastAsia"/>
                <w:color w:val="auto"/>
                <w:lang w:val="en-US" w:eastAsia="zh-CN"/>
              </w:rPr>
              <w:t>监测结果表明本项目周边居民点昼间噪声均满足《声环境质量标准》（GB 3096-2008）中2类功能区限值。</w:t>
            </w:r>
          </w:p>
          <w:p w14:paraId="5D6C14FC">
            <w:pPr>
              <w:pStyle w:val="4"/>
              <w:bidi w:val="0"/>
              <w:rPr>
                <w:rFonts w:hint="eastAsia"/>
                <w:color w:val="auto"/>
                <w:lang w:val="en-US" w:eastAsia="zh-CN"/>
              </w:rPr>
            </w:pPr>
            <w:bookmarkStart w:id="289" w:name="_Toc27325"/>
            <w:bookmarkStart w:id="290" w:name="_Toc28306"/>
            <w:r>
              <w:rPr>
                <w:rFonts w:hint="eastAsia"/>
                <w:color w:val="auto"/>
                <w:lang w:val="en-US" w:eastAsia="zh-CN"/>
              </w:rPr>
              <w:t>4、生态环境现状</w:t>
            </w:r>
            <w:bookmarkEnd w:id="286"/>
            <w:bookmarkEnd w:id="287"/>
            <w:bookmarkEnd w:id="288"/>
            <w:bookmarkEnd w:id="289"/>
            <w:bookmarkEnd w:id="290"/>
          </w:p>
          <w:p w14:paraId="1A5788E2">
            <w:pPr>
              <w:rPr>
                <w:color w:val="auto"/>
                <w:sz w:val="24"/>
                <w:u w:val="none"/>
              </w:rPr>
            </w:pPr>
            <w:r>
              <w:rPr>
                <w:color w:val="auto"/>
                <w:sz w:val="24"/>
                <w:u w:val="none"/>
              </w:rPr>
              <w:t>本项目区域为</w:t>
            </w:r>
            <w:r>
              <w:rPr>
                <w:rFonts w:hint="eastAsia"/>
                <w:color w:val="auto"/>
                <w:sz w:val="24"/>
                <w:u w:val="none"/>
              </w:rPr>
              <w:t>原兴林砖厂</w:t>
            </w:r>
            <w:r>
              <w:rPr>
                <w:color w:val="auto"/>
                <w:sz w:val="24"/>
                <w:u w:val="none"/>
              </w:rPr>
              <w:t>，植被以草本植物为主。区域内动物较少，主要有老鼠、麻雀等。经现场踏勘和调查，本项目区未见国家法定保护的野生动物和需保护的珍稀植物。</w:t>
            </w:r>
          </w:p>
          <w:p w14:paraId="7B608B11">
            <w:pPr>
              <w:pStyle w:val="4"/>
              <w:bidi w:val="0"/>
              <w:rPr>
                <w:rFonts w:hint="eastAsia"/>
                <w:color w:val="auto"/>
                <w:lang w:val="en-US" w:eastAsia="zh-CN"/>
              </w:rPr>
            </w:pPr>
            <w:bookmarkStart w:id="291" w:name="_Toc31770"/>
            <w:bookmarkStart w:id="292" w:name="_Toc10476"/>
            <w:bookmarkStart w:id="293" w:name="_Toc18081"/>
            <w:bookmarkStart w:id="294" w:name="_Toc26407"/>
            <w:bookmarkStart w:id="295" w:name="_Toc13723"/>
            <w:r>
              <w:rPr>
                <w:rFonts w:hint="eastAsia"/>
                <w:color w:val="auto"/>
                <w:lang w:val="en-US" w:eastAsia="zh-CN"/>
              </w:rPr>
              <w:t>5、地下水环境现状调查与评价</w:t>
            </w:r>
            <w:bookmarkEnd w:id="291"/>
            <w:bookmarkEnd w:id="292"/>
            <w:bookmarkEnd w:id="293"/>
            <w:bookmarkEnd w:id="294"/>
            <w:bookmarkEnd w:id="295"/>
          </w:p>
          <w:p w14:paraId="7749D6D8">
            <w:pPr>
              <w:rPr>
                <w:rFonts w:hint="eastAsia"/>
                <w:color w:val="auto"/>
                <w:lang w:val="en-US" w:eastAsia="zh-CN"/>
              </w:rPr>
            </w:pPr>
            <w:r>
              <w:rPr>
                <w:rFonts w:hint="default"/>
                <w:color w:val="auto"/>
                <w:lang w:val="en-US" w:eastAsia="zh-CN"/>
              </w:rPr>
              <w:t>根据《环境影响评价技术导则 地下水环境》（HJ 610-2016）附录A（规范性附录）</w:t>
            </w:r>
            <w:r>
              <w:rPr>
                <w:rFonts w:hint="eastAsia" w:ascii="宋体" w:hAnsi="宋体" w:eastAsia="宋体" w:cs="宋体"/>
                <w:color w:val="auto"/>
                <w:lang w:val="en-US" w:eastAsia="zh-CN"/>
              </w:rPr>
              <w:t>“地下水环境影响评价行业分类表”</w:t>
            </w:r>
            <w:r>
              <w:rPr>
                <w:rFonts w:hint="default"/>
                <w:color w:val="auto"/>
                <w:lang w:val="en-US" w:eastAsia="zh-CN"/>
              </w:rPr>
              <w:t>，本项目属于</w:t>
            </w:r>
            <w:r>
              <w:rPr>
                <w:rFonts w:hint="eastAsia"/>
                <w:color w:val="auto"/>
                <w:lang w:val="en-US" w:eastAsia="zh-CN"/>
              </w:rPr>
              <w:t>“U城镇基础设施及房地产”中的“155、废旧资源（含生物质）加工、再生利用-其他”，地下水环境影响评价项目为</w:t>
            </w:r>
            <w:r>
              <w:rPr>
                <w:rFonts w:hint="default" w:ascii="Times New Roman" w:hAnsi="Times New Roman" w:cs="Times New Roman"/>
                <w:color w:val="auto"/>
                <w:lang w:val="en-US" w:eastAsia="zh-CN"/>
              </w:rPr>
              <w:t>Ⅳ</w:t>
            </w:r>
            <w:r>
              <w:rPr>
                <w:rFonts w:hint="eastAsia"/>
                <w:color w:val="auto"/>
                <w:lang w:val="en-US" w:eastAsia="zh-CN"/>
              </w:rPr>
              <w:t>类，</w:t>
            </w:r>
            <w:r>
              <w:rPr>
                <w:rFonts w:hint="default" w:ascii="Times New Roman" w:hAnsi="Times New Roman" w:cs="Times New Roman"/>
                <w:color w:val="auto"/>
                <w:lang w:val="en-US" w:eastAsia="zh-CN"/>
              </w:rPr>
              <w:t>Ⅳ</w:t>
            </w:r>
            <w:r>
              <w:rPr>
                <w:rFonts w:hint="eastAsia"/>
                <w:color w:val="auto"/>
                <w:lang w:val="en-US" w:eastAsia="zh-CN"/>
              </w:rPr>
              <w:t>类建设项目不开展地下水环境影响评价。</w:t>
            </w:r>
          </w:p>
          <w:p w14:paraId="38741298">
            <w:pPr>
              <w:rPr>
                <w:rFonts w:hint="eastAsia"/>
                <w:color w:val="auto"/>
                <w:lang w:val="en-US" w:eastAsia="zh-CN"/>
              </w:rPr>
            </w:pPr>
            <w:r>
              <w:rPr>
                <w:rFonts w:hint="eastAsia"/>
                <w:color w:val="auto"/>
                <w:lang w:val="en-US" w:eastAsia="zh-CN"/>
              </w:rPr>
              <w:t>因此，本项目不对地下水环境质量现状进行调查与评价分析。</w:t>
            </w:r>
          </w:p>
          <w:p w14:paraId="1478CAB3">
            <w:pPr>
              <w:pStyle w:val="4"/>
              <w:bidi w:val="0"/>
              <w:rPr>
                <w:rFonts w:hint="eastAsia"/>
                <w:color w:val="auto"/>
                <w:lang w:val="en-US" w:eastAsia="zh-CN"/>
              </w:rPr>
            </w:pPr>
            <w:bookmarkStart w:id="296" w:name="_Toc7998"/>
            <w:bookmarkStart w:id="297" w:name="_Toc19979"/>
            <w:bookmarkStart w:id="298" w:name="_Toc71"/>
            <w:bookmarkStart w:id="299" w:name="_Toc18870"/>
            <w:bookmarkStart w:id="300" w:name="_Toc13701"/>
            <w:r>
              <w:rPr>
                <w:rFonts w:hint="eastAsia"/>
                <w:color w:val="auto"/>
                <w:lang w:val="en-US" w:eastAsia="zh-CN"/>
              </w:rPr>
              <w:t>6、土壤环境现状调查与评价</w:t>
            </w:r>
            <w:bookmarkEnd w:id="296"/>
            <w:bookmarkEnd w:id="297"/>
            <w:bookmarkEnd w:id="298"/>
            <w:bookmarkEnd w:id="299"/>
            <w:bookmarkEnd w:id="300"/>
          </w:p>
          <w:p w14:paraId="775C8D73">
            <w:pPr>
              <w:rPr>
                <w:rFonts w:hint="eastAsia"/>
                <w:color w:val="auto"/>
                <w:lang w:val="en-US" w:eastAsia="zh-CN"/>
              </w:rPr>
            </w:pPr>
            <w:r>
              <w:rPr>
                <w:rFonts w:hint="default"/>
                <w:color w:val="auto"/>
                <w:lang w:val="en-US" w:eastAsia="zh-CN"/>
              </w:rPr>
              <w:t>据生态环境部办公厅2020年12月24日印发的《建设项目环境影响报告表编制技术指南（污染影响类）（试行）》中的要求：</w:t>
            </w:r>
            <w:r>
              <w:rPr>
                <w:rFonts w:hint="eastAsia"/>
                <w:color w:val="auto"/>
                <w:lang w:val="en-US" w:eastAsia="zh-CN"/>
              </w:rPr>
              <w:t>“</w:t>
            </w:r>
            <w:r>
              <w:rPr>
                <w:rFonts w:hint="default"/>
                <w:color w:val="auto"/>
                <w:lang w:val="en-US" w:eastAsia="zh-CN"/>
              </w:rPr>
              <w:t>地下水、土壤环境。原则上不开展环境质量现状调查。建设项目存在土壤、地下水环境污染途径的，应结合污染源、保护目标分布情况开展现状调查以留作背景值。</w:t>
            </w:r>
            <w:r>
              <w:rPr>
                <w:rFonts w:hint="eastAsia"/>
                <w:color w:val="auto"/>
                <w:lang w:val="en-US" w:eastAsia="zh-CN"/>
              </w:rPr>
              <w:t>”</w:t>
            </w:r>
          </w:p>
          <w:p w14:paraId="04291B01">
            <w:pPr>
              <w:rPr>
                <w:rFonts w:hint="default"/>
                <w:color w:val="auto"/>
                <w:lang w:val="en-US" w:eastAsia="zh-CN"/>
              </w:rPr>
            </w:pPr>
            <w:r>
              <w:rPr>
                <w:rFonts w:hint="default"/>
                <w:color w:val="auto"/>
                <w:lang w:val="en-US" w:eastAsia="zh-CN"/>
              </w:rPr>
              <w:t>本项目</w:t>
            </w:r>
            <w:r>
              <w:rPr>
                <w:rFonts w:hint="eastAsia"/>
                <w:color w:val="auto"/>
                <w:lang w:val="en-US" w:eastAsia="zh-CN"/>
              </w:rPr>
              <w:t>厂区已</w:t>
            </w:r>
            <w:r>
              <w:rPr>
                <w:rFonts w:hint="default"/>
                <w:color w:val="auto"/>
                <w:lang w:val="en-US" w:eastAsia="zh-CN"/>
              </w:rPr>
              <w:t>采取相应防渗措施，正常情况下不会污染土壤环境，项目土壤污染途径主要是生产废水事故排放导致污染物下渗进入土壤，造成土壤污染。本项目选址于衡阳市蒸湘区呆鹰岭镇振兴村江家塘组，租赁原兴林砖厂，属工矿用地</w:t>
            </w:r>
            <w:r>
              <w:rPr>
                <w:rFonts w:hint="eastAsia"/>
                <w:color w:val="auto"/>
                <w:lang w:val="en-US" w:eastAsia="zh-CN"/>
              </w:rPr>
              <w:t>，</w:t>
            </w:r>
            <w:r>
              <w:rPr>
                <w:rFonts w:hint="default"/>
                <w:color w:val="auto"/>
                <w:lang w:val="en-US" w:eastAsia="zh-CN"/>
              </w:rPr>
              <w:t>厂房内已进行硬化处理</w:t>
            </w:r>
            <w:r>
              <w:rPr>
                <w:rFonts w:hint="eastAsia"/>
                <w:color w:val="auto"/>
                <w:lang w:val="en-US" w:eastAsia="zh-CN"/>
              </w:rPr>
              <w:t>。</w:t>
            </w:r>
            <w:r>
              <w:rPr>
                <w:rFonts w:hint="default"/>
                <w:color w:val="auto"/>
                <w:lang w:val="en-US" w:eastAsia="zh-CN"/>
              </w:rPr>
              <w:t>因此，本次评价不再重新开展土壤环境质量现状调查。</w:t>
            </w:r>
          </w:p>
        </w:tc>
      </w:tr>
      <w:tr w14:paraId="153007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391" w:type="pct"/>
            <w:noWrap w:val="0"/>
            <w:vAlign w:val="center"/>
          </w:tcPr>
          <w:p w14:paraId="00D5BAC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cs="宋体"/>
                <w:color w:val="auto"/>
                <w:kern w:val="0"/>
                <w:szCs w:val="21"/>
              </w:rPr>
            </w:pPr>
            <w:r>
              <w:rPr>
                <w:rFonts w:hint="eastAsia" w:ascii="宋体" w:hAnsi="宋体" w:cs="宋体"/>
                <w:color w:val="auto"/>
                <w:kern w:val="0"/>
                <w:szCs w:val="21"/>
              </w:rPr>
              <w:t>环境</w:t>
            </w:r>
          </w:p>
          <w:p w14:paraId="0B01B8D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cs="宋体"/>
                <w:color w:val="auto"/>
                <w:kern w:val="0"/>
                <w:szCs w:val="21"/>
              </w:rPr>
            </w:pPr>
            <w:r>
              <w:rPr>
                <w:rFonts w:hint="eastAsia" w:ascii="宋体" w:hAnsi="宋体" w:cs="宋体"/>
                <w:color w:val="auto"/>
                <w:kern w:val="0"/>
                <w:szCs w:val="21"/>
              </w:rPr>
              <w:t>保护</w:t>
            </w:r>
          </w:p>
          <w:p w14:paraId="67419C4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cs="宋体"/>
                <w:color w:val="auto"/>
                <w:kern w:val="0"/>
                <w:szCs w:val="21"/>
              </w:rPr>
            </w:pPr>
            <w:r>
              <w:rPr>
                <w:rFonts w:hint="eastAsia" w:ascii="宋体" w:hAnsi="宋体" w:cs="宋体"/>
                <w:color w:val="auto"/>
                <w:kern w:val="0"/>
                <w:szCs w:val="21"/>
              </w:rPr>
              <w:t>目标</w:t>
            </w:r>
          </w:p>
        </w:tc>
        <w:tc>
          <w:tcPr>
            <w:tcW w:w="4608" w:type="pct"/>
            <w:noWrap w:val="0"/>
            <w:vAlign w:val="center"/>
          </w:tcPr>
          <w:p w14:paraId="64C4770D">
            <w:pPr>
              <w:bidi w:val="0"/>
              <w:rPr>
                <w:rFonts w:hint="eastAsia"/>
                <w:color w:val="auto"/>
                <w:lang w:val="en-US" w:eastAsia="zh-CN"/>
              </w:rPr>
            </w:pPr>
            <w:r>
              <w:rPr>
                <w:rFonts w:hint="default"/>
                <w:color w:val="auto"/>
                <w:lang w:val="en-US" w:eastAsia="zh-CN"/>
              </w:rPr>
              <w:t>本项目选址于衡阳市蒸湘区呆鹰岭镇振兴村江家塘组</w:t>
            </w:r>
            <w:r>
              <w:rPr>
                <w:rFonts w:hint="eastAsia"/>
                <w:color w:val="auto"/>
                <w:lang w:val="en-US" w:eastAsia="zh-CN"/>
              </w:rPr>
              <w:t>，根据现场调查，项目附近地表水主要为蒸水，周围无珍稀动植物和文物保护区。</w:t>
            </w:r>
          </w:p>
          <w:p w14:paraId="1DF15F2B">
            <w:pPr>
              <w:bidi w:val="0"/>
              <w:rPr>
                <w:rFonts w:hint="eastAsia"/>
                <w:color w:val="auto"/>
                <w:lang w:val="en-US" w:eastAsia="zh-CN"/>
              </w:rPr>
            </w:pPr>
            <w:r>
              <w:rPr>
                <w:rFonts w:hint="eastAsia"/>
                <w:color w:val="auto"/>
                <w:lang w:val="en-US" w:eastAsia="zh-CN"/>
              </w:rPr>
              <w:t>本项目主要环境保护目标见表3-2。</w:t>
            </w:r>
          </w:p>
          <w:p w14:paraId="7B8847CE">
            <w:pPr>
              <w:pStyle w:val="18"/>
              <w:bidi w:val="0"/>
              <w:rPr>
                <w:rFonts w:hint="eastAsia"/>
                <w:color w:val="auto"/>
                <w:lang w:val="en-US" w:eastAsia="zh-CN"/>
              </w:rPr>
            </w:pPr>
            <w:r>
              <w:rPr>
                <w:rFonts w:hint="eastAsia"/>
                <w:color w:val="auto"/>
                <w:lang w:val="en-US" w:eastAsia="zh-CN"/>
              </w:rPr>
              <w:t>表3-2 项目主要环境保护目标一览表</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520"/>
              <w:gridCol w:w="1301"/>
              <w:gridCol w:w="1638"/>
              <w:gridCol w:w="3050"/>
            </w:tblGrid>
            <w:tr w14:paraId="5016C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 w:type="pct"/>
                  <w:vAlign w:val="center"/>
                </w:tcPr>
                <w:p w14:paraId="643441CE">
                  <w:pPr>
                    <w:pStyle w:val="17"/>
                    <w:jc w:val="center"/>
                    <w:rPr>
                      <w:rFonts w:hint="default"/>
                      <w:color w:val="auto"/>
                      <w:vertAlign w:val="baseline"/>
                      <w:lang w:val="en-US" w:eastAsia="zh-CN"/>
                    </w:rPr>
                  </w:pPr>
                  <w:r>
                    <w:rPr>
                      <w:rFonts w:hint="eastAsia"/>
                      <w:color w:val="auto"/>
                      <w:vertAlign w:val="baseline"/>
                      <w:lang w:val="en-US" w:eastAsia="zh-CN"/>
                    </w:rPr>
                    <w:t>项目</w:t>
                  </w:r>
                </w:p>
              </w:tc>
              <w:tc>
                <w:tcPr>
                  <w:tcW w:w="929" w:type="pct"/>
                  <w:vAlign w:val="center"/>
                </w:tcPr>
                <w:p w14:paraId="315EB183">
                  <w:pPr>
                    <w:pStyle w:val="17"/>
                    <w:jc w:val="center"/>
                    <w:rPr>
                      <w:rFonts w:hint="default"/>
                      <w:color w:val="auto"/>
                      <w:vertAlign w:val="baseline"/>
                      <w:lang w:val="en-US" w:eastAsia="zh-CN"/>
                    </w:rPr>
                  </w:pPr>
                  <w:r>
                    <w:rPr>
                      <w:rFonts w:hint="eastAsia"/>
                      <w:color w:val="auto"/>
                      <w:vertAlign w:val="baseline"/>
                      <w:lang w:val="en-US" w:eastAsia="zh-CN"/>
                    </w:rPr>
                    <w:t>保护目标</w:t>
                  </w:r>
                </w:p>
              </w:tc>
              <w:tc>
                <w:tcPr>
                  <w:tcW w:w="795" w:type="pct"/>
                  <w:vAlign w:val="center"/>
                </w:tcPr>
                <w:p w14:paraId="1830B514">
                  <w:pPr>
                    <w:pStyle w:val="17"/>
                    <w:jc w:val="center"/>
                    <w:rPr>
                      <w:rFonts w:hint="default"/>
                      <w:color w:val="auto"/>
                      <w:vertAlign w:val="baseline"/>
                      <w:lang w:val="en-US" w:eastAsia="zh-CN"/>
                    </w:rPr>
                  </w:pPr>
                  <w:r>
                    <w:rPr>
                      <w:rFonts w:hint="eastAsia"/>
                      <w:color w:val="auto"/>
                      <w:vertAlign w:val="baseline"/>
                      <w:lang w:val="en-US" w:eastAsia="zh-CN"/>
                    </w:rPr>
                    <w:t>规模、功能</w:t>
                  </w:r>
                </w:p>
              </w:tc>
              <w:tc>
                <w:tcPr>
                  <w:tcW w:w="1001" w:type="pct"/>
                  <w:vAlign w:val="center"/>
                </w:tcPr>
                <w:p w14:paraId="34510D4E">
                  <w:pPr>
                    <w:pStyle w:val="17"/>
                    <w:jc w:val="center"/>
                    <w:rPr>
                      <w:rFonts w:hint="default"/>
                      <w:color w:val="auto"/>
                      <w:vertAlign w:val="baseline"/>
                      <w:lang w:val="en-US" w:eastAsia="zh-CN"/>
                    </w:rPr>
                  </w:pPr>
                  <w:r>
                    <w:rPr>
                      <w:rFonts w:hint="eastAsia"/>
                      <w:color w:val="auto"/>
                      <w:vertAlign w:val="baseline"/>
                      <w:lang w:val="en-US" w:eastAsia="zh-CN"/>
                    </w:rPr>
                    <w:t>对拟建工程厂界方向及距离</w:t>
                  </w:r>
                </w:p>
              </w:tc>
              <w:tc>
                <w:tcPr>
                  <w:tcW w:w="1863" w:type="pct"/>
                  <w:vAlign w:val="center"/>
                </w:tcPr>
                <w:p w14:paraId="03E74C29">
                  <w:pPr>
                    <w:pStyle w:val="17"/>
                    <w:jc w:val="center"/>
                    <w:rPr>
                      <w:rFonts w:hint="default"/>
                      <w:color w:val="auto"/>
                      <w:vertAlign w:val="baseline"/>
                      <w:lang w:val="en-US" w:eastAsia="zh-CN"/>
                    </w:rPr>
                  </w:pPr>
                  <w:r>
                    <w:rPr>
                      <w:rFonts w:hint="eastAsia"/>
                      <w:color w:val="auto"/>
                      <w:vertAlign w:val="baseline"/>
                      <w:lang w:val="en-US" w:eastAsia="zh-CN"/>
                    </w:rPr>
                    <w:t>环境保护区域标准</w:t>
                  </w:r>
                </w:p>
              </w:tc>
            </w:tr>
            <w:tr w14:paraId="316FE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 w:type="pct"/>
                  <w:vMerge w:val="restart"/>
                  <w:vAlign w:val="center"/>
                </w:tcPr>
                <w:p w14:paraId="16CCC708">
                  <w:pPr>
                    <w:pStyle w:val="17"/>
                    <w:jc w:val="center"/>
                    <w:rPr>
                      <w:rFonts w:hint="default"/>
                      <w:color w:val="auto"/>
                      <w:vertAlign w:val="baseline"/>
                      <w:lang w:val="en-US" w:eastAsia="zh-CN"/>
                    </w:rPr>
                  </w:pPr>
                  <w:r>
                    <w:rPr>
                      <w:rFonts w:hint="eastAsia"/>
                      <w:color w:val="auto"/>
                      <w:vertAlign w:val="baseline"/>
                      <w:lang w:val="en-US" w:eastAsia="zh-CN"/>
                    </w:rPr>
                    <w:t>大气环境</w:t>
                  </w:r>
                </w:p>
              </w:tc>
              <w:tc>
                <w:tcPr>
                  <w:tcW w:w="929" w:type="pct"/>
                  <w:vAlign w:val="center"/>
                </w:tcPr>
                <w:p w14:paraId="002A8864">
                  <w:pPr>
                    <w:pStyle w:val="17"/>
                    <w:jc w:val="center"/>
                    <w:rPr>
                      <w:rFonts w:hint="default"/>
                      <w:color w:val="auto"/>
                      <w:vertAlign w:val="baseline"/>
                      <w:lang w:val="en-US" w:eastAsia="zh-CN"/>
                    </w:rPr>
                  </w:pPr>
                  <w:r>
                    <w:rPr>
                      <w:rFonts w:hint="eastAsia"/>
                      <w:color w:val="auto"/>
                      <w:vertAlign w:val="baseline"/>
                      <w:lang w:val="en-US" w:eastAsia="zh-CN"/>
                    </w:rPr>
                    <w:t>瑞德恩国际幼稚园</w:t>
                  </w:r>
                </w:p>
              </w:tc>
              <w:tc>
                <w:tcPr>
                  <w:tcW w:w="795" w:type="pct"/>
                  <w:vAlign w:val="center"/>
                </w:tcPr>
                <w:p w14:paraId="29EA2817">
                  <w:pPr>
                    <w:pStyle w:val="17"/>
                    <w:jc w:val="center"/>
                    <w:rPr>
                      <w:rFonts w:hint="default"/>
                      <w:color w:val="auto"/>
                      <w:vertAlign w:val="baseline"/>
                      <w:lang w:val="en-US" w:eastAsia="zh-CN"/>
                    </w:rPr>
                  </w:pPr>
                  <w:r>
                    <w:rPr>
                      <w:rFonts w:hint="eastAsia"/>
                      <w:color w:val="auto"/>
                      <w:vertAlign w:val="baseline"/>
                      <w:lang w:val="en-US" w:eastAsia="zh-CN"/>
                    </w:rPr>
                    <w:t>教育，约800人</w:t>
                  </w:r>
                </w:p>
              </w:tc>
              <w:tc>
                <w:tcPr>
                  <w:tcW w:w="1001" w:type="pct"/>
                  <w:vAlign w:val="center"/>
                </w:tcPr>
                <w:p w14:paraId="40F97EFC">
                  <w:pPr>
                    <w:pStyle w:val="17"/>
                    <w:jc w:val="center"/>
                    <w:rPr>
                      <w:rFonts w:hint="default"/>
                      <w:color w:val="auto"/>
                      <w:vertAlign w:val="baseline"/>
                      <w:lang w:val="en-US" w:eastAsia="zh-CN"/>
                    </w:rPr>
                  </w:pPr>
                  <w:r>
                    <w:rPr>
                      <w:rFonts w:hint="eastAsia"/>
                      <w:color w:val="auto"/>
                      <w:vertAlign w:val="baseline"/>
                      <w:lang w:val="en-US" w:eastAsia="zh-CN"/>
                    </w:rPr>
                    <w:t>南，435-500m</w:t>
                  </w:r>
                </w:p>
              </w:tc>
              <w:tc>
                <w:tcPr>
                  <w:tcW w:w="1863" w:type="pct"/>
                  <w:vMerge w:val="restart"/>
                  <w:vAlign w:val="center"/>
                </w:tcPr>
                <w:p w14:paraId="640CC1C0">
                  <w:pPr>
                    <w:pStyle w:val="17"/>
                    <w:jc w:val="center"/>
                    <w:rPr>
                      <w:rFonts w:hint="eastAsia"/>
                      <w:color w:val="auto"/>
                      <w:vertAlign w:val="baseline"/>
                      <w:lang w:val="en-US" w:eastAsia="zh-CN"/>
                    </w:rPr>
                  </w:pPr>
                  <w:r>
                    <w:rPr>
                      <w:rFonts w:hint="eastAsia"/>
                      <w:color w:val="auto"/>
                      <w:vertAlign w:val="baseline"/>
                      <w:lang w:val="en-US" w:eastAsia="zh-CN"/>
                    </w:rPr>
                    <w:t>《环境空气质量标准》</w:t>
                  </w:r>
                </w:p>
                <w:p w14:paraId="098C7FF6">
                  <w:pPr>
                    <w:pStyle w:val="17"/>
                    <w:jc w:val="center"/>
                    <w:rPr>
                      <w:rFonts w:hint="default"/>
                      <w:color w:val="auto"/>
                      <w:vertAlign w:val="baseline"/>
                      <w:lang w:val="en-US" w:eastAsia="zh-CN"/>
                    </w:rPr>
                  </w:pPr>
                  <w:r>
                    <w:rPr>
                      <w:rFonts w:hint="eastAsia"/>
                      <w:color w:val="auto"/>
                      <w:vertAlign w:val="baseline"/>
                      <w:lang w:val="en-US" w:eastAsia="zh-CN"/>
                    </w:rPr>
                    <w:t>（GB 3095-2012及2018修改单）二级标准</w:t>
                  </w:r>
                </w:p>
              </w:tc>
            </w:tr>
            <w:tr w14:paraId="41D64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 w:type="pct"/>
                  <w:vMerge w:val="continue"/>
                  <w:vAlign w:val="center"/>
                </w:tcPr>
                <w:p w14:paraId="6A692851">
                  <w:pPr>
                    <w:pStyle w:val="17"/>
                    <w:jc w:val="center"/>
                    <w:rPr>
                      <w:rFonts w:hint="eastAsia"/>
                      <w:color w:val="auto"/>
                      <w:vertAlign w:val="baseline"/>
                      <w:lang w:val="en-US" w:eastAsia="zh-CN"/>
                    </w:rPr>
                  </w:pPr>
                </w:p>
              </w:tc>
              <w:tc>
                <w:tcPr>
                  <w:tcW w:w="929" w:type="pct"/>
                  <w:vAlign w:val="center"/>
                </w:tcPr>
                <w:p w14:paraId="3B4F8797">
                  <w:pPr>
                    <w:pStyle w:val="17"/>
                    <w:jc w:val="center"/>
                    <w:rPr>
                      <w:rFonts w:hint="default"/>
                      <w:color w:val="auto"/>
                      <w:vertAlign w:val="baseline"/>
                      <w:lang w:val="en-US" w:eastAsia="zh-CN"/>
                    </w:rPr>
                  </w:pPr>
                  <w:r>
                    <w:rPr>
                      <w:rFonts w:hint="eastAsia"/>
                      <w:color w:val="auto"/>
                      <w:vertAlign w:val="baseline"/>
                      <w:lang w:val="en-US" w:eastAsia="zh-CN"/>
                    </w:rPr>
                    <w:t>雅宸学校</w:t>
                  </w:r>
                </w:p>
              </w:tc>
              <w:tc>
                <w:tcPr>
                  <w:tcW w:w="795" w:type="pct"/>
                  <w:vAlign w:val="center"/>
                </w:tcPr>
                <w:p w14:paraId="057DCA23">
                  <w:pPr>
                    <w:pStyle w:val="17"/>
                    <w:jc w:val="center"/>
                    <w:rPr>
                      <w:rFonts w:hint="default"/>
                      <w:color w:val="auto"/>
                      <w:vertAlign w:val="baseline"/>
                      <w:lang w:val="en-US" w:eastAsia="zh-CN"/>
                    </w:rPr>
                  </w:pPr>
                  <w:r>
                    <w:rPr>
                      <w:rFonts w:hint="eastAsia"/>
                      <w:color w:val="auto"/>
                      <w:vertAlign w:val="baseline"/>
                      <w:lang w:val="en-US" w:eastAsia="zh-CN"/>
                    </w:rPr>
                    <w:t>教育，约4000人</w:t>
                  </w:r>
                </w:p>
              </w:tc>
              <w:tc>
                <w:tcPr>
                  <w:tcW w:w="1001" w:type="pct"/>
                  <w:vAlign w:val="center"/>
                </w:tcPr>
                <w:p w14:paraId="3828BF4A">
                  <w:pPr>
                    <w:pStyle w:val="17"/>
                    <w:jc w:val="center"/>
                    <w:rPr>
                      <w:rFonts w:hint="default"/>
                      <w:color w:val="auto"/>
                      <w:vertAlign w:val="baseline"/>
                      <w:lang w:val="en-US" w:eastAsia="zh-CN"/>
                    </w:rPr>
                  </w:pPr>
                  <w:r>
                    <w:rPr>
                      <w:rFonts w:hint="eastAsia"/>
                      <w:color w:val="auto"/>
                      <w:vertAlign w:val="baseline"/>
                      <w:lang w:val="en-US" w:eastAsia="zh-CN"/>
                    </w:rPr>
                    <w:t>南，75-210m</w:t>
                  </w:r>
                </w:p>
              </w:tc>
              <w:tc>
                <w:tcPr>
                  <w:tcW w:w="1863" w:type="pct"/>
                  <w:vMerge w:val="continue"/>
                  <w:vAlign w:val="center"/>
                </w:tcPr>
                <w:p w14:paraId="484B5821">
                  <w:pPr>
                    <w:pStyle w:val="17"/>
                    <w:jc w:val="center"/>
                    <w:rPr>
                      <w:rFonts w:hint="eastAsia"/>
                      <w:color w:val="auto"/>
                      <w:vertAlign w:val="baseline"/>
                      <w:lang w:val="en-US" w:eastAsia="zh-CN"/>
                    </w:rPr>
                  </w:pPr>
                </w:p>
              </w:tc>
            </w:tr>
            <w:tr w14:paraId="4A28E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 w:type="pct"/>
                  <w:vMerge w:val="continue"/>
                  <w:vAlign w:val="center"/>
                </w:tcPr>
                <w:p w14:paraId="4FD9B3BD">
                  <w:pPr>
                    <w:pStyle w:val="17"/>
                    <w:jc w:val="center"/>
                    <w:rPr>
                      <w:rFonts w:hint="eastAsia"/>
                      <w:color w:val="auto"/>
                      <w:vertAlign w:val="baseline"/>
                      <w:lang w:val="en-US" w:eastAsia="zh-CN"/>
                    </w:rPr>
                  </w:pPr>
                </w:p>
              </w:tc>
              <w:tc>
                <w:tcPr>
                  <w:tcW w:w="929" w:type="pct"/>
                  <w:vAlign w:val="center"/>
                </w:tcPr>
                <w:p w14:paraId="29C913B2">
                  <w:pPr>
                    <w:pStyle w:val="17"/>
                    <w:jc w:val="center"/>
                    <w:rPr>
                      <w:rFonts w:hint="default"/>
                      <w:color w:val="auto"/>
                      <w:vertAlign w:val="baseline"/>
                      <w:lang w:val="en-US" w:eastAsia="zh-CN"/>
                    </w:rPr>
                  </w:pPr>
                  <w:r>
                    <w:rPr>
                      <w:rFonts w:hint="eastAsia"/>
                      <w:color w:val="auto"/>
                      <w:vertAlign w:val="baseline"/>
                      <w:lang w:val="en-US" w:eastAsia="zh-CN"/>
                    </w:rPr>
                    <w:t>衡阳市菁东中等职业学校</w:t>
                  </w:r>
                </w:p>
              </w:tc>
              <w:tc>
                <w:tcPr>
                  <w:tcW w:w="795" w:type="pct"/>
                  <w:vAlign w:val="center"/>
                </w:tcPr>
                <w:p w14:paraId="2E4D871A">
                  <w:pPr>
                    <w:pStyle w:val="17"/>
                    <w:jc w:val="center"/>
                    <w:rPr>
                      <w:rFonts w:hint="default"/>
                      <w:color w:val="auto"/>
                      <w:vertAlign w:val="baseline"/>
                      <w:lang w:val="en-US" w:eastAsia="zh-CN"/>
                    </w:rPr>
                  </w:pPr>
                  <w:r>
                    <w:rPr>
                      <w:rFonts w:hint="eastAsia"/>
                      <w:color w:val="auto"/>
                      <w:vertAlign w:val="baseline"/>
                      <w:lang w:val="en-US" w:eastAsia="zh-CN"/>
                    </w:rPr>
                    <w:t>教育，约1500人</w:t>
                  </w:r>
                </w:p>
              </w:tc>
              <w:tc>
                <w:tcPr>
                  <w:tcW w:w="1001" w:type="pct"/>
                  <w:vAlign w:val="center"/>
                </w:tcPr>
                <w:p w14:paraId="2A4CEAF6">
                  <w:pPr>
                    <w:pStyle w:val="17"/>
                    <w:jc w:val="center"/>
                    <w:rPr>
                      <w:rFonts w:hint="default"/>
                      <w:color w:val="auto"/>
                      <w:vertAlign w:val="baseline"/>
                      <w:lang w:val="en-US" w:eastAsia="zh-CN"/>
                    </w:rPr>
                  </w:pPr>
                  <w:r>
                    <w:rPr>
                      <w:rFonts w:hint="eastAsia"/>
                      <w:color w:val="auto"/>
                      <w:vertAlign w:val="baseline"/>
                      <w:lang w:val="en-US" w:eastAsia="zh-CN"/>
                    </w:rPr>
                    <w:t>南，180m</w:t>
                  </w:r>
                </w:p>
              </w:tc>
              <w:tc>
                <w:tcPr>
                  <w:tcW w:w="1863" w:type="pct"/>
                  <w:vMerge w:val="continue"/>
                  <w:vAlign w:val="center"/>
                </w:tcPr>
                <w:p w14:paraId="0E5DBF8A">
                  <w:pPr>
                    <w:pStyle w:val="17"/>
                    <w:jc w:val="center"/>
                    <w:rPr>
                      <w:rFonts w:hint="eastAsia"/>
                      <w:color w:val="auto"/>
                      <w:vertAlign w:val="baseline"/>
                      <w:lang w:val="en-US" w:eastAsia="zh-CN"/>
                    </w:rPr>
                  </w:pPr>
                </w:p>
              </w:tc>
            </w:tr>
            <w:tr w14:paraId="5ADC1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 w:type="pct"/>
                  <w:vMerge w:val="continue"/>
                  <w:vAlign w:val="center"/>
                </w:tcPr>
                <w:p w14:paraId="3FE24861">
                  <w:pPr>
                    <w:pStyle w:val="17"/>
                    <w:jc w:val="center"/>
                    <w:rPr>
                      <w:rFonts w:hint="eastAsia"/>
                      <w:color w:val="auto"/>
                      <w:vertAlign w:val="baseline"/>
                      <w:lang w:val="en-US" w:eastAsia="zh-CN"/>
                    </w:rPr>
                  </w:pPr>
                </w:p>
              </w:tc>
              <w:tc>
                <w:tcPr>
                  <w:tcW w:w="929" w:type="pct"/>
                  <w:vAlign w:val="center"/>
                </w:tcPr>
                <w:p w14:paraId="17216F9D">
                  <w:pPr>
                    <w:pStyle w:val="17"/>
                    <w:jc w:val="center"/>
                    <w:rPr>
                      <w:rFonts w:hint="default"/>
                      <w:color w:val="auto"/>
                      <w:vertAlign w:val="baseline"/>
                      <w:lang w:val="en-US" w:eastAsia="zh-CN"/>
                    </w:rPr>
                  </w:pPr>
                  <w:r>
                    <w:rPr>
                      <w:rFonts w:hint="eastAsia"/>
                      <w:color w:val="auto"/>
                      <w:vertAlign w:val="baseline"/>
                      <w:lang w:val="en-US" w:eastAsia="zh-CN"/>
                    </w:rPr>
                    <w:t>金溪小区</w:t>
                  </w:r>
                </w:p>
              </w:tc>
              <w:tc>
                <w:tcPr>
                  <w:tcW w:w="795" w:type="pct"/>
                  <w:vAlign w:val="center"/>
                </w:tcPr>
                <w:p w14:paraId="7C432FFB">
                  <w:pPr>
                    <w:pStyle w:val="17"/>
                    <w:jc w:val="center"/>
                    <w:rPr>
                      <w:rFonts w:hint="default"/>
                      <w:color w:val="auto"/>
                      <w:vertAlign w:val="baseline"/>
                      <w:lang w:val="en-US" w:eastAsia="zh-CN"/>
                    </w:rPr>
                  </w:pPr>
                  <w:r>
                    <w:rPr>
                      <w:rFonts w:hint="eastAsia"/>
                      <w:color w:val="auto"/>
                      <w:vertAlign w:val="baseline"/>
                      <w:lang w:val="en-US" w:eastAsia="zh-CN"/>
                    </w:rPr>
                    <w:t>居民，约200户，800人</w:t>
                  </w:r>
                </w:p>
              </w:tc>
              <w:tc>
                <w:tcPr>
                  <w:tcW w:w="1001" w:type="pct"/>
                  <w:vAlign w:val="center"/>
                </w:tcPr>
                <w:p w14:paraId="509728CF">
                  <w:pPr>
                    <w:pStyle w:val="17"/>
                    <w:jc w:val="center"/>
                    <w:rPr>
                      <w:rFonts w:hint="default"/>
                      <w:color w:val="auto"/>
                      <w:vertAlign w:val="baseline"/>
                      <w:lang w:val="en-US" w:eastAsia="zh-CN"/>
                    </w:rPr>
                  </w:pPr>
                  <w:r>
                    <w:rPr>
                      <w:rFonts w:hint="eastAsia"/>
                      <w:color w:val="auto"/>
                      <w:vertAlign w:val="baseline"/>
                      <w:lang w:val="en-US" w:eastAsia="zh-CN"/>
                    </w:rPr>
                    <w:t>东南，190-340m</w:t>
                  </w:r>
                </w:p>
              </w:tc>
              <w:tc>
                <w:tcPr>
                  <w:tcW w:w="1863" w:type="pct"/>
                  <w:vMerge w:val="continue"/>
                  <w:vAlign w:val="center"/>
                </w:tcPr>
                <w:p w14:paraId="3650C464">
                  <w:pPr>
                    <w:pStyle w:val="17"/>
                    <w:jc w:val="center"/>
                    <w:rPr>
                      <w:rFonts w:hint="eastAsia"/>
                      <w:color w:val="auto"/>
                      <w:vertAlign w:val="baseline"/>
                      <w:lang w:val="en-US" w:eastAsia="zh-CN"/>
                    </w:rPr>
                  </w:pPr>
                </w:p>
              </w:tc>
            </w:tr>
            <w:tr w14:paraId="272EC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 w:type="pct"/>
                  <w:vMerge w:val="continue"/>
                  <w:vAlign w:val="center"/>
                </w:tcPr>
                <w:p w14:paraId="739672D1">
                  <w:pPr>
                    <w:pStyle w:val="17"/>
                    <w:jc w:val="center"/>
                    <w:rPr>
                      <w:rFonts w:hint="eastAsia"/>
                      <w:color w:val="auto"/>
                      <w:vertAlign w:val="baseline"/>
                      <w:lang w:val="en-US" w:eastAsia="zh-CN"/>
                    </w:rPr>
                  </w:pPr>
                </w:p>
              </w:tc>
              <w:tc>
                <w:tcPr>
                  <w:tcW w:w="929" w:type="pct"/>
                  <w:vAlign w:val="center"/>
                </w:tcPr>
                <w:p w14:paraId="55BCEBBA">
                  <w:pPr>
                    <w:pStyle w:val="17"/>
                    <w:jc w:val="center"/>
                    <w:rPr>
                      <w:rFonts w:hint="default"/>
                      <w:color w:val="auto"/>
                      <w:vertAlign w:val="baseline"/>
                      <w:lang w:val="en-US" w:eastAsia="zh-CN"/>
                    </w:rPr>
                  </w:pPr>
                  <w:r>
                    <w:rPr>
                      <w:rFonts w:hint="eastAsia"/>
                      <w:color w:val="auto"/>
                      <w:vertAlign w:val="baseline"/>
                      <w:lang w:val="en-US" w:eastAsia="zh-CN"/>
                    </w:rPr>
                    <w:t>肖家老屋</w:t>
                  </w:r>
                </w:p>
              </w:tc>
              <w:tc>
                <w:tcPr>
                  <w:tcW w:w="795" w:type="pct"/>
                  <w:vAlign w:val="center"/>
                </w:tcPr>
                <w:p w14:paraId="1F56CC40">
                  <w:pPr>
                    <w:pStyle w:val="17"/>
                    <w:jc w:val="center"/>
                    <w:rPr>
                      <w:rFonts w:hint="default"/>
                      <w:color w:val="auto"/>
                      <w:vertAlign w:val="baseline"/>
                      <w:lang w:val="en-US" w:eastAsia="zh-CN"/>
                    </w:rPr>
                  </w:pPr>
                  <w:r>
                    <w:rPr>
                      <w:rFonts w:hint="eastAsia"/>
                      <w:color w:val="auto"/>
                      <w:vertAlign w:val="baseline"/>
                      <w:lang w:val="en-US" w:eastAsia="zh-CN"/>
                    </w:rPr>
                    <w:t>居民，约12户，48人</w:t>
                  </w:r>
                </w:p>
              </w:tc>
              <w:tc>
                <w:tcPr>
                  <w:tcW w:w="1001" w:type="pct"/>
                  <w:vAlign w:val="center"/>
                </w:tcPr>
                <w:p w14:paraId="62AEE093">
                  <w:pPr>
                    <w:pStyle w:val="17"/>
                    <w:jc w:val="center"/>
                    <w:rPr>
                      <w:rFonts w:hint="default"/>
                      <w:color w:val="auto"/>
                      <w:vertAlign w:val="baseline"/>
                      <w:lang w:val="en-US" w:eastAsia="zh-CN"/>
                    </w:rPr>
                  </w:pPr>
                  <w:r>
                    <w:rPr>
                      <w:rFonts w:hint="eastAsia"/>
                      <w:color w:val="auto"/>
                      <w:vertAlign w:val="baseline"/>
                      <w:lang w:val="en-US" w:eastAsia="zh-CN"/>
                    </w:rPr>
                    <w:t>东，40-145m</w:t>
                  </w:r>
                </w:p>
              </w:tc>
              <w:tc>
                <w:tcPr>
                  <w:tcW w:w="1863" w:type="pct"/>
                  <w:vMerge w:val="continue"/>
                  <w:vAlign w:val="center"/>
                </w:tcPr>
                <w:p w14:paraId="73BA44BC">
                  <w:pPr>
                    <w:pStyle w:val="17"/>
                    <w:jc w:val="center"/>
                    <w:rPr>
                      <w:rFonts w:hint="eastAsia"/>
                      <w:color w:val="auto"/>
                      <w:vertAlign w:val="baseline"/>
                      <w:lang w:val="en-US" w:eastAsia="zh-CN"/>
                    </w:rPr>
                  </w:pPr>
                </w:p>
              </w:tc>
            </w:tr>
            <w:tr w14:paraId="13CFF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 w:type="pct"/>
                  <w:vMerge w:val="continue"/>
                  <w:vAlign w:val="center"/>
                </w:tcPr>
                <w:p w14:paraId="7FE7BBE4">
                  <w:pPr>
                    <w:pStyle w:val="17"/>
                    <w:jc w:val="center"/>
                    <w:rPr>
                      <w:rFonts w:hint="eastAsia"/>
                      <w:color w:val="auto"/>
                      <w:vertAlign w:val="baseline"/>
                      <w:lang w:val="en-US" w:eastAsia="zh-CN"/>
                    </w:rPr>
                  </w:pPr>
                </w:p>
              </w:tc>
              <w:tc>
                <w:tcPr>
                  <w:tcW w:w="929" w:type="pct"/>
                  <w:vAlign w:val="center"/>
                </w:tcPr>
                <w:p w14:paraId="472F331E">
                  <w:pPr>
                    <w:pStyle w:val="17"/>
                    <w:jc w:val="center"/>
                    <w:rPr>
                      <w:rFonts w:hint="default"/>
                      <w:color w:val="auto"/>
                      <w:vertAlign w:val="baseline"/>
                      <w:lang w:val="en-US" w:eastAsia="zh-CN"/>
                    </w:rPr>
                  </w:pPr>
                  <w:r>
                    <w:rPr>
                      <w:rFonts w:hint="eastAsia"/>
                      <w:color w:val="auto"/>
                      <w:vertAlign w:val="baseline"/>
                      <w:lang w:val="en-US" w:eastAsia="zh-CN"/>
                    </w:rPr>
                    <w:t>同康老屋</w:t>
                  </w:r>
                </w:p>
              </w:tc>
              <w:tc>
                <w:tcPr>
                  <w:tcW w:w="795" w:type="pct"/>
                  <w:vAlign w:val="center"/>
                </w:tcPr>
                <w:p w14:paraId="6BD879D5">
                  <w:pPr>
                    <w:pStyle w:val="17"/>
                    <w:jc w:val="center"/>
                    <w:rPr>
                      <w:rFonts w:hint="default"/>
                      <w:color w:val="auto"/>
                      <w:vertAlign w:val="baseline"/>
                      <w:lang w:val="en-US" w:eastAsia="zh-CN"/>
                    </w:rPr>
                  </w:pPr>
                  <w:r>
                    <w:rPr>
                      <w:rFonts w:hint="eastAsia"/>
                      <w:color w:val="auto"/>
                      <w:vertAlign w:val="baseline"/>
                      <w:lang w:val="en-US" w:eastAsia="zh-CN"/>
                    </w:rPr>
                    <w:t>居民，约35户，140人</w:t>
                  </w:r>
                </w:p>
              </w:tc>
              <w:tc>
                <w:tcPr>
                  <w:tcW w:w="1001" w:type="pct"/>
                  <w:vAlign w:val="center"/>
                </w:tcPr>
                <w:p w14:paraId="3049A3D5">
                  <w:pPr>
                    <w:pStyle w:val="17"/>
                    <w:jc w:val="center"/>
                    <w:rPr>
                      <w:rFonts w:hint="default"/>
                      <w:color w:val="auto"/>
                      <w:vertAlign w:val="baseline"/>
                      <w:lang w:val="en-US" w:eastAsia="zh-CN"/>
                    </w:rPr>
                  </w:pPr>
                  <w:r>
                    <w:rPr>
                      <w:rFonts w:hint="eastAsia"/>
                      <w:color w:val="auto"/>
                      <w:vertAlign w:val="baseline"/>
                      <w:lang w:val="en-US" w:eastAsia="zh-CN"/>
                    </w:rPr>
                    <w:t>西南，140-355m</w:t>
                  </w:r>
                </w:p>
              </w:tc>
              <w:tc>
                <w:tcPr>
                  <w:tcW w:w="1863" w:type="pct"/>
                  <w:vMerge w:val="continue"/>
                  <w:vAlign w:val="center"/>
                </w:tcPr>
                <w:p w14:paraId="08FCBE06">
                  <w:pPr>
                    <w:pStyle w:val="17"/>
                    <w:jc w:val="center"/>
                    <w:rPr>
                      <w:rFonts w:hint="eastAsia"/>
                      <w:color w:val="auto"/>
                      <w:vertAlign w:val="baseline"/>
                      <w:lang w:val="en-US" w:eastAsia="zh-CN"/>
                    </w:rPr>
                  </w:pPr>
                </w:p>
              </w:tc>
            </w:tr>
            <w:tr w14:paraId="2A7AC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 w:type="pct"/>
                  <w:vMerge w:val="continue"/>
                  <w:vAlign w:val="center"/>
                </w:tcPr>
                <w:p w14:paraId="4819297E">
                  <w:pPr>
                    <w:pStyle w:val="17"/>
                    <w:jc w:val="center"/>
                    <w:rPr>
                      <w:rFonts w:hint="eastAsia"/>
                      <w:color w:val="auto"/>
                      <w:vertAlign w:val="baseline"/>
                      <w:lang w:val="en-US" w:eastAsia="zh-CN"/>
                    </w:rPr>
                  </w:pPr>
                </w:p>
              </w:tc>
              <w:tc>
                <w:tcPr>
                  <w:tcW w:w="929" w:type="pct"/>
                  <w:vAlign w:val="center"/>
                </w:tcPr>
                <w:p w14:paraId="3388E14F">
                  <w:pPr>
                    <w:pStyle w:val="17"/>
                    <w:jc w:val="center"/>
                    <w:rPr>
                      <w:rFonts w:hint="default"/>
                      <w:color w:val="auto"/>
                      <w:vertAlign w:val="baseline"/>
                      <w:lang w:val="en-US" w:eastAsia="zh-CN"/>
                    </w:rPr>
                  </w:pPr>
                  <w:r>
                    <w:rPr>
                      <w:rFonts w:hint="eastAsia"/>
                      <w:color w:val="auto"/>
                      <w:vertAlign w:val="baseline"/>
                      <w:lang w:val="en-US" w:eastAsia="zh-CN"/>
                    </w:rPr>
                    <w:t>同西小学</w:t>
                  </w:r>
                </w:p>
              </w:tc>
              <w:tc>
                <w:tcPr>
                  <w:tcW w:w="795" w:type="pct"/>
                  <w:vAlign w:val="center"/>
                </w:tcPr>
                <w:p w14:paraId="4DC88E46">
                  <w:pPr>
                    <w:pStyle w:val="17"/>
                    <w:jc w:val="center"/>
                    <w:rPr>
                      <w:rFonts w:hint="default"/>
                      <w:color w:val="auto"/>
                      <w:vertAlign w:val="baseline"/>
                      <w:lang w:val="en-US" w:eastAsia="zh-CN"/>
                    </w:rPr>
                  </w:pPr>
                  <w:r>
                    <w:rPr>
                      <w:rFonts w:hint="eastAsia"/>
                      <w:color w:val="auto"/>
                      <w:vertAlign w:val="baseline"/>
                      <w:lang w:val="en-US" w:eastAsia="zh-CN"/>
                    </w:rPr>
                    <w:t>教育，约600人</w:t>
                  </w:r>
                </w:p>
              </w:tc>
              <w:tc>
                <w:tcPr>
                  <w:tcW w:w="1001" w:type="pct"/>
                  <w:vAlign w:val="center"/>
                </w:tcPr>
                <w:p w14:paraId="5DB58E4A">
                  <w:pPr>
                    <w:pStyle w:val="17"/>
                    <w:jc w:val="center"/>
                    <w:rPr>
                      <w:rFonts w:hint="default"/>
                      <w:color w:val="auto"/>
                      <w:vertAlign w:val="baseline"/>
                      <w:lang w:val="en-US" w:eastAsia="zh-CN"/>
                    </w:rPr>
                  </w:pPr>
                  <w:r>
                    <w:rPr>
                      <w:rFonts w:hint="eastAsia"/>
                      <w:color w:val="auto"/>
                      <w:vertAlign w:val="baseline"/>
                      <w:lang w:val="en-US" w:eastAsia="zh-CN"/>
                    </w:rPr>
                    <w:t>南，200-305m</w:t>
                  </w:r>
                </w:p>
              </w:tc>
              <w:tc>
                <w:tcPr>
                  <w:tcW w:w="1863" w:type="pct"/>
                  <w:vMerge w:val="continue"/>
                  <w:vAlign w:val="center"/>
                </w:tcPr>
                <w:p w14:paraId="6ADC13C5">
                  <w:pPr>
                    <w:pStyle w:val="17"/>
                    <w:jc w:val="center"/>
                    <w:rPr>
                      <w:rFonts w:hint="eastAsia"/>
                      <w:color w:val="auto"/>
                      <w:vertAlign w:val="baseline"/>
                      <w:lang w:val="en-US" w:eastAsia="zh-CN"/>
                    </w:rPr>
                  </w:pPr>
                </w:p>
              </w:tc>
            </w:tr>
            <w:tr w14:paraId="3537B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 w:type="pct"/>
                  <w:vMerge w:val="continue"/>
                  <w:vAlign w:val="center"/>
                </w:tcPr>
                <w:p w14:paraId="1A372E36">
                  <w:pPr>
                    <w:pStyle w:val="17"/>
                    <w:jc w:val="center"/>
                    <w:rPr>
                      <w:rFonts w:hint="eastAsia"/>
                      <w:color w:val="auto"/>
                      <w:vertAlign w:val="baseline"/>
                      <w:lang w:val="en-US" w:eastAsia="zh-CN"/>
                    </w:rPr>
                  </w:pPr>
                </w:p>
              </w:tc>
              <w:tc>
                <w:tcPr>
                  <w:tcW w:w="929" w:type="pct"/>
                  <w:vAlign w:val="center"/>
                </w:tcPr>
                <w:p w14:paraId="487EF802">
                  <w:pPr>
                    <w:pStyle w:val="17"/>
                    <w:jc w:val="center"/>
                    <w:rPr>
                      <w:rFonts w:hint="default"/>
                      <w:color w:val="auto"/>
                      <w:vertAlign w:val="baseline"/>
                      <w:lang w:val="en-US" w:eastAsia="zh-CN"/>
                    </w:rPr>
                  </w:pPr>
                  <w:r>
                    <w:rPr>
                      <w:rFonts w:hint="eastAsia"/>
                      <w:color w:val="auto"/>
                      <w:vertAlign w:val="baseline"/>
                      <w:lang w:val="en-US" w:eastAsia="zh-CN"/>
                    </w:rPr>
                    <w:t>江家塘</w:t>
                  </w:r>
                </w:p>
              </w:tc>
              <w:tc>
                <w:tcPr>
                  <w:tcW w:w="795" w:type="pct"/>
                  <w:vAlign w:val="center"/>
                </w:tcPr>
                <w:p w14:paraId="762CF89F">
                  <w:pPr>
                    <w:pStyle w:val="17"/>
                    <w:jc w:val="center"/>
                    <w:rPr>
                      <w:rFonts w:hint="default"/>
                      <w:color w:val="auto"/>
                      <w:vertAlign w:val="baseline"/>
                      <w:lang w:val="en-US" w:eastAsia="zh-CN"/>
                    </w:rPr>
                  </w:pPr>
                  <w:r>
                    <w:rPr>
                      <w:rFonts w:hint="eastAsia"/>
                      <w:color w:val="auto"/>
                      <w:vertAlign w:val="baseline"/>
                      <w:lang w:val="en-US" w:eastAsia="zh-CN"/>
                    </w:rPr>
                    <w:t>居民，约14户，56人</w:t>
                  </w:r>
                </w:p>
              </w:tc>
              <w:tc>
                <w:tcPr>
                  <w:tcW w:w="1001" w:type="pct"/>
                  <w:vAlign w:val="center"/>
                </w:tcPr>
                <w:p w14:paraId="6842CD4A">
                  <w:pPr>
                    <w:pStyle w:val="17"/>
                    <w:jc w:val="center"/>
                    <w:rPr>
                      <w:rFonts w:hint="default"/>
                      <w:color w:val="auto"/>
                      <w:vertAlign w:val="baseline"/>
                      <w:lang w:val="en-US" w:eastAsia="zh-CN"/>
                    </w:rPr>
                  </w:pPr>
                  <w:r>
                    <w:rPr>
                      <w:rFonts w:hint="eastAsia"/>
                      <w:color w:val="auto"/>
                      <w:vertAlign w:val="baseline"/>
                      <w:lang w:val="en-US" w:eastAsia="zh-CN"/>
                    </w:rPr>
                    <w:t>东南，75-175m</w:t>
                  </w:r>
                </w:p>
              </w:tc>
              <w:tc>
                <w:tcPr>
                  <w:tcW w:w="1863" w:type="pct"/>
                  <w:vMerge w:val="continue"/>
                  <w:vAlign w:val="center"/>
                </w:tcPr>
                <w:p w14:paraId="2CC83247">
                  <w:pPr>
                    <w:pStyle w:val="17"/>
                    <w:jc w:val="center"/>
                    <w:rPr>
                      <w:rFonts w:hint="eastAsia"/>
                      <w:color w:val="auto"/>
                      <w:vertAlign w:val="baseline"/>
                      <w:lang w:val="en-US" w:eastAsia="zh-CN"/>
                    </w:rPr>
                  </w:pPr>
                </w:p>
              </w:tc>
            </w:tr>
            <w:tr w14:paraId="3DDC0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 w:type="pct"/>
                  <w:vMerge w:val="continue"/>
                  <w:vAlign w:val="center"/>
                </w:tcPr>
                <w:p w14:paraId="2993606C">
                  <w:pPr>
                    <w:pStyle w:val="17"/>
                    <w:jc w:val="center"/>
                    <w:rPr>
                      <w:rFonts w:hint="eastAsia"/>
                      <w:color w:val="auto"/>
                      <w:vertAlign w:val="baseline"/>
                      <w:lang w:val="en-US" w:eastAsia="zh-CN"/>
                    </w:rPr>
                  </w:pPr>
                </w:p>
              </w:tc>
              <w:tc>
                <w:tcPr>
                  <w:tcW w:w="929" w:type="pct"/>
                  <w:vAlign w:val="center"/>
                </w:tcPr>
                <w:p w14:paraId="5DE654C3">
                  <w:pPr>
                    <w:pStyle w:val="17"/>
                    <w:jc w:val="center"/>
                    <w:rPr>
                      <w:rFonts w:hint="default"/>
                      <w:color w:val="auto"/>
                      <w:vertAlign w:val="baseline"/>
                      <w:lang w:val="en-US" w:eastAsia="zh-CN"/>
                    </w:rPr>
                  </w:pPr>
                  <w:r>
                    <w:rPr>
                      <w:rFonts w:hint="eastAsia"/>
                      <w:color w:val="auto"/>
                      <w:vertAlign w:val="baseline"/>
                      <w:lang w:val="en-US" w:eastAsia="zh-CN"/>
                    </w:rPr>
                    <w:t>袁老屋</w:t>
                  </w:r>
                </w:p>
              </w:tc>
              <w:tc>
                <w:tcPr>
                  <w:tcW w:w="795" w:type="pct"/>
                  <w:vAlign w:val="center"/>
                </w:tcPr>
                <w:p w14:paraId="1A2F9105">
                  <w:pPr>
                    <w:pStyle w:val="17"/>
                    <w:jc w:val="center"/>
                    <w:rPr>
                      <w:rFonts w:hint="default"/>
                      <w:color w:val="auto"/>
                      <w:vertAlign w:val="baseline"/>
                      <w:lang w:val="en-US" w:eastAsia="zh-CN"/>
                    </w:rPr>
                  </w:pPr>
                  <w:r>
                    <w:rPr>
                      <w:rFonts w:hint="eastAsia"/>
                      <w:color w:val="auto"/>
                      <w:vertAlign w:val="baseline"/>
                      <w:lang w:val="en-US" w:eastAsia="zh-CN"/>
                    </w:rPr>
                    <w:t>居民，约12户，48人</w:t>
                  </w:r>
                </w:p>
              </w:tc>
              <w:tc>
                <w:tcPr>
                  <w:tcW w:w="1001" w:type="pct"/>
                  <w:vAlign w:val="center"/>
                </w:tcPr>
                <w:p w14:paraId="263031C6">
                  <w:pPr>
                    <w:pStyle w:val="17"/>
                    <w:jc w:val="center"/>
                    <w:rPr>
                      <w:rFonts w:hint="default"/>
                      <w:color w:val="auto"/>
                      <w:vertAlign w:val="baseline"/>
                      <w:lang w:val="en-US" w:eastAsia="zh-CN"/>
                    </w:rPr>
                  </w:pPr>
                  <w:r>
                    <w:rPr>
                      <w:rFonts w:hint="eastAsia"/>
                      <w:color w:val="auto"/>
                      <w:vertAlign w:val="baseline"/>
                      <w:lang w:val="en-US" w:eastAsia="zh-CN"/>
                    </w:rPr>
                    <w:t>东南，350-500m</w:t>
                  </w:r>
                </w:p>
              </w:tc>
              <w:tc>
                <w:tcPr>
                  <w:tcW w:w="1863" w:type="pct"/>
                  <w:vMerge w:val="continue"/>
                  <w:vAlign w:val="center"/>
                </w:tcPr>
                <w:p w14:paraId="62C87EA8">
                  <w:pPr>
                    <w:pStyle w:val="17"/>
                    <w:jc w:val="center"/>
                    <w:rPr>
                      <w:rFonts w:hint="eastAsia"/>
                      <w:color w:val="auto"/>
                      <w:vertAlign w:val="baseline"/>
                      <w:lang w:val="en-US" w:eastAsia="zh-CN"/>
                    </w:rPr>
                  </w:pPr>
                </w:p>
              </w:tc>
            </w:tr>
            <w:tr w14:paraId="1756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 w:type="pct"/>
                  <w:vMerge w:val="continue"/>
                  <w:vAlign w:val="center"/>
                </w:tcPr>
                <w:p w14:paraId="6098EC83">
                  <w:pPr>
                    <w:pStyle w:val="17"/>
                    <w:jc w:val="center"/>
                    <w:rPr>
                      <w:rFonts w:hint="eastAsia"/>
                      <w:color w:val="auto"/>
                      <w:vertAlign w:val="baseline"/>
                      <w:lang w:val="en-US" w:eastAsia="zh-CN"/>
                    </w:rPr>
                  </w:pPr>
                </w:p>
              </w:tc>
              <w:tc>
                <w:tcPr>
                  <w:tcW w:w="929" w:type="pct"/>
                  <w:vAlign w:val="center"/>
                </w:tcPr>
                <w:p w14:paraId="4D734A22">
                  <w:pPr>
                    <w:pStyle w:val="17"/>
                    <w:jc w:val="center"/>
                    <w:rPr>
                      <w:rFonts w:hint="default"/>
                      <w:color w:val="auto"/>
                      <w:vertAlign w:val="baseline"/>
                      <w:lang w:val="en-US" w:eastAsia="zh-CN"/>
                    </w:rPr>
                  </w:pPr>
                  <w:r>
                    <w:rPr>
                      <w:rFonts w:hint="eastAsia"/>
                      <w:color w:val="auto"/>
                      <w:vertAlign w:val="baseline"/>
                      <w:lang w:val="en-US" w:eastAsia="zh-CN"/>
                    </w:rPr>
                    <w:t>肖老屋</w:t>
                  </w:r>
                </w:p>
              </w:tc>
              <w:tc>
                <w:tcPr>
                  <w:tcW w:w="795" w:type="pct"/>
                  <w:vAlign w:val="center"/>
                </w:tcPr>
                <w:p w14:paraId="10E2B4B8">
                  <w:pPr>
                    <w:pStyle w:val="17"/>
                    <w:jc w:val="center"/>
                    <w:rPr>
                      <w:rFonts w:hint="default"/>
                      <w:color w:val="auto"/>
                      <w:vertAlign w:val="baseline"/>
                      <w:lang w:val="en-US" w:eastAsia="zh-CN"/>
                    </w:rPr>
                  </w:pPr>
                  <w:r>
                    <w:rPr>
                      <w:rFonts w:hint="eastAsia"/>
                      <w:color w:val="auto"/>
                      <w:vertAlign w:val="baseline"/>
                      <w:lang w:val="en-US" w:eastAsia="zh-CN"/>
                    </w:rPr>
                    <w:t>居民，约62户，248人</w:t>
                  </w:r>
                </w:p>
              </w:tc>
              <w:tc>
                <w:tcPr>
                  <w:tcW w:w="1001" w:type="pct"/>
                  <w:vAlign w:val="center"/>
                </w:tcPr>
                <w:p w14:paraId="256E914F">
                  <w:pPr>
                    <w:pStyle w:val="17"/>
                    <w:jc w:val="center"/>
                    <w:rPr>
                      <w:rFonts w:hint="default"/>
                      <w:color w:val="auto"/>
                      <w:vertAlign w:val="baseline"/>
                      <w:lang w:val="en-US" w:eastAsia="zh-CN"/>
                    </w:rPr>
                  </w:pPr>
                  <w:r>
                    <w:rPr>
                      <w:rFonts w:hint="eastAsia"/>
                      <w:color w:val="auto"/>
                      <w:vertAlign w:val="baseline"/>
                      <w:lang w:val="en-US" w:eastAsia="zh-CN"/>
                    </w:rPr>
                    <w:t>南，165-500m</w:t>
                  </w:r>
                </w:p>
              </w:tc>
              <w:tc>
                <w:tcPr>
                  <w:tcW w:w="1863" w:type="pct"/>
                  <w:vMerge w:val="continue"/>
                  <w:vAlign w:val="center"/>
                </w:tcPr>
                <w:p w14:paraId="75AD23DB">
                  <w:pPr>
                    <w:pStyle w:val="17"/>
                    <w:jc w:val="center"/>
                    <w:rPr>
                      <w:rFonts w:hint="eastAsia"/>
                      <w:color w:val="auto"/>
                      <w:vertAlign w:val="baseline"/>
                      <w:lang w:val="en-US" w:eastAsia="zh-CN"/>
                    </w:rPr>
                  </w:pPr>
                </w:p>
              </w:tc>
            </w:tr>
            <w:tr w14:paraId="202EB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 w:type="pct"/>
                  <w:vMerge w:val="continue"/>
                  <w:vAlign w:val="center"/>
                </w:tcPr>
                <w:p w14:paraId="7AA6398C">
                  <w:pPr>
                    <w:pStyle w:val="17"/>
                    <w:jc w:val="center"/>
                    <w:rPr>
                      <w:rFonts w:hint="eastAsia"/>
                      <w:color w:val="auto"/>
                      <w:vertAlign w:val="baseline"/>
                      <w:lang w:val="en-US" w:eastAsia="zh-CN"/>
                    </w:rPr>
                  </w:pPr>
                </w:p>
              </w:tc>
              <w:tc>
                <w:tcPr>
                  <w:tcW w:w="929" w:type="pct"/>
                  <w:vAlign w:val="center"/>
                </w:tcPr>
                <w:p w14:paraId="3CF80AB3">
                  <w:pPr>
                    <w:pStyle w:val="17"/>
                    <w:jc w:val="center"/>
                    <w:rPr>
                      <w:rFonts w:hint="default"/>
                      <w:color w:val="auto"/>
                      <w:vertAlign w:val="baseline"/>
                      <w:lang w:val="en-US" w:eastAsia="zh-CN"/>
                    </w:rPr>
                  </w:pPr>
                  <w:r>
                    <w:rPr>
                      <w:rFonts w:hint="eastAsia"/>
                      <w:color w:val="auto"/>
                      <w:vertAlign w:val="baseline"/>
                      <w:lang w:val="en-US" w:eastAsia="zh-CN"/>
                    </w:rPr>
                    <w:t>袁家皂</w:t>
                  </w:r>
                </w:p>
              </w:tc>
              <w:tc>
                <w:tcPr>
                  <w:tcW w:w="795" w:type="pct"/>
                  <w:vAlign w:val="center"/>
                </w:tcPr>
                <w:p w14:paraId="6130190F">
                  <w:pPr>
                    <w:pStyle w:val="17"/>
                    <w:jc w:val="center"/>
                    <w:rPr>
                      <w:rFonts w:hint="default"/>
                      <w:color w:val="auto"/>
                      <w:vertAlign w:val="baseline"/>
                      <w:lang w:val="en-US" w:eastAsia="zh-CN"/>
                    </w:rPr>
                  </w:pPr>
                  <w:r>
                    <w:rPr>
                      <w:rFonts w:hint="eastAsia"/>
                      <w:color w:val="auto"/>
                      <w:vertAlign w:val="baseline"/>
                      <w:lang w:val="en-US" w:eastAsia="zh-CN"/>
                    </w:rPr>
                    <w:t>居民，约32户，128人</w:t>
                  </w:r>
                </w:p>
              </w:tc>
              <w:tc>
                <w:tcPr>
                  <w:tcW w:w="1001" w:type="pct"/>
                  <w:vAlign w:val="center"/>
                </w:tcPr>
                <w:p w14:paraId="338B4AE1">
                  <w:pPr>
                    <w:pStyle w:val="17"/>
                    <w:jc w:val="center"/>
                    <w:rPr>
                      <w:rFonts w:hint="default"/>
                      <w:color w:val="auto"/>
                      <w:vertAlign w:val="baseline"/>
                      <w:lang w:val="en-US" w:eastAsia="zh-CN"/>
                    </w:rPr>
                  </w:pPr>
                  <w:r>
                    <w:rPr>
                      <w:rFonts w:hint="eastAsia"/>
                      <w:color w:val="auto"/>
                      <w:vertAlign w:val="baseline"/>
                      <w:lang w:val="en-US" w:eastAsia="zh-CN"/>
                    </w:rPr>
                    <w:t>南，225-500m</w:t>
                  </w:r>
                </w:p>
              </w:tc>
              <w:tc>
                <w:tcPr>
                  <w:tcW w:w="1863" w:type="pct"/>
                  <w:vMerge w:val="continue"/>
                  <w:vAlign w:val="center"/>
                </w:tcPr>
                <w:p w14:paraId="70AF6CE4">
                  <w:pPr>
                    <w:pStyle w:val="17"/>
                    <w:jc w:val="center"/>
                    <w:rPr>
                      <w:rFonts w:hint="eastAsia"/>
                      <w:color w:val="auto"/>
                      <w:vertAlign w:val="baseline"/>
                      <w:lang w:val="en-US" w:eastAsia="zh-CN"/>
                    </w:rPr>
                  </w:pPr>
                </w:p>
              </w:tc>
            </w:tr>
            <w:tr w14:paraId="0A002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 w:type="pct"/>
                  <w:vMerge w:val="continue"/>
                  <w:vAlign w:val="center"/>
                </w:tcPr>
                <w:p w14:paraId="77672E7F">
                  <w:pPr>
                    <w:pStyle w:val="17"/>
                    <w:jc w:val="center"/>
                    <w:rPr>
                      <w:rFonts w:hint="eastAsia"/>
                      <w:color w:val="auto"/>
                      <w:vertAlign w:val="baseline"/>
                      <w:lang w:val="en-US" w:eastAsia="zh-CN"/>
                    </w:rPr>
                  </w:pPr>
                </w:p>
              </w:tc>
              <w:tc>
                <w:tcPr>
                  <w:tcW w:w="929" w:type="pct"/>
                  <w:vAlign w:val="center"/>
                </w:tcPr>
                <w:p w14:paraId="34E481EA">
                  <w:pPr>
                    <w:pStyle w:val="17"/>
                    <w:jc w:val="center"/>
                    <w:rPr>
                      <w:rFonts w:hint="default"/>
                      <w:color w:val="auto"/>
                      <w:vertAlign w:val="baseline"/>
                      <w:lang w:val="en-US" w:eastAsia="zh-CN"/>
                    </w:rPr>
                  </w:pPr>
                  <w:r>
                    <w:rPr>
                      <w:rFonts w:hint="eastAsia"/>
                      <w:color w:val="auto"/>
                      <w:vertAlign w:val="baseline"/>
                      <w:lang w:val="en-US" w:eastAsia="zh-CN"/>
                    </w:rPr>
                    <w:t>水桶岭</w:t>
                  </w:r>
                </w:p>
              </w:tc>
              <w:tc>
                <w:tcPr>
                  <w:tcW w:w="795" w:type="pct"/>
                  <w:vAlign w:val="center"/>
                </w:tcPr>
                <w:p w14:paraId="73C7FE80">
                  <w:pPr>
                    <w:pStyle w:val="17"/>
                    <w:jc w:val="center"/>
                    <w:rPr>
                      <w:rFonts w:hint="default"/>
                      <w:color w:val="auto"/>
                      <w:vertAlign w:val="baseline"/>
                      <w:lang w:val="en-US" w:eastAsia="zh-CN"/>
                    </w:rPr>
                  </w:pPr>
                  <w:r>
                    <w:rPr>
                      <w:rFonts w:hint="eastAsia"/>
                      <w:color w:val="auto"/>
                      <w:vertAlign w:val="baseline"/>
                      <w:lang w:val="en-US" w:eastAsia="zh-CN"/>
                    </w:rPr>
                    <w:t>居民，约30户，120人</w:t>
                  </w:r>
                </w:p>
              </w:tc>
              <w:tc>
                <w:tcPr>
                  <w:tcW w:w="1001" w:type="pct"/>
                  <w:vAlign w:val="center"/>
                </w:tcPr>
                <w:p w14:paraId="4F8756F2">
                  <w:pPr>
                    <w:pStyle w:val="17"/>
                    <w:jc w:val="center"/>
                    <w:rPr>
                      <w:rFonts w:hint="default"/>
                      <w:color w:val="auto"/>
                      <w:vertAlign w:val="baseline"/>
                      <w:lang w:val="en-US" w:eastAsia="zh-CN"/>
                    </w:rPr>
                  </w:pPr>
                  <w:r>
                    <w:rPr>
                      <w:rFonts w:hint="eastAsia"/>
                      <w:color w:val="auto"/>
                      <w:vertAlign w:val="baseline"/>
                      <w:lang w:val="en-US" w:eastAsia="zh-CN"/>
                    </w:rPr>
                    <w:t>西，235-500m</w:t>
                  </w:r>
                </w:p>
              </w:tc>
              <w:tc>
                <w:tcPr>
                  <w:tcW w:w="1863" w:type="pct"/>
                  <w:vMerge w:val="continue"/>
                  <w:vAlign w:val="center"/>
                </w:tcPr>
                <w:p w14:paraId="72318ABE">
                  <w:pPr>
                    <w:pStyle w:val="17"/>
                    <w:jc w:val="center"/>
                    <w:rPr>
                      <w:rFonts w:hint="eastAsia"/>
                      <w:color w:val="auto"/>
                      <w:vertAlign w:val="baseline"/>
                      <w:lang w:val="en-US" w:eastAsia="zh-CN"/>
                    </w:rPr>
                  </w:pPr>
                </w:p>
              </w:tc>
            </w:tr>
            <w:tr w14:paraId="01FC1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 w:type="pct"/>
                  <w:vMerge w:val="continue"/>
                  <w:vAlign w:val="center"/>
                </w:tcPr>
                <w:p w14:paraId="6A21BB19">
                  <w:pPr>
                    <w:pStyle w:val="17"/>
                    <w:jc w:val="center"/>
                    <w:rPr>
                      <w:rFonts w:hint="eastAsia"/>
                      <w:color w:val="auto"/>
                      <w:vertAlign w:val="baseline"/>
                      <w:lang w:val="en-US" w:eastAsia="zh-CN"/>
                    </w:rPr>
                  </w:pPr>
                </w:p>
              </w:tc>
              <w:tc>
                <w:tcPr>
                  <w:tcW w:w="929" w:type="pct"/>
                  <w:vAlign w:val="center"/>
                </w:tcPr>
                <w:p w14:paraId="7C2EEFFB">
                  <w:pPr>
                    <w:pStyle w:val="17"/>
                    <w:jc w:val="center"/>
                    <w:rPr>
                      <w:rFonts w:hint="default"/>
                      <w:color w:val="auto"/>
                      <w:vertAlign w:val="baseline"/>
                      <w:lang w:val="en-US" w:eastAsia="zh-CN"/>
                    </w:rPr>
                  </w:pPr>
                  <w:r>
                    <w:rPr>
                      <w:rFonts w:hint="eastAsia"/>
                      <w:color w:val="auto"/>
                      <w:vertAlign w:val="baseline"/>
                      <w:lang w:val="en-US" w:eastAsia="zh-CN"/>
                    </w:rPr>
                    <w:t>小腰塘</w:t>
                  </w:r>
                </w:p>
              </w:tc>
              <w:tc>
                <w:tcPr>
                  <w:tcW w:w="795" w:type="pct"/>
                  <w:vAlign w:val="center"/>
                </w:tcPr>
                <w:p w14:paraId="1F734EED">
                  <w:pPr>
                    <w:pStyle w:val="17"/>
                    <w:jc w:val="center"/>
                    <w:rPr>
                      <w:rFonts w:hint="default"/>
                      <w:color w:val="auto"/>
                      <w:vertAlign w:val="baseline"/>
                      <w:lang w:val="en-US" w:eastAsia="zh-CN"/>
                    </w:rPr>
                  </w:pPr>
                  <w:r>
                    <w:rPr>
                      <w:rFonts w:hint="eastAsia"/>
                      <w:color w:val="auto"/>
                      <w:vertAlign w:val="baseline"/>
                      <w:lang w:val="en-US" w:eastAsia="zh-CN"/>
                    </w:rPr>
                    <w:t>居民，约28户，112人</w:t>
                  </w:r>
                </w:p>
              </w:tc>
              <w:tc>
                <w:tcPr>
                  <w:tcW w:w="1001" w:type="pct"/>
                  <w:vAlign w:val="center"/>
                </w:tcPr>
                <w:p w14:paraId="249AFB94">
                  <w:pPr>
                    <w:pStyle w:val="17"/>
                    <w:jc w:val="center"/>
                    <w:rPr>
                      <w:rFonts w:hint="default"/>
                      <w:color w:val="auto"/>
                      <w:vertAlign w:val="baseline"/>
                      <w:lang w:val="en-US" w:eastAsia="zh-CN"/>
                    </w:rPr>
                  </w:pPr>
                  <w:r>
                    <w:rPr>
                      <w:rFonts w:hint="eastAsia"/>
                      <w:color w:val="auto"/>
                      <w:vertAlign w:val="baseline"/>
                      <w:lang w:val="en-US" w:eastAsia="zh-CN"/>
                    </w:rPr>
                    <w:t>西北，55-480m</w:t>
                  </w:r>
                </w:p>
              </w:tc>
              <w:tc>
                <w:tcPr>
                  <w:tcW w:w="1863" w:type="pct"/>
                  <w:vMerge w:val="continue"/>
                  <w:vAlign w:val="center"/>
                </w:tcPr>
                <w:p w14:paraId="24492EE8">
                  <w:pPr>
                    <w:pStyle w:val="17"/>
                    <w:jc w:val="center"/>
                    <w:rPr>
                      <w:rFonts w:hint="eastAsia"/>
                      <w:color w:val="auto"/>
                      <w:vertAlign w:val="baseline"/>
                      <w:lang w:val="en-US" w:eastAsia="zh-CN"/>
                    </w:rPr>
                  </w:pPr>
                </w:p>
              </w:tc>
            </w:tr>
            <w:tr w14:paraId="3E22D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 w:type="pct"/>
                  <w:vMerge w:val="continue"/>
                  <w:vAlign w:val="center"/>
                </w:tcPr>
                <w:p w14:paraId="15325F20">
                  <w:pPr>
                    <w:pStyle w:val="17"/>
                    <w:jc w:val="center"/>
                    <w:rPr>
                      <w:rFonts w:hint="eastAsia"/>
                      <w:color w:val="auto"/>
                      <w:vertAlign w:val="baseline"/>
                      <w:lang w:val="en-US" w:eastAsia="zh-CN"/>
                    </w:rPr>
                  </w:pPr>
                </w:p>
              </w:tc>
              <w:tc>
                <w:tcPr>
                  <w:tcW w:w="929" w:type="pct"/>
                  <w:vAlign w:val="center"/>
                </w:tcPr>
                <w:p w14:paraId="2D37B3FF">
                  <w:pPr>
                    <w:pStyle w:val="17"/>
                    <w:jc w:val="center"/>
                    <w:rPr>
                      <w:rFonts w:hint="default"/>
                      <w:color w:val="auto"/>
                      <w:vertAlign w:val="baseline"/>
                      <w:lang w:val="en-US" w:eastAsia="zh-CN"/>
                    </w:rPr>
                  </w:pPr>
                  <w:r>
                    <w:rPr>
                      <w:rFonts w:hint="eastAsia"/>
                      <w:color w:val="auto"/>
                      <w:vertAlign w:val="baseline"/>
                      <w:lang w:val="en-US" w:eastAsia="zh-CN"/>
                    </w:rPr>
                    <w:t>周家垅</w:t>
                  </w:r>
                </w:p>
              </w:tc>
              <w:tc>
                <w:tcPr>
                  <w:tcW w:w="795" w:type="pct"/>
                  <w:vAlign w:val="center"/>
                </w:tcPr>
                <w:p w14:paraId="099DA5BE">
                  <w:pPr>
                    <w:pStyle w:val="17"/>
                    <w:jc w:val="center"/>
                    <w:rPr>
                      <w:rFonts w:hint="default"/>
                      <w:color w:val="auto"/>
                      <w:vertAlign w:val="baseline"/>
                      <w:lang w:val="en-US" w:eastAsia="zh-CN"/>
                    </w:rPr>
                  </w:pPr>
                  <w:r>
                    <w:rPr>
                      <w:rFonts w:hint="eastAsia"/>
                      <w:color w:val="auto"/>
                      <w:vertAlign w:val="baseline"/>
                      <w:lang w:val="en-US" w:eastAsia="zh-CN"/>
                    </w:rPr>
                    <w:t>居民，约20户，80人</w:t>
                  </w:r>
                </w:p>
              </w:tc>
              <w:tc>
                <w:tcPr>
                  <w:tcW w:w="1001" w:type="pct"/>
                  <w:vAlign w:val="center"/>
                </w:tcPr>
                <w:p w14:paraId="17F09053">
                  <w:pPr>
                    <w:pStyle w:val="17"/>
                    <w:jc w:val="center"/>
                    <w:rPr>
                      <w:rFonts w:hint="default"/>
                      <w:color w:val="auto"/>
                      <w:vertAlign w:val="baseline"/>
                      <w:lang w:val="en-US" w:eastAsia="zh-CN"/>
                    </w:rPr>
                  </w:pPr>
                  <w:r>
                    <w:rPr>
                      <w:rFonts w:hint="eastAsia"/>
                      <w:color w:val="auto"/>
                      <w:vertAlign w:val="baseline"/>
                      <w:lang w:val="en-US" w:eastAsia="zh-CN"/>
                    </w:rPr>
                    <w:t>西北，40-310m</w:t>
                  </w:r>
                </w:p>
              </w:tc>
              <w:tc>
                <w:tcPr>
                  <w:tcW w:w="1863" w:type="pct"/>
                  <w:vMerge w:val="continue"/>
                  <w:vAlign w:val="center"/>
                </w:tcPr>
                <w:p w14:paraId="4E2663F3">
                  <w:pPr>
                    <w:pStyle w:val="17"/>
                    <w:jc w:val="center"/>
                    <w:rPr>
                      <w:rFonts w:hint="eastAsia"/>
                      <w:color w:val="auto"/>
                      <w:vertAlign w:val="baseline"/>
                      <w:lang w:val="en-US" w:eastAsia="zh-CN"/>
                    </w:rPr>
                  </w:pPr>
                </w:p>
              </w:tc>
            </w:tr>
            <w:tr w14:paraId="09B38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 w:type="pct"/>
                  <w:vMerge w:val="continue"/>
                  <w:vAlign w:val="center"/>
                </w:tcPr>
                <w:p w14:paraId="3DE74F6A">
                  <w:pPr>
                    <w:pStyle w:val="17"/>
                    <w:jc w:val="center"/>
                    <w:rPr>
                      <w:rFonts w:hint="eastAsia"/>
                      <w:color w:val="auto"/>
                      <w:vertAlign w:val="baseline"/>
                      <w:lang w:val="en-US" w:eastAsia="zh-CN"/>
                    </w:rPr>
                  </w:pPr>
                </w:p>
              </w:tc>
              <w:tc>
                <w:tcPr>
                  <w:tcW w:w="929" w:type="pct"/>
                  <w:vAlign w:val="center"/>
                </w:tcPr>
                <w:p w14:paraId="6C7387B9">
                  <w:pPr>
                    <w:pStyle w:val="17"/>
                    <w:jc w:val="center"/>
                    <w:rPr>
                      <w:rFonts w:hint="default"/>
                      <w:color w:val="auto"/>
                      <w:vertAlign w:val="baseline"/>
                      <w:lang w:val="en-US" w:eastAsia="zh-CN"/>
                    </w:rPr>
                  </w:pPr>
                  <w:r>
                    <w:rPr>
                      <w:rFonts w:hint="eastAsia"/>
                      <w:color w:val="auto"/>
                      <w:vertAlign w:val="baseline"/>
                      <w:lang w:val="en-US" w:eastAsia="zh-CN"/>
                    </w:rPr>
                    <w:t>肖瓦屋组</w:t>
                  </w:r>
                </w:p>
              </w:tc>
              <w:tc>
                <w:tcPr>
                  <w:tcW w:w="795" w:type="pct"/>
                  <w:vAlign w:val="center"/>
                </w:tcPr>
                <w:p w14:paraId="7AC1DEB9">
                  <w:pPr>
                    <w:pStyle w:val="17"/>
                    <w:jc w:val="center"/>
                    <w:rPr>
                      <w:rFonts w:hint="default"/>
                      <w:color w:val="auto"/>
                      <w:vertAlign w:val="baseline"/>
                      <w:lang w:val="en-US" w:eastAsia="zh-CN"/>
                    </w:rPr>
                  </w:pPr>
                  <w:r>
                    <w:rPr>
                      <w:rFonts w:hint="eastAsia"/>
                      <w:color w:val="auto"/>
                      <w:vertAlign w:val="baseline"/>
                      <w:lang w:val="en-US" w:eastAsia="zh-CN"/>
                    </w:rPr>
                    <w:t>居民，约12户，48人</w:t>
                  </w:r>
                </w:p>
              </w:tc>
              <w:tc>
                <w:tcPr>
                  <w:tcW w:w="1001" w:type="pct"/>
                  <w:vAlign w:val="center"/>
                </w:tcPr>
                <w:p w14:paraId="5F861595">
                  <w:pPr>
                    <w:pStyle w:val="17"/>
                    <w:jc w:val="center"/>
                    <w:rPr>
                      <w:rFonts w:hint="default"/>
                      <w:color w:val="auto"/>
                      <w:vertAlign w:val="baseline"/>
                      <w:lang w:val="en-US" w:eastAsia="zh-CN"/>
                    </w:rPr>
                  </w:pPr>
                  <w:r>
                    <w:rPr>
                      <w:rFonts w:hint="eastAsia"/>
                      <w:color w:val="auto"/>
                      <w:vertAlign w:val="baseline"/>
                      <w:lang w:val="en-US" w:eastAsia="zh-CN"/>
                    </w:rPr>
                    <w:t>东北，140-430m</w:t>
                  </w:r>
                </w:p>
              </w:tc>
              <w:tc>
                <w:tcPr>
                  <w:tcW w:w="1863" w:type="pct"/>
                  <w:vMerge w:val="continue"/>
                  <w:vAlign w:val="center"/>
                </w:tcPr>
                <w:p w14:paraId="4488FC1E">
                  <w:pPr>
                    <w:pStyle w:val="17"/>
                    <w:jc w:val="center"/>
                    <w:rPr>
                      <w:rFonts w:hint="eastAsia"/>
                      <w:color w:val="auto"/>
                      <w:vertAlign w:val="baseline"/>
                      <w:lang w:val="en-US" w:eastAsia="zh-CN"/>
                    </w:rPr>
                  </w:pPr>
                </w:p>
              </w:tc>
            </w:tr>
            <w:tr w14:paraId="3AE3E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 w:type="pct"/>
                  <w:vMerge w:val="continue"/>
                  <w:vAlign w:val="center"/>
                </w:tcPr>
                <w:p w14:paraId="28372782">
                  <w:pPr>
                    <w:pStyle w:val="17"/>
                    <w:jc w:val="center"/>
                    <w:rPr>
                      <w:rFonts w:hint="eastAsia"/>
                      <w:color w:val="auto"/>
                      <w:vertAlign w:val="baseline"/>
                      <w:lang w:val="en-US" w:eastAsia="zh-CN"/>
                    </w:rPr>
                  </w:pPr>
                </w:p>
              </w:tc>
              <w:tc>
                <w:tcPr>
                  <w:tcW w:w="929" w:type="pct"/>
                  <w:vAlign w:val="center"/>
                </w:tcPr>
                <w:p w14:paraId="48AF90DF">
                  <w:pPr>
                    <w:pStyle w:val="17"/>
                    <w:jc w:val="center"/>
                    <w:rPr>
                      <w:rFonts w:hint="default"/>
                      <w:color w:val="auto"/>
                      <w:vertAlign w:val="baseline"/>
                      <w:lang w:val="en-US" w:eastAsia="zh-CN"/>
                    </w:rPr>
                  </w:pPr>
                  <w:r>
                    <w:rPr>
                      <w:rFonts w:hint="eastAsia"/>
                      <w:color w:val="auto"/>
                      <w:vertAlign w:val="baseline"/>
                      <w:lang w:val="en-US" w:eastAsia="zh-CN"/>
                    </w:rPr>
                    <w:t>邹骨头</w:t>
                  </w:r>
                </w:p>
              </w:tc>
              <w:tc>
                <w:tcPr>
                  <w:tcW w:w="795" w:type="pct"/>
                  <w:vAlign w:val="center"/>
                </w:tcPr>
                <w:p w14:paraId="7ED409DC">
                  <w:pPr>
                    <w:pStyle w:val="17"/>
                    <w:jc w:val="center"/>
                    <w:rPr>
                      <w:rFonts w:hint="default"/>
                      <w:color w:val="auto"/>
                      <w:vertAlign w:val="baseline"/>
                      <w:lang w:val="en-US" w:eastAsia="zh-CN"/>
                    </w:rPr>
                  </w:pPr>
                  <w:r>
                    <w:rPr>
                      <w:rFonts w:hint="eastAsia"/>
                      <w:color w:val="auto"/>
                      <w:vertAlign w:val="baseline"/>
                      <w:lang w:val="en-US" w:eastAsia="zh-CN"/>
                    </w:rPr>
                    <w:t>居民，约14户，56人</w:t>
                  </w:r>
                </w:p>
              </w:tc>
              <w:tc>
                <w:tcPr>
                  <w:tcW w:w="1001" w:type="pct"/>
                  <w:vAlign w:val="center"/>
                </w:tcPr>
                <w:p w14:paraId="73F89198">
                  <w:pPr>
                    <w:pStyle w:val="17"/>
                    <w:jc w:val="center"/>
                    <w:rPr>
                      <w:rFonts w:hint="default"/>
                      <w:color w:val="auto"/>
                      <w:vertAlign w:val="baseline"/>
                      <w:lang w:val="en-US" w:eastAsia="zh-CN"/>
                    </w:rPr>
                  </w:pPr>
                  <w:r>
                    <w:rPr>
                      <w:rFonts w:hint="eastAsia"/>
                      <w:color w:val="auto"/>
                      <w:vertAlign w:val="baseline"/>
                      <w:lang w:val="en-US" w:eastAsia="zh-CN"/>
                    </w:rPr>
                    <w:t>东，385-500m</w:t>
                  </w:r>
                </w:p>
              </w:tc>
              <w:tc>
                <w:tcPr>
                  <w:tcW w:w="1863" w:type="pct"/>
                  <w:vMerge w:val="continue"/>
                  <w:vAlign w:val="center"/>
                </w:tcPr>
                <w:p w14:paraId="71528BC8">
                  <w:pPr>
                    <w:pStyle w:val="17"/>
                    <w:jc w:val="center"/>
                    <w:rPr>
                      <w:rFonts w:hint="eastAsia"/>
                      <w:color w:val="auto"/>
                      <w:vertAlign w:val="baseline"/>
                      <w:lang w:val="en-US" w:eastAsia="zh-CN"/>
                    </w:rPr>
                  </w:pPr>
                </w:p>
              </w:tc>
            </w:tr>
            <w:tr w14:paraId="686AC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 w:type="pct"/>
                  <w:vMerge w:val="continue"/>
                  <w:vAlign w:val="center"/>
                </w:tcPr>
                <w:p w14:paraId="14D02CD7">
                  <w:pPr>
                    <w:pStyle w:val="17"/>
                    <w:jc w:val="center"/>
                    <w:rPr>
                      <w:rFonts w:hint="eastAsia"/>
                      <w:color w:val="auto"/>
                      <w:vertAlign w:val="baseline"/>
                      <w:lang w:val="en-US" w:eastAsia="zh-CN"/>
                    </w:rPr>
                  </w:pPr>
                </w:p>
              </w:tc>
              <w:tc>
                <w:tcPr>
                  <w:tcW w:w="929" w:type="pct"/>
                  <w:vAlign w:val="center"/>
                </w:tcPr>
                <w:p w14:paraId="6821AC65">
                  <w:pPr>
                    <w:pStyle w:val="17"/>
                    <w:jc w:val="center"/>
                    <w:rPr>
                      <w:rFonts w:hint="default"/>
                      <w:color w:val="auto"/>
                      <w:vertAlign w:val="baseline"/>
                      <w:lang w:val="en-US" w:eastAsia="zh-CN"/>
                    </w:rPr>
                  </w:pPr>
                  <w:r>
                    <w:rPr>
                      <w:rFonts w:hint="eastAsia"/>
                      <w:color w:val="auto"/>
                      <w:vertAlign w:val="baseline"/>
                      <w:lang w:val="en-US" w:eastAsia="zh-CN"/>
                    </w:rPr>
                    <w:t>彭家冲</w:t>
                  </w:r>
                </w:p>
              </w:tc>
              <w:tc>
                <w:tcPr>
                  <w:tcW w:w="795" w:type="pct"/>
                  <w:vAlign w:val="center"/>
                </w:tcPr>
                <w:p w14:paraId="75FAE528">
                  <w:pPr>
                    <w:pStyle w:val="17"/>
                    <w:jc w:val="center"/>
                    <w:rPr>
                      <w:rFonts w:hint="default"/>
                      <w:color w:val="auto"/>
                      <w:vertAlign w:val="baseline"/>
                      <w:lang w:val="en-US" w:eastAsia="zh-CN"/>
                    </w:rPr>
                  </w:pPr>
                  <w:r>
                    <w:rPr>
                      <w:rFonts w:hint="eastAsia"/>
                      <w:color w:val="auto"/>
                      <w:vertAlign w:val="baseline"/>
                      <w:lang w:val="en-US" w:eastAsia="zh-CN"/>
                    </w:rPr>
                    <w:t>居民，约13户，52人</w:t>
                  </w:r>
                </w:p>
              </w:tc>
              <w:tc>
                <w:tcPr>
                  <w:tcW w:w="1001" w:type="pct"/>
                  <w:vAlign w:val="center"/>
                </w:tcPr>
                <w:p w14:paraId="2834C41F">
                  <w:pPr>
                    <w:pStyle w:val="17"/>
                    <w:jc w:val="center"/>
                    <w:rPr>
                      <w:rFonts w:hint="default"/>
                      <w:color w:val="auto"/>
                      <w:vertAlign w:val="baseline"/>
                      <w:lang w:val="en-US" w:eastAsia="zh-CN"/>
                    </w:rPr>
                  </w:pPr>
                  <w:r>
                    <w:rPr>
                      <w:rFonts w:hint="eastAsia"/>
                      <w:color w:val="auto"/>
                      <w:vertAlign w:val="baseline"/>
                      <w:lang w:val="en-US" w:eastAsia="zh-CN"/>
                    </w:rPr>
                    <w:t>东北，360-500m</w:t>
                  </w:r>
                </w:p>
              </w:tc>
              <w:tc>
                <w:tcPr>
                  <w:tcW w:w="1863" w:type="pct"/>
                  <w:vMerge w:val="continue"/>
                  <w:vAlign w:val="center"/>
                </w:tcPr>
                <w:p w14:paraId="4303DCCF">
                  <w:pPr>
                    <w:pStyle w:val="17"/>
                    <w:jc w:val="center"/>
                    <w:rPr>
                      <w:rFonts w:hint="eastAsia"/>
                      <w:color w:val="auto"/>
                      <w:vertAlign w:val="baseline"/>
                      <w:lang w:val="en-US" w:eastAsia="zh-CN"/>
                    </w:rPr>
                  </w:pPr>
                </w:p>
              </w:tc>
            </w:tr>
            <w:tr w14:paraId="72ADF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410" w:type="pct"/>
                  <w:vMerge w:val="restart"/>
                  <w:vAlign w:val="center"/>
                </w:tcPr>
                <w:p w14:paraId="3D3D390D">
                  <w:pPr>
                    <w:pStyle w:val="17"/>
                    <w:jc w:val="center"/>
                    <w:rPr>
                      <w:rFonts w:hint="default"/>
                      <w:color w:val="auto"/>
                      <w:vertAlign w:val="baseline"/>
                      <w:lang w:val="en-US" w:eastAsia="zh-CN"/>
                    </w:rPr>
                  </w:pPr>
                  <w:r>
                    <w:rPr>
                      <w:rFonts w:hint="eastAsia"/>
                      <w:color w:val="auto"/>
                      <w:vertAlign w:val="baseline"/>
                      <w:lang w:val="en-US" w:eastAsia="zh-CN"/>
                    </w:rPr>
                    <w:t>声环境</w:t>
                  </w:r>
                </w:p>
              </w:tc>
              <w:tc>
                <w:tcPr>
                  <w:tcW w:w="929" w:type="pct"/>
                  <w:vAlign w:val="center"/>
                </w:tcPr>
                <w:p w14:paraId="2C5328D5">
                  <w:pPr>
                    <w:pStyle w:val="17"/>
                    <w:jc w:val="center"/>
                    <w:rPr>
                      <w:rFonts w:hint="default"/>
                      <w:color w:val="auto"/>
                      <w:vertAlign w:val="baseline"/>
                      <w:lang w:val="en-US" w:eastAsia="zh-CN"/>
                    </w:rPr>
                  </w:pPr>
                  <w:r>
                    <w:rPr>
                      <w:rFonts w:hint="eastAsia"/>
                      <w:color w:val="auto"/>
                      <w:vertAlign w:val="baseline"/>
                      <w:lang w:val="en-US" w:eastAsia="zh-CN"/>
                    </w:rPr>
                    <w:t>周家垅</w:t>
                  </w:r>
                </w:p>
              </w:tc>
              <w:tc>
                <w:tcPr>
                  <w:tcW w:w="795" w:type="pct"/>
                  <w:vAlign w:val="center"/>
                </w:tcPr>
                <w:p w14:paraId="14B9CA4B">
                  <w:pPr>
                    <w:pStyle w:val="17"/>
                    <w:jc w:val="center"/>
                    <w:rPr>
                      <w:rFonts w:hint="default"/>
                      <w:color w:val="auto"/>
                      <w:vertAlign w:val="baseline"/>
                      <w:lang w:val="en-US" w:eastAsia="zh-CN"/>
                    </w:rPr>
                  </w:pPr>
                  <w:r>
                    <w:rPr>
                      <w:rFonts w:hint="eastAsia"/>
                      <w:color w:val="auto"/>
                      <w:vertAlign w:val="baseline"/>
                      <w:lang w:val="en-US" w:eastAsia="zh-CN"/>
                    </w:rPr>
                    <w:t>居民，约12户，48人</w:t>
                  </w:r>
                </w:p>
              </w:tc>
              <w:tc>
                <w:tcPr>
                  <w:tcW w:w="1001" w:type="pct"/>
                  <w:vAlign w:val="center"/>
                </w:tcPr>
                <w:p w14:paraId="75C4EA82">
                  <w:pPr>
                    <w:pStyle w:val="17"/>
                    <w:jc w:val="center"/>
                    <w:rPr>
                      <w:rFonts w:hint="default"/>
                      <w:color w:val="auto"/>
                      <w:vertAlign w:val="baseline"/>
                      <w:lang w:val="en-US" w:eastAsia="zh-CN"/>
                    </w:rPr>
                  </w:pPr>
                  <w:r>
                    <w:rPr>
                      <w:rFonts w:hint="eastAsia"/>
                      <w:color w:val="auto"/>
                      <w:vertAlign w:val="baseline"/>
                      <w:lang w:val="en-US" w:eastAsia="zh-CN"/>
                    </w:rPr>
                    <w:t>西，40m</w:t>
                  </w:r>
                </w:p>
              </w:tc>
              <w:tc>
                <w:tcPr>
                  <w:tcW w:w="1863" w:type="pct"/>
                  <w:vMerge w:val="restart"/>
                  <w:vAlign w:val="center"/>
                </w:tcPr>
                <w:p w14:paraId="684C69DF">
                  <w:pPr>
                    <w:pStyle w:val="17"/>
                    <w:jc w:val="center"/>
                    <w:rPr>
                      <w:rFonts w:hint="eastAsia"/>
                      <w:color w:val="auto"/>
                      <w:vertAlign w:val="baseline"/>
                      <w:lang w:val="en-US" w:eastAsia="zh-CN"/>
                    </w:rPr>
                  </w:pPr>
                  <w:r>
                    <w:rPr>
                      <w:rFonts w:hint="eastAsia"/>
                      <w:color w:val="auto"/>
                      <w:vertAlign w:val="baseline"/>
                      <w:lang w:val="en-US" w:eastAsia="zh-CN"/>
                    </w:rPr>
                    <w:t>《声环境质量标准》</w:t>
                  </w:r>
                </w:p>
                <w:p w14:paraId="089D7BF0">
                  <w:pPr>
                    <w:pStyle w:val="17"/>
                    <w:jc w:val="center"/>
                    <w:rPr>
                      <w:rFonts w:hint="eastAsia"/>
                      <w:color w:val="auto"/>
                      <w:vertAlign w:val="baseline"/>
                      <w:lang w:val="en-US" w:eastAsia="zh-CN"/>
                    </w:rPr>
                  </w:pPr>
                  <w:r>
                    <w:rPr>
                      <w:rFonts w:hint="eastAsia"/>
                      <w:color w:val="auto"/>
                      <w:vertAlign w:val="baseline"/>
                      <w:lang w:val="en-US" w:eastAsia="zh-CN"/>
                    </w:rPr>
                    <w:t>（GB 3096-2008）</w:t>
                  </w:r>
                </w:p>
                <w:p w14:paraId="1682FB6D">
                  <w:pPr>
                    <w:pStyle w:val="17"/>
                    <w:jc w:val="center"/>
                    <w:rPr>
                      <w:rFonts w:hint="default"/>
                      <w:color w:val="auto"/>
                      <w:vertAlign w:val="baseline"/>
                      <w:lang w:val="en-US" w:eastAsia="zh-CN"/>
                    </w:rPr>
                  </w:pPr>
                  <w:r>
                    <w:rPr>
                      <w:rFonts w:hint="eastAsia"/>
                      <w:color w:val="auto"/>
                      <w:vertAlign w:val="baseline"/>
                      <w:lang w:val="en-US" w:eastAsia="zh-CN"/>
                    </w:rPr>
                    <w:t>2类标准</w:t>
                  </w:r>
                </w:p>
              </w:tc>
            </w:tr>
            <w:tr w14:paraId="70694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410" w:type="pct"/>
                  <w:vMerge w:val="continue"/>
                  <w:vAlign w:val="center"/>
                </w:tcPr>
                <w:p w14:paraId="068459F2">
                  <w:pPr>
                    <w:pStyle w:val="17"/>
                    <w:jc w:val="center"/>
                    <w:rPr>
                      <w:color w:val="auto"/>
                    </w:rPr>
                  </w:pPr>
                </w:p>
              </w:tc>
              <w:tc>
                <w:tcPr>
                  <w:tcW w:w="929" w:type="pct"/>
                  <w:vAlign w:val="center"/>
                </w:tcPr>
                <w:p w14:paraId="5B8400B6">
                  <w:pPr>
                    <w:pStyle w:val="17"/>
                    <w:jc w:val="center"/>
                    <w:rPr>
                      <w:rFonts w:hint="default"/>
                      <w:color w:val="auto"/>
                      <w:vertAlign w:val="baseline"/>
                      <w:lang w:val="en-US" w:eastAsia="zh-CN"/>
                    </w:rPr>
                  </w:pPr>
                  <w:r>
                    <w:rPr>
                      <w:rFonts w:hint="eastAsia"/>
                      <w:color w:val="auto"/>
                      <w:vertAlign w:val="baseline"/>
                      <w:lang w:val="en-US" w:eastAsia="zh-CN"/>
                    </w:rPr>
                    <w:t>肖家老屋</w:t>
                  </w:r>
                </w:p>
              </w:tc>
              <w:tc>
                <w:tcPr>
                  <w:tcW w:w="795" w:type="pct"/>
                  <w:vAlign w:val="center"/>
                </w:tcPr>
                <w:p w14:paraId="0971640B">
                  <w:pPr>
                    <w:pStyle w:val="17"/>
                    <w:jc w:val="center"/>
                    <w:rPr>
                      <w:rFonts w:hint="default"/>
                      <w:color w:val="auto"/>
                      <w:vertAlign w:val="baseline"/>
                      <w:lang w:val="en-US" w:eastAsia="zh-CN"/>
                    </w:rPr>
                  </w:pPr>
                  <w:r>
                    <w:rPr>
                      <w:rFonts w:hint="eastAsia"/>
                      <w:color w:val="auto"/>
                      <w:vertAlign w:val="baseline"/>
                      <w:lang w:val="en-US" w:eastAsia="zh-CN"/>
                    </w:rPr>
                    <w:t>居民，约2户，8人</w:t>
                  </w:r>
                </w:p>
              </w:tc>
              <w:tc>
                <w:tcPr>
                  <w:tcW w:w="1001" w:type="pct"/>
                  <w:vAlign w:val="center"/>
                </w:tcPr>
                <w:p w14:paraId="4FC48669">
                  <w:pPr>
                    <w:pStyle w:val="17"/>
                    <w:jc w:val="center"/>
                    <w:rPr>
                      <w:rFonts w:hint="default"/>
                      <w:color w:val="auto"/>
                      <w:vertAlign w:val="baseline"/>
                      <w:lang w:val="en-US" w:eastAsia="zh-CN"/>
                    </w:rPr>
                  </w:pPr>
                  <w:r>
                    <w:rPr>
                      <w:rFonts w:hint="eastAsia"/>
                      <w:color w:val="auto"/>
                      <w:vertAlign w:val="baseline"/>
                      <w:lang w:val="en-US" w:eastAsia="zh-CN"/>
                    </w:rPr>
                    <w:t>东，40m</w:t>
                  </w:r>
                </w:p>
              </w:tc>
              <w:tc>
                <w:tcPr>
                  <w:tcW w:w="1863" w:type="pct"/>
                  <w:vMerge w:val="continue"/>
                  <w:vAlign w:val="center"/>
                </w:tcPr>
                <w:p w14:paraId="5782CC49">
                  <w:pPr>
                    <w:pStyle w:val="17"/>
                    <w:jc w:val="center"/>
                    <w:rPr>
                      <w:rFonts w:hint="default"/>
                      <w:color w:val="auto"/>
                      <w:vertAlign w:val="baseline"/>
                      <w:lang w:val="en-US" w:eastAsia="zh-CN"/>
                    </w:rPr>
                  </w:pPr>
                </w:p>
              </w:tc>
            </w:tr>
            <w:tr w14:paraId="7DC30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 w:type="pct"/>
                  <w:vMerge w:val="restart"/>
                  <w:vAlign w:val="center"/>
                </w:tcPr>
                <w:p w14:paraId="2271A5EB">
                  <w:pPr>
                    <w:pStyle w:val="17"/>
                    <w:jc w:val="center"/>
                    <w:rPr>
                      <w:rFonts w:hint="default"/>
                      <w:color w:val="auto"/>
                      <w:vertAlign w:val="baseline"/>
                      <w:lang w:val="en-US" w:eastAsia="zh-CN"/>
                    </w:rPr>
                  </w:pPr>
                  <w:r>
                    <w:rPr>
                      <w:rFonts w:hint="eastAsia"/>
                      <w:color w:val="auto"/>
                      <w:vertAlign w:val="baseline"/>
                      <w:lang w:val="en-US" w:eastAsia="zh-CN"/>
                    </w:rPr>
                    <w:t>地表水环境</w:t>
                  </w:r>
                </w:p>
              </w:tc>
              <w:tc>
                <w:tcPr>
                  <w:tcW w:w="929" w:type="pct"/>
                  <w:vAlign w:val="center"/>
                </w:tcPr>
                <w:p w14:paraId="655E90CD">
                  <w:pPr>
                    <w:pStyle w:val="17"/>
                    <w:jc w:val="center"/>
                    <w:rPr>
                      <w:rFonts w:hint="default"/>
                      <w:color w:val="auto"/>
                      <w:vertAlign w:val="baseline"/>
                      <w:lang w:val="en-US" w:eastAsia="zh-CN"/>
                    </w:rPr>
                  </w:pPr>
                  <w:r>
                    <w:rPr>
                      <w:rFonts w:hint="default" w:ascii="Times New Roman" w:hAnsi="Times New Roman" w:cs="Times New Roman"/>
                      <w:color w:val="auto"/>
                      <w:lang w:val="en-US" w:eastAsia="zh-CN"/>
                    </w:rPr>
                    <w:t>蒸水</w:t>
                  </w: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英陂拦河坝至湘江入河口</w:t>
                  </w:r>
                  <w:r>
                    <w:rPr>
                      <w:rFonts w:hint="eastAsia" w:ascii="Times New Roman" w:hAnsi="Times New Roman" w:cs="Times New Roman"/>
                      <w:color w:val="auto"/>
                      <w:lang w:val="en-US" w:eastAsia="zh-CN"/>
                    </w:rPr>
                    <w:t>）</w:t>
                  </w:r>
                </w:p>
              </w:tc>
              <w:tc>
                <w:tcPr>
                  <w:tcW w:w="795" w:type="pct"/>
                  <w:vAlign w:val="center"/>
                </w:tcPr>
                <w:p w14:paraId="06033014">
                  <w:pPr>
                    <w:pStyle w:val="17"/>
                    <w:jc w:val="center"/>
                    <w:rPr>
                      <w:rFonts w:hint="default"/>
                      <w:color w:val="auto"/>
                      <w:vertAlign w:val="baseline"/>
                      <w:lang w:val="en-US" w:eastAsia="zh-CN"/>
                    </w:rPr>
                  </w:pPr>
                  <w:r>
                    <w:rPr>
                      <w:rFonts w:hint="eastAsia"/>
                      <w:color w:val="auto"/>
                      <w:vertAlign w:val="baseline"/>
                      <w:lang w:val="en-US" w:eastAsia="zh-CN"/>
                    </w:rPr>
                    <w:t>工业用水区</w:t>
                  </w:r>
                </w:p>
              </w:tc>
              <w:tc>
                <w:tcPr>
                  <w:tcW w:w="1001" w:type="pct"/>
                  <w:vAlign w:val="center"/>
                </w:tcPr>
                <w:p w14:paraId="3A8C68B3">
                  <w:pPr>
                    <w:pStyle w:val="17"/>
                    <w:jc w:val="center"/>
                    <w:rPr>
                      <w:rFonts w:hint="default"/>
                      <w:color w:val="auto"/>
                      <w:vertAlign w:val="baseline"/>
                      <w:lang w:val="en-US" w:eastAsia="zh-CN"/>
                    </w:rPr>
                  </w:pPr>
                  <w:r>
                    <w:rPr>
                      <w:rFonts w:hint="eastAsia"/>
                      <w:color w:val="auto"/>
                      <w:vertAlign w:val="baseline"/>
                      <w:lang w:val="en-US" w:eastAsia="zh-CN"/>
                    </w:rPr>
                    <w:t>东，2150m</w:t>
                  </w:r>
                </w:p>
              </w:tc>
              <w:tc>
                <w:tcPr>
                  <w:tcW w:w="1863" w:type="pct"/>
                  <w:vMerge w:val="restart"/>
                  <w:vAlign w:val="center"/>
                </w:tcPr>
                <w:p w14:paraId="0D591F65">
                  <w:pPr>
                    <w:pStyle w:val="17"/>
                    <w:jc w:val="center"/>
                    <w:rPr>
                      <w:rFonts w:hint="eastAsia"/>
                      <w:color w:val="auto"/>
                      <w:vertAlign w:val="baseline"/>
                      <w:lang w:val="en-US" w:eastAsia="zh-CN"/>
                    </w:rPr>
                  </w:pPr>
                  <w:r>
                    <w:rPr>
                      <w:rFonts w:hint="eastAsia"/>
                      <w:color w:val="auto"/>
                      <w:vertAlign w:val="baseline"/>
                      <w:lang w:val="en-US" w:eastAsia="zh-CN"/>
                    </w:rPr>
                    <w:t>《地表水环境质量标准》</w:t>
                  </w:r>
                </w:p>
                <w:p w14:paraId="7365A146">
                  <w:pPr>
                    <w:pStyle w:val="17"/>
                    <w:jc w:val="center"/>
                    <w:rPr>
                      <w:rFonts w:hint="eastAsia"/>
                      <w:color w:val="auto"/>
                      <w:vertAlign w:val="baseline"/>
                      <w:lang w:val="en-US" w:eastAsia="zh-CN"/>
                    </w:rPr>
                  </w:pPr>
                  <w:r>
                    <w:rPr>
                      <w:rFonts w:hint="eastAsia"/>
                      <w:color w:val="auto"/>
                      <w:vertAlign w:val="baseline"/>
                      <w:lang w:val="en-US" w:eastAsia="zh-CN"/>
                    </w:rPr>
                    <w:t>（GB 3838-2002）</w:t>
                  </w:r>
                </w:p>
                <w:p w14:paraId="5F8FFC62">
                  <w:pPr>
                    <w:pStyle w:val="17"/>
                    <w:jc w:val="center"/>
                    <w:rPr>
                      <w:rFonts w:hint="default"/>
                      <w:color w:val="auto"/>
                      <w:vertAlign w:val="baseline"/>
                      <w:lang w:val="en-US" w:eastAsia="zh-CN"/>
                    </w:rPr>
                  </w:pPr>
                  <w:r>
                    <w:rPr>
                      <w:rFonts w:hint="default" w:ascii="Times New Roman" w:hAnsi="Times New Roman" w:eastAsia="宋体" w:cs="Times New Roman"/>
                      <w:color w:val="auto"/>
                      <w:vertAlign w:val="baseline"/>
                      <w:lang w:val="en-US" w:eastAsia="zh-CN"/>
                    </w:rPr>
                    <w:t>Ⅳ</w:t>
                  </w:r>
                  <w:r>
                    <w:rPr>
                      <w:rFonts w:hint="eastAsia"/>
                      <w:color w:val="auto"/>
                      <w:vertAlign w:val="baseline"/>
                      <w:lang w:val="en-US" w:eastAsia="zh-CN"/>
                    </w:rPr>
                    <w:t>类标准</w:t>
                  </w:r>
                </w:p>
              </w:tc>
            </w:tr>
            <w:tr w14:paraId="557AB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 w:type="pct"/>
                  <w:vMerge w:val="continue"/>
                  <w:vAlign w:val="center"/>
                </w:tcPr>
                <w:p w14:paraId="550AFDD6">
                  <w:pPr>
                    <w:pStyle w:val="17"/>
                    <w:jc w:val="center"/>
                    <w:rPr>
                      <w:rFonts w:hint="eastAsia"/>
                      <w:color w:val="auto"/>
                      <w:vertAlign w:val="baseline"/>
                      <w:lang w:val="en-US" w:eastAsia="zh-CN"/>
                    </w:rPr>
                  </w:pPr>
                </w:p>
              </w:tc>
              <w:tc>
                <w:tcPr>
                  <w:tcW w:w="929" w:type="pct"/>
                  <w:vAlign w:val="center"/>
                </w:tcPr>
                <w:p w14:paraId="100EA735">
                  <w:pPr>
                    <w:pStyle w:val="17"/>
                    <w:jc w:val="center"/>
                    <w:rPr>
                      <w:rFonts w:hint="default" w:ascii="Times New Roman" w:hAnsi="Times New Roman" w:cs="Times New Roman"/>
                      <w:color w:val="auto"/>
                      <w:lang w:val="en-US" w:eastAsia="zh-CN"/>
                    </w:rPr>
                  </w:pPr>
                  <w:r>
                    <w:rPr>
                      <w:rFonts w:hint="eastAsia" w:cs="Times New Roman"/>
                      <w:color w:val="auto"/>
                      <w:lang w:val="en-US" w:eastAsia="zh-CN"/>
                    </w:rPr>
                    <w:t>南侧池塘</w:t>
                  </w:r>
                </w:p>
              </w:tc>
              <w:tc>
                <w:tcPr>
                  <w:tcW w:w="795" w:type="pct"/>
                  <w:vAlign w:val="center"/>
                </w:tcPr>
                <w:p w14:paraId="18CE90F5">
                  <w:pPr>
                    <w:pStyle w:val="17"/>
                    <w:jc w:val="center"/>
                    <w:rPr>
                      <w:rFonts w:hint="default"/>
                      <w:color w:val="auto"/>
                      <w:vertAlign w:val="baseline"/>
                      <w:lang w:val="en-US" w:eastAsia="zh-CN"/>
                    </w:rPr>
                  </w:pPr>
                  <w:r>
                    <w:rPr>
                      <w:rFonts w:hint="eastAsia"/>
                      <w:color w:val="auto"/>
                      <w:vertAlign w:val="baseline"/>
                      <w:lang w:val="en-US" w:eastAsia="zh-CN"/>
                    </w:rPr>
                    <w:t>/</w:t>
                  </w:r>
                </w:p>
              </w:tc>
              <w:tc>
                <w:tcPr>
                  <w:tcW w:w="1001" w:type="pct"/>
                  <w:vAlign w:val="center"/>
                </w:tcPr>
                <w:p w14:paraId="5173243C">
                  <w:pPr>
                    <w:pStyle w:val="17"/>
                    <w:jc w:val="center"/>
                    <w:rPr>
                      <w:rFonts w:hint="default"/>
                      <w:color w:val="auto"/>
                      <w:vertAlign w:val="baseline"/>
                      <w:lang w:val="en-US" w:eastAsia="zh-CN"/>
                    </w:rPr>
                  </w:pPr>
                  <w:r>
                    <w:rPr>
                      <w:rFonts w:hint="eastAsia"/>
                      <w:color w:val="auto"/>
                      <w:vertAlign w:val="baseline"/>
                      <w:lang w:val="en-US" w:eastAsia="zh-CN"/>
                    </w:rPr>
                    <w:t>南，40m</w:t>
                  </w:r>
                </w:p>
              </w:tc>
              <w:tc>
                <w:tcPr>
                  <w:tcW w:w="1863" w:type="pct"/>
                  <w:vMerge w:val="continue"/>
                  <w:vAlign w:val="center"/>
                </w:tcPr>
                <w:p w14:paraId="6F3AA44F">
                  <w:pPr>
                    <w:pStyle w:val="17"/>
                    <w:jc w:val="center"/>
                    <w:rPr>
                      <w:rFonts w:hint="default" w:ascii="Times New Roman" w:hAnsi="Times New Roman" w:eastAsia="宋体" w:cs="Times New Roman"/>
                      <w:color w:val="auto"/>
                      <w:vertAlign w:val="baseline"/>
                      <w:lang w:val="en-US" w:eastAsia="zh-CN"/>
                    </w:rPr>
                  </w:pPr>
                </w:p>
              </w:tc>
            </w:tr>
            <w:tr w14:paraId="764E1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 w:type="pct"/>
                  <w:vMerge w:val="continue"/>
                  <w:vAlign w:val="center"/>
                </w:tcPr>
                <w:p w14:paraId="317B03CF">
                  <w:pPr>
                    <w:pStyle w:val="17"/>
                    <w:jc w:val="center"/>
                    <w:rPr>
                      <w:rFonts w:hint="eastAsia"/>
                      <w:color w:val="auto"/>
                      <w:vertAlign w:val="baseline"/>
                      <w:lang w:val="en-US" w:eastAsia="zh-CN"/>
                    </w:rPr>
                  </w:pPr>
                </w:p>
              </w:tc>
              <w:tc>
                <w:tcPr>
                  <w:tcW w:w="929" w:type="pct"/>
                  <w:vAlign w:val="center"/>
                </w:tcPr>
                <w:p w14:paraId="1EE6F6FB">
                  <w:pPr>
                    <w:pStyle w:val="17"/>
                    <w:jc w:val="center"/>
                    <w:rPr>
                      <w:rFonts w:hint="default" w:ascii="Times New Roman" w:hAnsi="Times New Roman" w:cs="Times New Roman"/>
                      <w:color w:val="auto"/>
                      <w:lang w:val="en-US" w:eastAsia="zh-CN"/>
                    </w:rPr>
                  </w:pPr>
                  <w:r>
                    <w:rPr>
                      <w:rFonts w:hint="eastAsia" w:cs="Times New Roman"/>
                      <w:color w:val="auto"/>
                      <w:lang w:val="en-US" w:eastAsia="zh-CN"/>
                    </w:rPr>
                    <w:t>东南侧池塘</w:t>
                  </w:r>
                </w:p>
              </w:tc>
              <w:tc>
                <w:tcPr>
                  <w:tcW w:w="795" w:type="pct"/>
                  <w:vAlign w:val="center"/>
                </w:tcPr>
                <w:p w14:paraId="3C9DF8A2">
                  <w:pPr>
                    <w:pStyle w:val="17"/>
                    <w:jc w:val="center"/>
                    <w:rPr>
                      <w:rFonts w:hint="default"/>
                      <w:color w:val="auto"/>
                      <w:vertAlign w:val="baseline"/>
                      <w:lang w:val="en-US" w:eastAsia="zh-CN"/>
                    </w:rPr>
                  </w:pPr>
                  <w:r>
                    <w:rPr>
                      <w:rFonts w:hint="eastAsia"/>
                      <w:color w:val="auto"/>
                      <w:vertAlign w:val="baseline"/>
                      <w:lang w:val="en-US" w:eastAsia="zh-CN"/>
                    </w:rPr>
                    <w:t>/</w:t>
                  </w:r>
                </w:p>
              </w:tc>
              <w:tc>
                <w:tcPr>
                  <w:tcW w:w="1001" w:type="pct"/>
                  <w:vAlign w:val="center"/>
                </w:tcPr>
                <w:p w14:paraId="3802063A">
                  <w:pPr>
                    <w:pStyle w:val="17"/>
                    <w:jc w:val="center"/>
                    <w:rPr>
                      <w:rFonts w:hint="default"/>
                      <w:color w:val="auto"/>
                      <w:vertAlign w:val="baseline"/>
                      <w:lang w:val="en-US" w:eastAsia="zh-CN"/>
                    </w:rPr>
                  </w:pPr>
                  <w:r>
                    <w:rPr>
                      <w:rFonts w:hint="eastAsia"/>
                      <w:color w:val="auto"/>
                      <w:vertAlign w:val="baseline"/>
                      <w:lang w:val="en-US" w:eastAsia="zh-CN"/>
                    </w:rPr>
                    <w:t>东南，100m</w:t>
                  </w:r>
                </w:p>
              </w:tc>
              <w:tc>
                <w:tcPr>
                  <w:tcW w:w="1863" w:type="pct"/>
                  <w:vMerge w:val="continue"/>
                  <w:vAlign w:val="center"/>
                </w:tcPr>
                <w:p w14:paraId="4D149BCB">
                  <w:pPr>
                    <w:pStyle w:val="17"/>
                    <w:jc w:val="center"/>
                    <w:rPr>
                      <w:rFonts w:hint="default" w:ascii="Times New Roman" w:hAnsi="Times New Roman" w:eastAsia="宋体" w:cs="Times New Roman"/>
                      <w:color w:val="auto"/>
                      <w:vertAlign w:val="baseline"/>
                      <w:lang w:val="en-US" w:eastAsia="zh-CN"/>
                    </w:rPr>
                  </w:pPr>
                </w:p>
              </w:tc>
            </w:tr>
            <w:tr w14:paraId="0D8A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 w:type="pct"/>
                  <w:vAlign w:val="center"/>
                </w:tcPr>
                <w:p w14:paraId="5F2C51BF">
                  <w:pPr>
                    <w:pStyle w:val="17"/>
                    <w:jc w:val="center"/>
                    <w:rPr>
                      <w:rFonts w:hint="default"/>
                      <w:color w:val="auto"/>
                      <w:vertAlign w:val="baseline"/>
                      <w:lang w:val="en-US" w:eastAsia="zh-CN"/>
                    </w:rPr>
                  </w:pPr>
                  <w:r>
                    <w:rPr>
                      <w:rFonts w:hint="eastAsia"/>
                      <w:color w:val="auto"/>
                      <w:vertAlign w:val="baseline"/>
                      <w:lang w:val="en-US" w:eastAsia="zh-CN"/>
                    </w:rPr>
                    <w:t>地下水环境</w:t>
                  </w:r>
                </w:p>
              </w:tc>
              <w:tc>
                <w:tcPr>
                  <w:tcW w:w="4589" w:type="pct"/>
                  <w:gridSpan w:val="4"/>
                  <w:vAlign w:val="center"/>
                </w:tcPr>
                <w:p w14:paraId="56239507">
                  <w:pPr>
                    <w:pStyle w:val="17"/>
                    <w:jc w:val="both"/>
                    <w:rPr>
                      <w:rFonts w:hint="default"/>
                      <w:color w:val="auto"/>
                      <w:vertAlign w:val="baseline"/>
                      <w:lang w:val="en-US" w:eastAsia="zh-CN"/>
                    </w:rPr>
                  </w:pPr>
                  <w:r>
                    <w:rPr>
                      <w:rFonts w:hint="eastAsia"/>
                      <w:color w:val="auto"/>
                      <w:vertAlign w:val="baseline"/>
                      <w:lang w:val="en-US" w:eastAsia="zh-CN"/>
                    </w:rPr>
                    <w:t>项目厂界外500米范围内无地下集中式饮用水水源和热水、矿泉水、温泉等特殊地下水资源</w:t>
                  </w:r>
                </w:p>
              </w:tc>
            </w:tr>
            <w:tr w14:paraId="233F8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 w:type="pct"/>
                  <w:vAlign w:val="center"/>
                </w:tcPr>
                <w:p w14:paraId="06ADCDEC">
                  <w:pPr>
                    <w:pStyle w:val="17"/>
                    <w:jc w:val="center"/>
                    <w:rPr>
                      <w:rFonts w:hint="default"/>
                      <w:color w:val="auto"/>
                      <w:vertAlign w:val="baseline"/>
                      <w:lang w:val="en-US" w:eastAsia="zh-CN"/>
                    </w:rPr>
                  </w:pPr>
                  <w:r>
                    <w:rPr>
                      <w:rFonts w:hint="eastAsia"/>
                      <w:color w:val="auto"/>
                      <w:vertAlign w:val="baseline"/>
                      <w:lang w:val="en-US" w:eastAsia="zh-CN"/>
                    </w:rPr>
                    <w:t>生态环境</w:t>
                  </w:r>
                </w:p>
              </w:tc>
              <w:tc>
                <w:tcPr>
                  <w:tcW w:w="4589" w:type="pct"/>
                  <w:gridSpan w:val="4"/>
                  <w:vAlign w:val="center"/>
                </w:tcPr>
                <w:p w14:paraId="4DC421B4">
                  <w:pPr>
                    <w:pStyle w:val="17"/>
                    <w:jc w:val="both"/>
                    <w:rPr>
                      <w:rFonts w:hint="default"/>
                      <w:color w:val="auto"/>
                      <w:vertAlign w:val="baseline"/>
                      <w:lang w:val="en-US" w:eastAsia="zh-CN"/>
                    </w:rPr>
                  </w:pPr>
                  <w:r>
                    <w:rPr>
                      <w:rFonts w:hint="default"/>
                      <w:color w:val="auto"/>
                      <w:vertAlign w:val="baseline"/>
                      <w:lang w:val="en-US" w:eastAsia="zh-CN"/>
                    </w:rPr>
                    <w:t>用地范围内无生态环境保护目标</w:t>
                  </w:r>
                </w:p>
              </w:tc>
            </w:tr>
          </w:tbl>
          <w:p w14:paraId="2C91DD36">
            <w:pPr>
              <w:pStyle w:val="17"/>
              <w:rPr>
                <w:rFonts w:hint="default"/>
                <w:color w:val="auto"/>
                <w:lang w:val="en-US" w:eastAsia="zh-CN"/>
              </w:rPr>
            </w:pPr>
          </w:p>
        </w:tc>
      </w:tr>
      <w:tr w14:paraId="1EBE5B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1" w:type="pct"/>
            <w:noWrap w:val="0"/>
            <w:tcMar>
              <w:left w:w="28" w:type="dxa"/>
              <w:right w:w="28" w:type="dxa"/>
            </w:tcMar>
            <w:vAlign w:val="center"/>
          </w:tcPr>
          <w:p w14:paraId="524A532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cs="宋体"/>
                <w:color w:val="auto"/>
                <w:kern w:val="0"/>
                <w:szCs w:val="21"/>
              </w:rPr>
            </w:pPr>
            <w:r>
              <w:rPr>
                <w:rFonts w:hint="eastAsia" w:ascii="宋体" w:hAnsi="宋体" w:cs="宋体"/>
                <w:color w:val="auto"/>
                <w:kern w:val="0"/>
                <w:szCs w:val="21"/>
              </w:rPr>
              <w:t>污染</w:t>
            </w:r>
          </w:p>
          <w:p w14:paraId="3877F12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cs="宋体"/>
                <w:color w:val="auto"/>
                <w:kern w:val="0"/>
                <w:szCs w:val="21"/>
              </w:rPr>
            </w:pPr>
            <w:r>
              <w:rPr>
                <w:rFonts w:hint="eastAsia" w:ascii="宋体" w:hAnsi="宋体" w:cs="宋体"/>
                <w:color w:val="auto"/>
                <w:kern w:val="0"/>
                <w:szCs w:val="21"/>
              </w:rPr>
              <w:t>物排</w:t>
            </w:r>
          </w:p>
          <w:p w14:paraId="33DBDD5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cs="宋体"/>
                <w:color w:val="auto"/>
                <w:kern w:val="0"/>
                <w:szCs w:val="21"/>
              </w:rPr>
            </w:pPr>
            <w:r>
              <w:rPr>
                <w:rFonts w:hint="eastAsia" w:ascii="宋体" w:hAnsi="宋体" w:cs="宋体"/>
                <w:color w:val="auto"/>
                <w:kern w:val="0"/>
                <w:szCs w:val="21"/>
              </w:rPr>
              <w:t>放控</w:t>
            </w:r>
          </w:p>
          <w:p w14:paraId="25E01A7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cs="宋体"/>
                <w:color w:val="auto"/>
                <w:kern w:val="0"/>
                <w:szCs w:val="21"/>
              </w:rPr>
            </w:pPr>
            <w:r>
              <w:rPr>
                <w:rFonts w:hint="eastAsia" w:ascii="宋体" w:hAnsi="宋体" w:cs="宋体"/>
                <w:color w:val="auto"/>
                <w:kern w:val="0"/>
                <w:szCs w:val="21"/>
              </w:rPr>
              <w:t>制标</w:t>
            </w:r>
          </w:p>
          <w:p w14:paraId="7AFE786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宋体" w:hAnsi="宋体" w:cs="宋体"/>
                <w:color w:val="auto"/>
                <w:kern w:val="0"/>
                <w:szCs w:val="21"/>
              </w:rPr>
            </w:pPr>
            <w:r>
              <w:rPr>
                <w:rFonts w:hint="eastAsia" w:ascii="宋体" w:hAnsi="宋体" w:cs="宋体"/>
                <w:color w:val="auto"/>
                <w:kern w:val="0"/>
                <w:szCs w:val="21"/>
              </w:rPr>
              <w:t>准</w:t>
            </w:r>
          </w:p>
        </w:tc>
        <w:tc>
          <w:tcPr>
            <w:tcW w:w="4608" w:type="pct"/>
            <w:noWrap w:val="0"/>
            <w:vAlign w:val="center"/>
          </w:tcPr>
          <w:p w14:paraId="3AA025C9">
            <w:pPr>
              <w:pStyle w:val="4"/>
              <w:bidi w:val="0"/>
              <w:rPr>
                <w:rFonts w:hint="eastAsia"/>
                <w:color w:val="auto"/>
                <w:lang w:val="en-US" w:eastAsia="zh-CN"/>
              </w:rPr>
            </w:pPr>
            <w:bookmarkStart w:id="301" w:name="_Toc27120"/>
            <w:bookmarkStart w:id="302" w:name="_Toc3101"/>
            <w:bookmarkStart w:id="303" w:name="_Toc28056"/>
            <w:bookmarkStart w:id="304" w:name="_Toc4011"/>
            <w:bookmarkStart w:id="305" w:name="_Toc11247"/>
            <w:r>
              <w:rPr>
                <w:rFonts w:hint="eastAsia"/>
                <w:color w:val="auto"/>
                <w:lang w:val="en-US" w:eastAsia="zh-CN"/>
              </w:rPr>
              <w:t>1、大气污染物排放标准</w:t>
            </w:r>
            <w:bookmarkEnd w:id="301"/>
            <w:bookmarkEnd w:id="302"/>
            <w:bookmarkEnd w:id="303"/>
            <w:bookmarkEnd w:id="304"/>
            <w:bookmarkEnd w:id="305"/>
          </w:p>
          <w:p w14:paraId="6153C362">
            <w:pPr>
              <w:rPr>
                <w:rFonts w:hint="eastAsia"/>
                <w:color w:val="auto"/>
                <w:lang w:val="en-US" w:eastAsia="zh-CN"/>
              </w:rPr>
            </w:pPr>
            <w:r>
              <w:rPr>
                <w:rFonts w:hint="eastAsia"/>
                <w:color w:val="auto"/>
                <w:lang w:val="en-US" w:eastAsia="zh-CN"/>
              </w:rPr>
              <w:t>本项目施工期废气主要为施工扬尘，运营期废气主要为物料装卸粉尘、堆场扬尘、破碎/筛分粉尘、投料粉尘、输送粉尘、道路扬尘、搅拌粉尘、水泥装卸/储存粉尘、运输车辆尾气及食堂油烟，主要污染因子为颗粒物、油烟、CO、NO</w:t>
            </w:r>
            <w:r>
              <w:rPr>
                <w:rFonts w:hint="eastAsia"/>
                <w:color w:val="auto"/>
                <w:vertAlign w:val="subscript"/>
                <w:lang w:val="en-US" w:eastAsia="zh-CN"/>
              </w:rPr>
              <w:t>X</w:t>
            </w:r>
            <w:r>
              <w:rPr>
                <w:rFonts w:hint="eastAsia"/>
                <w:color w:val="auto"/>
                <w:lang w:val="en-US" w:eastAsia="zh-CN"/>
              </w:rPr>
              <w:t>、THC等。DA001有组织废气中颗粒物排放标准执行《大气污染物综合排放标准》（GB 16297-1996）表2中15m高排气筒二级标准排放限值；DA002有组织废气中颗粒物排放标准执行《水泥工业大气污染物排放标准》（GB 4915-2013）表2中“散装水泥中转站及水泥制品生产”特别排放限值；油烟排放标准执行《饮食业油烟排放标准（试行）》（GB 18483-2001）表2中小型规模标准；厂界颗粒物排放标准执行《大气污染物综合排放标准》（GB 16297-1996）表2中大气污染物无组织排放限值和《水泥工业大气污染物排放标准》（GB 4915-2013）表3中大气污染物无组织排放限值。具体详见表3-3。</w:t>
            </w:r>
          </w:p>
          <w:p w14:paraId="1B40FBC9">
            <w:pPr>
              <w:pStyle w:val="18"/>
              <w:bidi w:val="0"/>
              <w:rPr>
                <w:rFonts w:hint="eastAsia"/>
                <w:color w:val="auto"/>
                <w:lang w:val="en-US" w:eastAsia="zh-CN"/>
              </w:rPr>
            </w:pPr>
            <w:r>
              <w:rPr>
                <w:rFonts w:hint="eastAsia"/>
                <w:color w:val="auto"/>
                <w:lang w:val="en-US" w:eastAsia="zh-CN"/>
              </w:rPr>
              <w:t>表3-3 项目废气排放标准一览表</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6"/>
              <w:gridCol w:w="1039"/>
              <w:gridCol w:w="1317"/>
              <w:gridCol w:w="1109"/>
              <w:gridCol w:w="3426"/>
            </w:tblGrid>
            <w:tr w14:paraId="20CC4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86" w:type="pct"/>
                  <w:vAlign w:val="center"/>
                </w:tcPr>
                <w:p w14:paraId="47C3EE69">
                  <w:pPr>
                    <w:pStyle w:val="17"/>
                    <w:jc w:val="center"/>
                    <w:rPr>
                      <w:rFonts w:hint="default"/>
                      <w:color w:val="auto"/>
                      <w:vertAlign w:val="baseline"/>
                      <w:lang w:val="en-US" w:eastAsia="zh-CN"/>
                    </w:rPr>
                  </w:pPr>
                  <w:r>
                    <w:rPr>
                      <w:rFonts w:hint="eastAsia"/>
                      <w:color w:val="auto"/>
                      <w:vertAlign w:val="baseline"/>
                      <w:lang w:val="en-US" w:eastAsia="zh-CN"/>
                    </w:rPr>
                    <w:t>污染物名称</w:t>
                  </w:r>
                </w:p>
              </w:tc>
              <w:tc>
                <w:tcPr>
                  <w:tcW w:w="1440" w:type="pct"/>
                  <w:gridSpan w:val="2"/>
                  <w:vAlign w:val="center"/>
                </w:tcPr>
                <w:p w14:paraId="5D6E65AB">
                  <w:pPr>
                    <w:pStyle w:val="17"/>
                    <w:jc w:val="center"/>
                    <w:rPr>
                      <w:rFonts w:hint="default"/>
                      <w:color w:val="auto"/>
                      <w:vertAlign w:val="baseline"/>
                      <w:lang w:val="en-US" w:eastAsia="zh-CN"/>
                    </w:rPr>
                  </w:pPr>
                  <w:r>
                    <w:rPr>
                      <w:rFonts w:hint="eastAsia"/>
                      <w:color w:val="auto"/>
                      <w:vertAlign w:val="baseline"/>
                      <w:lang w:val="en-US" w:eastAsia="zh-CN"/>
                    </w:rPr>
                    <w:t>监控点</w:t>
                  </w:r>
                </w:p>
              </w:tc>
              <w:tc>
                <w:tcPr>
                  <w:tcW w:w="678" w:type="pct"/>
                  <w:vAlign w:val="center"/>
                </w:tcPr>
                <w:p w14:paraId="0F4CBE5E">
                  <w:pPr>
                    <w:pStyle w:val="17"/>
                    <w:jc w:val="center"/>
                    <w:rPr>
                      <w:rFonts w:hint="default"/>
                      <w:color w:val="auto"/>
                      <w:vertAlign w:val="baseline"/>
                      <w:lang w:val="en-US" w:eastAsia="zh-CN"/>
                    </w:rPr>
                  </w:pPr>
                  <w:r>
                    <w:rPr>
                      <w:rFonts w:hint="eastAsia"/>
                      <w:color w:val="auto"/>
                      <w:vertAlign w:val="baseline"/>
                      <w:lang w:val="en-US" w:eastAsia="zh-CN"/>
                    </w:rPr>
                    <w:t>排放限值</w:t>
                  </w:r>
                </w:p>
              </w:tc>
              <w:tc>
                <w:tcPr>
                  <w:tcW w:w="2094" w:type="pct"/>
                  <w:vAlign w:val="center"/>
                </w:tcPr>
                <w:p w14:paraId="654D0544">
                  <w:pPr>
                    <w:pStyle w:val="17"/>
                    <w:jc w:val="center"/>
                    <w:rPr>
                      <w:rFonts w:hint="default"/>
                      <w:color w:val="auto"/>
                      <w:vertAlign w:val="baseline"/>
                      <w:lang w:val="en-US" w:eastAsia="zh-CN"/>
                    </w:rPr>
                  </w:pPr>
                  <w:r>
                    <w:rPr>
                      <w:rFonts w:hint="eastAsia"/>
                      <w:color w:val="auto"/>
                      <w:vertAlign w:val="baseline"/>
                      <w:lang w:val="en-US" w:eastAsia="zh-CN"/>
                    </w:rPr>
                    <w:t>排放标准</w:t>
                  </w:r>
                </w:p>
              </w:tc>
            </w:tr>
            <w:tr w14:paraId="59A52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vMerge w:val="restart"/>
                  <w:vAlign w:val="center"/>
                </w:tcPr>
                <w:p w14:paraId="3593D159">
                  <w:pPr>
                    <w:pStyle w:val="17"/>
                    <w:jc w:val="center"/>
                    <w:rPr>
                      <w:rFonts w:hint="default"/>
                      <w:color w:val="auto"/>
                      <w:vertAlign w:val="baseline"/>
                      <w:lang w:val="en-US" w:eastAsia="zh-CN"/>
                    </w:rPr>
                  </w:pPr>
                  <w:r>
                    <w:rPr>
                      <w:rFonts w:hint="eastAsia"/>
                      <w:color w:val="auto"/>
                      <w:vertAlign w:val="baseline"/>
                      <w:lang w:val="en-US" w:eastAsia="zh-CN"/>
                    </w:rPr>
                    <w:t>颗粒物</w:t>
                  </w:r>
                </w:p>
              </w:tc>
              <w:tc>
                <w:tcPr>
                  <w:tcW w:w="635" w:type="pct"/>
                  <w:vMerge w:val="restart"/>
                  <w:vAlign w:val="center"/>
                </w:tcPr>
                <w:p w14:paraId="14894F94">
                  <w:pPr>
                    <w:pStyle w:val="17"/>
                    <w:jc w:val="center"/>
                    <w:rPr>
                      <w:rFonts w:hint="default"/>
                      <w:color w:val="auto"/>
                      <w:vertAlign w:val="baseline"/>
                      <w:lang w:val="en-US" w:eastAsia="zh-CN"/>
                    </w:rPr>
                  </w:pPr>
                  <w:r>
                    <w:rPr>
                      <w:rFonts w:hint="eastAsia"/>
                      <w:color w:val="auto"/>
                      <w:vertAlign w:val="baseline"/>
                      <w:lang w:val="en-US" w:eastAsia="zh-CN"/>
                    </w:rPr>
                    <w:t>DA001</w:t>
                  </w:r>
                </w:p>
              </w:tc>
              <w:tc>
                <w:tcPr>
                  <w:tcW w:w="805" w:type="pct"/>
                  <w:vAlign w:val="center"/>
                </w:tcPr>
                <w:p w14:paraId="38D7DEA2">
                  <w:pPr>
                    <w:pStyle w:val="17"/>
                    <w:ind w:firstLine="0" w:firstLineChars="0"/>
                    <w:jc w:val="center"/>
                    <w:rPr>
                      <w:rFonts w:hint="eastAsia"/>
                      <w:color w:val="auto"/>
                      <w:vertAlign w:val="baseline"/>
                      <w:lang w:val="en-US" w:eastAsia="zh-CN"/>
                    </w:rPr>
                  </w:pPr>
                  <w:r>
                    <w:rPr>
                      <w:rFonts w:hint="eastAsia"/>
                      <w:color w:val="auto"/>
                      <w:vertAlign w:val="baseline"/>
                      <w:lang w:val="en-US" w:eastAsia="zh-CN"/>
                    </w:rPr>
                    <w:t>排放浓度</w:t>
                  </w:r>
                </w:p>
              </w:tc>
              <w:tc>
                <w:tcPr>
                  <w:tcW w:w="678" w:type="pct"/>
                  <w:vAlign w:val="center"/>
                </w:tcPr>
                <w:p w14:paraId="0E9D2CC7">
                  <w:pPr>
                    <w:pStyle w:val="17"/>
                    <w:jc w:val="center"/>
                    <w:rPr>
                      <w:rFonts w:hint="default"/>
                      <w:color w:val="auto"/>
                      <w:vertAlign w:val="baseline"/>
                      <w:lang w:val="en-US" w:eastAsia="zh-CN"/>
                    </w:rPr>
                  </w:pPr>
                  <w:r>
                    <w:rPr>
                      <w:rFonts w:hint="eastAsia"/>
                      <w:color w:val="auto"/>
                      <w:vertAlign w:val="baseline"/>
                      <w:lang w:val="en-US" w:eastAsia="zh-CN"/>
                    </w:rPr>
                    <w:t>120mg/m</w:t>
                  </w:r>
                  <w:r>
                    <w:rPr>
                      <w:rFonts w:hint="eastAsia"/>
                      <w:color w:val="auto"/>
                      <w:vertAlign w:val="superscript"/>
                      <w:lang w:val="en-US" w:eastAsia="zh-CN"/>
                    </w:rPr>
                    <w:t>3</w:t>
                  </w:r>
                </w:p>
              </w:tc>
              <w:tc>
                <w:tcPr>
                  <w:tcW w:w="2094" w:type="pct"/>
                  <w:vMerge w:val="restart"/>
                  <w:vAlign w:val="center"/>
                </w:tcPr>
                <w:p w14:paraId="21D180A6">
                  <w:pPr>
                    <w:pStyle w:val="17"/>
                    <w:jc w:val="center"/>
                    <w:rPr>
                      <w:rFonts w:hint="default"/>
                      <w:color w:val="auto"/>
                      <w:vertAlign w:val="baseline"/>
                      <w:lang w:val="en-US" w:eastAsia="zh-CN"/>
                    </w:rPr>
                  </w:pPr>
                  <w:r>
                    <w:rPr>
                      <w:rFonts w:hint="default"/>
                      <w:color w:val="auto"/>
                      <w:vertAlign w:val="baseline"/>
                      <w:lang w:val="en-US" w:eastAsia="zh-CN"/>
                    </w:rPr>
                    <w:t>《大气污染物综合排放标准》</w:t>
                  </w:r>
                </w:p>
                <w:p w14:paraId="4D3B2B92">
                  <w:pPr>
                    <w:pStyle w:val="17"/>
                    <w:jc w:val="center"/>
                    <w:rPr>
                      <w:rFonts w:hint="default"/>
                      <w:color w:val="auto"/>
                      <w:vertAlign w:val="baseline"/>
                      <w:lang w:val="en-US" w:eastAsia="zh-CN"/>
                    </w:rPr>
                  </w:pPr>
                  <w:r>
                    <w:rPr>
                      <w:rFonts w:hint="default"/>
                      <w:color w:val="auto"/>
                      <w:vertAlign w:val="baseline"/>
                      <w:lang w:val="en-US" w:eastAsia="zh-CN"/>
                    </w:rPr>
                    <w:t>（GB 16297-1996）</w:t>
                  </w:r>
                </w:p>
              </w:tc>
            </w:tr>
            <w:tr w14:paraId="14A83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vMerge w:val="continue"/>
                  <w:vAlign w:val="center"/>
                </w:tcPr>
                <w:p w14:paraId="049D1CA3">
                  <w:pPr>
                    <w:pStyle w:val="17"/>
                    <w:jc w:val="center"/>
                    <w:rPr>
                      <w:rFonts w:hint="eastAsia"/>
                      <w:color w:val="auto"/>
                      <w:vertAlign w:val="baseline"/>
                      <w:lang w:val="en-US" w:eastAsia="zh-CN"/>
                    </w:rPr>
                  </w:pPr>
                </w:p>
              </w:tc>
              <w:tc>
                <w:tcPr>
                  <w:tcW w:w="635" w:type="pct"/>
                  <w:vMerge w:val="continue"/>
                  <w:vAlign w:val="center"/>
                </w:tcPr>
                <w:p w14:paraId="03062814">
                  <w:pPr>
                    <w:pStyle w:val="17"/>
                    <w:jc w:val="center"/>
                    <w:rPr>
                      <w:rFonts w:hint="eastAsia"/>
                      <w:color w:val="auto"/>
                      <w:vertAlign w:val="baseline"/>
                      <w:lang w:val="en-US" w:eastAsia="zh-CN"/>
                    </w:rPr>
                  </w:pPr>
                </w:p>
              </w:tc>
              <w:tc>
                <w:tcPr>
                  <w:tcW w:w="805" w:type="pct"/>
                  <w:vAlign w:val="center"/>
                </w:tcPr>
                <w:p w14:paraId="7641C240">
                  <w:pPr>
                    <w:pStyle w:val="17"/>
                    <w:ind w:firstLine="0" w:firstLineChars="0"/>
                    <w:jc w:val="center"/>
                    <w:rPr>
                      <w:rFonts w:hint="eastAsia"/>
                      <w:color w:val="auto"/>
                      <w:vertAlign w:val="baseline"/>
                      <w:lang w:val="en-US" w:eastAsia="zh-CN"/>
                    </w:rPr>
                  </w:pPr>
                  <w:r>
                    <w:rPr>
                      <w:rFonts w:hint="eastAsia"/>
                      <w:color w:val="auto"/>
                      <w:vertAlign w:val="baseline"/>
                      <w:lang w:val="en-US" w:eastAsia="zh-CN"/>
                    </w:rPr>
                    <w:t>排放速率</w:t>
                  </w:r>
                </w:p>
              </w:tc>
              <w:tc>
                <w:tcPr>
                  <w:tcW w:w="678" w:type="pct"/>
                  <w:vAlign w:val="center"/>
                </w:tcPr>
                <w:p w14:paraId="00C69AC4">
                  <w:pPr>
                    <w:pStyle w:val="17"/>
                    <w:jc w:val="center"/>
                    <w:rPr>
                      <w:rFonts w:hint="default"/>
                      <w:color w:val="auto"/>
                      <w:vertAlign w:val="baseline"/>
                      <w:lang w:val="en-US" w:eastAsia="zh-CN"/>
                    </w:rPr>
                  </w:pPr>
                  <w:r>
                    <w:rPr>
                      <w:rFonts w:hint="eastAsia"/>
                      <w:color w:val="auto"/>
                      <w:vertAlign w:val="baseline"/>
                      <w:lang w:val="en-US" w:eastAsia="zh-CN"/>
                    </w:rPr>
                    <w:t>3.5kg/h</w:t>
                  </w:r>
                </w:p>
              </w:tc>
              <w:tc>
                <w:tcPr>
                  <w:tcW w:w="2094" w:type="pct"/>
                  <w:vMerge w:val="continue"/>
                  <w:vAlign w:val="center"/>
                </w:tcPr>
                <w:p w14:paraId="7E04A9A3">
                  <w:pPr>
                    <w:pStyle w:val="17"/>
                    <w:jc w:val="center"/>
                    <w:rPr>
                      <w:rFonts w:hint="default"/>
                      <w:color w:val="auto"/>
                      <w:vertAlign w:val="baseline"/>
                      <w:lang w:val="en-US" w:eastAsia="zh-CN"/>
                    </w:rPr>
                  </w:pPr>
                </w:p>
              </w:tc>
            </w:tr>
            <w:tr w14:paraId="550FA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vMerge w:val="continue"/>
                  <w:vAlign w:val="center"/>
                </w:tcPr>
                <w:p w14:paraId="2E42687E">
                  <w:pPr>
                    <w:pStyle w:val="17"/>
                    <w:jc w:val="center"/>
                    <w:rPr>
                      <w:rFonts w:hint="eastAsia"/>
                      <w:color w:val="auto"/>
                      <w:vertAlign w:val="baseline"/>
                      <w:lang w:val="en-US" w:eastAsia="zh-CN"/>
                    </w:rPr>
                  </w:pPr>
                </w:p>
              </w:tc>
              <w:tc>
                <w:tcPr>
                  <w:tcW w:w="635" w:type="pct"/>
                  <w:vAlign w:val="center"/>
                </w:tcPr>
                <w:p w14:paraId="7793A974">
                  <w:pPr>
                    <w:pStyle w:val="17"/>
                    <w:jc w:val="center"/>
                    <w:rPr>
                      <w:rFonts w:hint="default"/>
                      <w:color w:val="auto"/>
                      <w:vertAlign w:val="baseline"/>
                      <w:lang w:val="en-US" w:eastAsia="zh-CN"/>
                    </w:rPr>
                  </w:pPr>
                  <w:r>
                    <w:rPr>
                      <w:rFonts w:hint="eastAsia"/>
                      <w:color w:val="auto"/>
                      <w:vertAlign w:val="baseline"/>
                      <w:lang w:val="en-US" w:eastAsia="zh-CN"/>
                    </w:rPr>
                    <w:t>DA002</w:t>
                  </w:r>
                </w:p>
              </w:tc>
              <w:tc>
                <w:tcPr>
                  <w:tcW w:w="805" w:type="pct"/>
                  <w:vAlign w:val="center"/>
                </w:tcPr>
                <w:p w14:paraId="5763297F">
                  <w:pPr>
                    <w:pStyle w:val="17"/>
                    <w:ind w:firstLine="0" w:firstLineChars="0"/>
                    <w:jc w:val="center"/>
                    <w:rPr>
                      <w:rFonts w:hint="eastAsia"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排放浓度</w:t>
                  </w:r>
                </w:p>
              </w:tc>
              <w:tc>
                <w:tcPr>
                  <w:tcW w:w="678" w:type="pct"/>
                  <w:vAlign w:val="center"/>
                </w:tcPr>
                <w:p w14:paraId="403E6DFC">
                  <w:pPr>
                    <w:pStyle w:val="17"/>
                    <w:ind w:firstLine="0" w:firstLineChars="0"/>
                    <w:jc w:val="center"/>
                    <w:rPr>
                      <w:rFonts w:hint="eastAsia"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10mg/m</w:t>
                  </w:r>
                  <w:r>
                    <w:rPr>
                      <w:rFonts w:hint="eastAsia"/>
                      <w:color w:val="auto"/>
                      <w:vertAlign w:val="superscript"/>
                      <w:lang w:val="en-US" w:eastAsia="zh-CN"/>
                    </w:rPr>
                    <w:t>3</w:t>
                  </w:r>
                </w:p>
              </w:tc>
              <w:tc>
                <w:tcPr>
                  <w:tcW w:w="2094" w:type="pct"/>
                  <w:vAlign w:val="center"/>
                </w:tcPr>
                <w:p w14:paraId="323750C1">
                  <w:pPr>
                    <w:pStyle w:val="17"/>
                    <w:jc w:val="center"/>
                    <w:rPr>
                      <w:rFonts w:hint="default"/>
                      <w:color w:val="auto"/>
                      <w:vertAlign w:val="baseline"/>
                      <w:lang w:val="en-US" w:eastAsia="zh-CN"/>
                    </w:rPr>
                  </w:pPr>
                  <w:r>
                    <w:rPr>
                      <w:rFonts w:hint="default"/>
                      <w:color w:val="auto"/>
                      <w:vertAlign w:val="baseline"/>
                      <w:lang w:val="en-US" w:eastAsia="zh-CN"/>
                    </w:rPr>
                    <w:t>《水泥工业大气污染物排放标准》</w:t>
                  </w:r>
                </w:p>
                <w:p w14:paraId="00374FD8">
                  <w:pPr>
                    <w:pStyle w:val="17"/>
                    <w:jc w:val="center"/>
                    <w:rPr>
                      <w:rFonts w:hint="default"/>
                      <w:color w:val="auto"/>
                      <w:vertAlign w:val="baseline"/>
                      <w:lang w:val="en-US" w:eastAsia="zh-CN"/>
                    </w:rPr>
                  </w:pPr>
                  <w:r>
                    <w:rPr>
                      <w:rFonts w:hint="default"/>
                      <w:color w:val="auto"/>
                      <w:vertAlign w:val="baseline"/>
                      <w:lang w:val="en-US" w:eastAsia="zh-CN"/>
                    </w:rPr>
                    <w:t>（GB 4915-2013）</w:t>
                  </w:r>
                </w:p>
              </w:tc>
            </w:tr>
            <w:tr w14:paraId="6F63C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786" w:type="pct"/>
                  <w:vMerge w:val="continue"/>
                  <w:vAlign w:val="center"/>
                </w:tcPr>
                <w:p w14:paraId="5F64C312">
                  <w:pPr>
                    <w:pStyle w:val="17"/>
                    <w:jc w:val="center"/>
                    <w:rPr>
                      <w:rFonts w:hint="default"/>
                      <w:color w:val="auto"/>
                      <w:vertAlign w:val="baseline"/>
                      <w:lang w:val="en-US" w:eastAsia="zh-CN"/>
                    </w:rPr>
                  </w:pPr>
                </w:p>
              </w:tc>
              <w:tc>
                <w:tcPr>
                  <w:tcW w:w="1440" w:type="pct"/>
                  <w:gridSpan w:val="2"/>
                  <w:vMerge w:val="restart"/>
                  <w:vAlign w:val="center"/>
                </w:tcPr>
                <w:p w14:paraId="553B89A9">
                  <w:pPr>
                    <w:pStyle w:val="17"/>
                    <w:jc w:val="center"/>
                    <w:rPr>
                      <w:rFonts w:hint="default"/>
                      <w:color w:val="auto"/>
                      <w:vertAlign w:val="baseline"/>
                      <w:lang w:val="en-US" w:eastAsia="zh-CN"/>
                    </w:rPr>
                  </w:pPr>
                  <w:r>
                    <w:rPr>
                      <w:rFonts w:hint="eastAsia"/>
                      <w:color w:val="auto"/>
                      <w:vertAlign w:val="baseline"/>
                      <w:lang w:val="en-US" w:eastAsia="zh-CN"/>
                    </w:rPr>
                    <w:t>无组织排放监控点</w:t>
                  </w:r>
                </w:p>
              </w:tc>
              <w:tc>
                <w:tcPr>
                  <w:tcW w:w="678" w:type="pct"/>
                  <w:vAlign w:val="center"/>
                </w:tcPr>
                <w:p w14:paraId="3B8A8AD8">
                  <w:pPr>
                    <w:pStyle w:val="17"/>
                    <w:jc w:val="center"/>
                    <w:rPr>
                      <w:rFonts w:hint="default"/>
                      <w:color w:val="auto"/>
                      <w:vertAlign w:val="baseline"/>
                      <w:lang w:val="en-US" w:eastAsia="zh-CN"/>
                    </w:rPr>
                  </w:pPr>
                  <w:r>
                    <w:rPr>
                      <w:rFonts w:hint="eastAsia"/>
                      <w:color w:val="auto"/>
                      <w:vertAlign w:val="baseline"/>
                      <w:lang w:val="en-US" w:eastAsia="zh-CN"/>
                    </w:rPr>
                    <w:t>1.0mg/m</w:t>
                  </w:r>
                  <w:r>
                    <w:rPr>
                      <w:rFonts w:hint="eastAsia"/>
                      <w:color w:val="auto"/>
                      <w:vertAlign w:val="superscript"/>
                      <w:lang w:val="en-US" w:eastAsia="zh-CN"/>
                    </w:rPr>
                    <w:t>3</w:t>
                  </w:r>
                </w:p>
              </w:tc>
              <w:tc>
                <w:tcPr>
                  <w:tcW w:w="2094" w:type="pct"/>
                  <w:vAlign w:val="center"/>
                </w:tcPr>
                <w:p w14:paraId="768A3E2E">
                  <w:pPr>
                    <w:pStyle w:val="17"/>
                    <w:jc w:val="center"/>
                    <w:rPr>
                      <w:rFonts w:hint="default"/>
                      <w:color w:val="auto"/>
                      <w:vertAlign w:val="baseline"/>
                      <w:lang w:val="en-US" w:eastAsia="zh-CN"/>
                    </w:rPr>
                  </w:pPr>
                  <w:r>
                    <w:rPr>
                      <w:rFonts w:hint="default"/>
                      <w:color w:val="auto"/>
                      <w:vertAlign w:val="baseline"/>
                      <w:lang w:val="en-US" w:eastAsia="zh-CN"/>
                    </w:rPr>
                    <w:t>《大气污染物综合排放标准》</w:t>
                  </w:r>
                </w:p>
                <w:p w14:paraId="112295ED">
                  <w:pPr>
                    <w:pStyle w:val="17"/>
                    <w:jc w:val="center"/>
                    <w:rPr>
                      <w:rFonts w:hint="default"/>
                      <w:color w:val="auto"/>
                      <w:vertAlign w:val="baseline"/>
                      <w:lang w:val="en-US" w:eastAsia="zh-CN"/>
                    </w:rPr>
                  </w:pPr>
                  <w:r>
                    <w:rPr>
                      <w:rFonts w:hint="default"/>
                      <w:color w:val="auto"/>
                      <w:vertAlign w:val="baseline"/>
                      <w:lang w:val="en-US" w:eastAsia="zh-CN"/>
                    </w:rPr>
                    <w:t>（GB 16297-1996）</w:t>
                  </w:r>
                </w:p>
              </w:tc>
            </w:tr>
            <w:tr w14:paraId="33EC8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786" w:type="pct"/>
                  <w:vMerge w:val="continue"/>
                  <w:vAlign w:val="center"/>
                </w:tcPr>
                <w:p w14:paraId="0A99977F">
                  <w:pPr>
                    <w:pStyle w:val="17"/>
                    <w:jc w:val="center"/>
                    <w:rPr>
                      <w:color w:val="auto"/>
                    </w:rPr>
                  </w:pPr>
                </w:p>
              </w:tc>
              <w:tc>
                <w:tcPr>
                  <w:tcW w:w="1440" w:type="pct"/>
                  <w:gridSpan w:val="2"/>
                  <w:vMerge w:val="continue"/>
                  <w:vAlign w:val="center"/>
                </w:tcPr>
                <w:p w14:paraId="3136A454">
                  <w:pPr>
                    <w:pStyle w:val="17"/>
                    <w:jc w:val="center"/>
                    <w:rPr>
                      <w:color w:val="auto"/>
                    </w:rPr>
                  </w:pPr>
                </w:p>
              </w:tc>
              <w:tc>
                <w:tcPr>
                  <w:tcW w:w="678" w:type="pct"/>
                  <w:vAlign w:val="center"/>
                </w:tcPr>
                <w:p w14:paraId="1A4911CA">
                  <w:pPr>
                    <w:pStyle w:val="17"/>
                    <w:ind w:firstLine="0" w:firstLineChars="0"/>
                    <w:jc w:val="center"/>
                    <w:rPr>
                      <w:rFonts w:hint="eastAsia"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0.5mg/m</w:t>
                  </w:r>
                  <w:r>
                    <w:rPr>
                      <w:rFonts w:hint="eastAsia"/>
                      <w:color w:val="auto"/>
                      <w:vertAlign w:val="superscript"/>
                      <w:lang w:val="en-US" w:eastAsia="zh-CN"/>
                    </w:rPr>
                    <w:t>3</w:t>
                  </w:r>
                </w:p>
              </w:tc>
              <w:tc>
                <w:tcPr>
                  <w:tcW w:w="2094" w:type="pct"/>
                  <w:vAlign w:val="center"/>
                </w:tcPr>
                <w:p w14:paraId="2EC2D8C2">
                  <w:pPr>
                    <w:pStyle w:val="17"/>
                    <w:jc w:val="center"/>
                    <w:rPr>
                      <w:rFonts w:hint="default"/>
                      <w:color w:val="auto"/>
                      <w:vertAlign w:val="baseline"/>
                      <w:lang w:val="en-US" w:eastAsia="zh-CN"/>
                    </w:rPr>
                  </w:pPr>
                  <w:r>
                    <w:rPr>
                      <w:rFonts w:hint="default"/>
                      <w:color w:val="auto"/>
                      <w:vertAlign w:val="baseline"/>
                      <w:lang w:val="en-US" w:eastAsia="zh-CN"/>
                    </w:rPr>
                    <w:t>《水泥工业大气污染物排放标准》</w:t>
                  </w:r>
                </w:p>
                <w:p w14:paraId="60BAA3CD">
                  <w:pPr>
                    <w:pStyle w:val="17"/>
                    <w:ind w:firstLine="0" w:firstLineChars="0"/>
                    <w:jc w:val="center"/>
                    <w:rPr>
                      <w:rFonts w:hint="eastAsia" w:ascii="Times New Roman" w:hAnsi="Times New Roman" w:eastAsia="宋体" w:cs="Times New Roman"/>
                      <w:color w:val="auto"/>
                      <w:kern w:val="0"/>
                      <w:sz w:val="21"/>
                      <w:szCs w:val="21"/>
                      <w:vertAlign w:val="baseline"/>
                      <w:lang w:val="en-US" w:eastAsia="zh-CN" w:bidi="ar-SA"/>
                    </w:rPr>
                  </w:pPr>
                  <w:r>
                    <w:rPr>
                      <w:rFonts w:hint="default"/>
                      <w:color w:val="auto"/>
                      <w:vertAlign w:val="baseline"/>
                      <w:lang w:val="en-US" w:eastAsia="zh-CN"/>
                    </w:rPr>
                    <w:t>（GB 4915-2013）</w:t>
                  </w:r>
                </w:p>
              </w:tc>
            </w:tr>
            <w:tr w14:paraId="3033E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vMerge w:val="restart"/>
                  <w:vAlign w:val="center"/>
                </w:tcPr>
                <w:p w14:paraId="357F7CCB">
                  <w:pPr>
                    <w:pStyle w:val="17"/>
                    <w:jc w:val="center"/>
                    <w:rPr>
                      <w:rFonts w:hint="default"/>
                      <w:color w:val="auto"/>
                      <w:vertAlign w:val="baseline"/>
                      <w:lang w:val="en-US" w:eastAsia="zh-CN"/>
                    </w:rPr>
                  </w:pPr>
                  <w:r>
                    <w:rPr>
                      <w:rFonts w:hint="eastAsia"/>
                      <w:color w:val="auto"/>
                      <w:vertAlign w:val="baseline"/>
                      <w:lang w:val="en-US" w:eastAsia="zh-CN"/>
                    </w:rPr>
                    <w:t>油烟</w:t>
                  </w:r>
                </w:p>
              </w:tc>
              <w:tc>
                <w:tcPr>
                  <w:tcW w:w="1440" w:type="pct"/>
                  <w:gridSpan w:val="2"/>
                  <w:vAlign w:val="center"/>
                </w:tcPr>
                <w:p w14:paraId="32AEE5B5">
                  <w:pPr>
                    <w:pStyle w:val="17"/>
                    <w:jc w:val="center"/>
                    <w:rPr>
                      <w:rFonts w:hint="default"/>
                      <w:color w:val="auto"/>
                      <w:vertAlign w:val="baseline"/>
                      <w:lang w:val="en-US" w:eastAsia="zh-CN"/>
                    </w:rPr>
                  </w:pPr>
                  <w:r>
                    <w:rPr>
                      <w:rFonts w:hint="default"/>
                      <w:color w:val="auto"/>
                      <w:vertAlign w:val="baseline"/>
                      <w:lang w:val="en-US" w:eastAsia="zh-CN"/>
                    </w:rPr>
                    <w:t>最高允许排放浓度</w:t>
                  </w:r>
                </w:p>
              </w:tc>
              <w:tc>
                <w:tcPr>
                  <w:tcW w:w="678" w:type="pct"/>
                  <w:vAlign w:val="center"/>
                </w:tcPr>
                <w:p w14:paraId="50C6B9C6">
                  <w:pPr>
                    <w:pStyle w:val="17"/>
                    <w:jc w:val="center"/>
                    <w:rPr>
                      <w:rFonts w:hint="default"/>
                      <w:color w:val="auto"/>
                      <w:vertAlign w:val="baseline"/>
                      <w:lang w:val="en-US" w:eastAsia="zh-CN"/>
                    </w:rPr>
                  </w:pPr>
                  <w:r>
                    <w:rPr>
                      <w:rFonts w:hint="eastAsia"/>
                      <w:color w:val="auto"/>
                      <w:vertAlign w:val="baseline"/>
                      <w:lang w:val="en-US" w:eastAsia="zh-CN"/>
                    </w:rPr>
                    <w:t>2.0mg/m</w:t>
                  </w:r>
                  <w:r>
                    <w:rPr>
                      <w:rFonts w:hint="eastAsia"/>
                      <w:color w:val="auto"/>
                      <w:vertAlign w:val="superscript"/>
                      <w:lang w:val="en-US" w:eastAsia="zh-CN"/>
                    </w:rPr>
                    <w:t>3</w:t>
                  </w:r>
                </w:p>
              </w:tc>
              <w:tc>
                <w:tcPr>
                  <w:tcW w:w="2094" w:type="pct"/>
                  <w:vMerge w:val="restart"/>
                  <w:vAlign w:val="center"/>
                </w:tcPr>
                <w:p w14:paraId="2F67CE14">
                  <w:pPr>
                    <w:pStyle w:val="17"/>
                    <w:jc w:val="center"/>
                    <w:rPr>
                      <w:rFonts w:hint="default"/>
                      <w:color w:val="auto"/>
                      <w:vertAlign w:val="baseline"/>
                      <w:lang w:val="en-US" w:eastAsia="zh-CN"/>
                    </w:rPr>
                  </w:pPr>
                  <w:r>
                    <w:rPr>
                      <w:rFonts w:hint="default"/>
                      <w:color w:val="auto"/>
                      <w:vertAlign w:val="baseline"/>
                      <w:lang w:val="en-US" w:eastAsia="zh-CN"/>
                    </w:rPr>
                    <w:t>《饮食业油烟排放标准（试行）》</w:t>
                  </w:r>
                </w:p>
                <w:p w14:paraId="7459A76F">
                  <w:pPr>
                    <w:pStyle w:val="17"/>
                    <w:jc w:val="center"/>
                    <w:rPr>
                      <w:rFonts w:hint="default"/>
                      <w:color w:val="auto"/>
                      <w:vertAlign w:val="baseline"/>
                      <w:lang w:val="en-US" w:eastAsia="zh-CN"/>
                    </w:rPr>
                  </w:pPr>
                  <w:r>
                    <w:rPr>
                      <w:rFonts w:hint="default"/>
                      <w:color w:val="auto"/>
                      <w:vertAlign w:val="baseline"/>
                      <w:lang w:val="en-US" w:eastAsia="zh-CN"/>
                    </w:rPr>
                    <w:t>（GB 18483-2001）</w:t>
                  </w:r>
                </w:p>
              </w:tc>
            </w:tr>
            <w:tr w14:paraId="61BF9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vMerge w:val="continue"/>
                  <w:vAlign w:val="center"/>
                </w:tcPr>
                <w:p w14:paraId="6E4774C0">
                  <w:pPr>
                    <w:pStyle w:val="17"/>
                    <w:jc w:val="center"/>
                    <w:rPr>
                      <w:rFonts w:hint="eastAsia"/>
                      <w:color w:val="auto"/>
                      <w:vertAlign w:val="baseline"/>
                      <w:lang w:val="en-US" w:eastAsia="zh-CN"/>
                    </w:rPr>
                  </w:pPr>
                </w:p>
              </w:tc>
              <w:tc>
                <w:tcPr>
                  <w:tcW w:w="1440" w:type="pct"/>
                  <w:gridSpan w:val="2"/>
                  <w:vAlign w:val="center"/>
                </w:tcPr>
                <w:p w14:paraId="2B04BFD7">
                  <w:pPr>
                    <w:pStyle w:val="17"/>
                    <w:jc w:val="center"/>
                    <w:rPr>
                      <w:rFonts w:hint="default"/>
                      <w:color w:val="auto"/>
                      <w:vertAlign w:val="baseline"/>
                      <w:lang w:val="en-US" w:eastAsia="zh-CN"/>
                    </w:rPr>
                  </w:pPr>
                  <w:r>
                    <w:rPr>
                      <w:rFonts w:hint="default"/>
                      <w:color w:val="auto"/>
                      <w:vertAlign w:val="baseline"/>
                      <w:lang w:val="en-US" w:eastAsia="zh-CN"/>
                    </w:rPr>
                    <w:t>净化设施最低去除效率</w:t>
                  </w:r>
                </w:p>
              </w:tc>
              <w:tc>
                <w:tcPr>
                  <w:tcW w:w="678" w:type="pct"/>
                  <w:vAlign w:val="center"/>
                </w:tcPr>
                <w:p w14:paraId="11066C68">
                  <w:pPr>
                    <w:pStyle w:val="17"/>
                    <w:jc w:val="center"/>
                    <w:rPr>
                      <w:rFonts w:hint="default"/>
                      <w:color w:val="auto"/>
                      <w:vertAlign w:val="baseline"/>
                      <w:lang w:val="en-US" w:eastAsia="zh-CN"/>
                    </w:rPr>
                  </w:pPr>
                  <w:r>
                    <w:rPr>
                      <w:rFonts w:hint="eastAsia"/>
                      <w:color w:val="auto"/>
                      <w:vertAlign w:val="baseline"/>
                      <w:lang w:val="en-US" w:eastAsia="zh-CN"/>
                    </w:rPr>
                    <w:t>60%</w:t>
                  </w:r>
                </w:p>
              </w:tc>
              <w:tc>
                <w:tcPr>
                  <w:tcW w:w="2094" w:type="pct"/>
                  <w:vMerge w:val="continue"/>
                  <w:vAlign w:val="center"/>
                </w:tcPr>
                <w:p w14:paraId="687C1695">
                  <w:pPr>
                    <w:pStyle w:val="17"/>
                    <w:jc w:val="center"/>
                    <w:rPr>
                      <w:rFonts w:hint="default"/>
                      <w:color w:val="auto"/>
                      <w:vertAlign w:val="baseline"/>
                      <w:lang w:val="en-US" w:eastAsia="zh-CN"/>
                    </w:rPr>
                  </w:pPr>
                </w:p>
              </w:tc>
            </w:tr>
          </w:tbl>
          <w:p w14:paraId="7795A2D8">
            <w:pPr>
              <w:pStyle w:val="4"/>
              <w:bidi w:val="0"/>
              <w:rPr>
                <w:rFonts w:hint="eastAsia"/>
                <w:color w:val="auto"/>
                <w:lang w:val="en-US" w:eastAsia="zh-CN"/>
              </w:rPr>
            </w:pPr>
            <w:bookmarkStart w:id="306" w:name="_Toc31434"/>
            <w:bookmarkStart w:id="307" w:name="_Toc27566"/>
            <w:bookmarkStart w:id="308" w:name="_Toc32734"/>
            <w:bookmarkStart w:id="309" w:name="_Toc1093"/>
            <w:bookmarkStart w:id="310" w:name="_Toc24347"/>
            <w:r>
              <w:rPr>
                <w:rFonts w:hint="eastAsia"/>
                <w:color w:val="auto"/>
                <w:lang w:val="en-US" w:eastAsia="zh-CN"/>
              </w:rPr>
              <w:t>2、水污染物排放标准</w:t>
            </w:r>
            <w:bookmarkEnd w:id="306"/>
            <w:bookmarkEnd w:id="307"/>
            <w:bookmarkEnd w:id="308"/>
            <w:bookmarkEnd w:id="309"/>
            <w:bookmarkEnd w:id="310"/>
          </w:p>
          <w:p w14:paraId="6F27A0D1">
            <w:pPr>
              <w:rPr>
                <w:rFonts w:hint="default"/>
                <w:color w:val="auto"/>
                <w:lang w:val="en-US" w:eastAsia="zh-CN"/>
              </w:rPr>
            </w:pPr>
            <w:r>
              <w:rPr>
                <w:rFonts w:hint="eastAsia"/>
                <w:color w:val="auto"/>
                <w:lang w:val="en-US" w:eastAsia="zh-CN"/>
              </w:rPr>
              <w:t>本项目运营期生活污水经化粪池熟化后用作农肥，车辆冲洗废水经隔油池、沉淀池处理后回用于车辆冲洗，其余生产废水全部蒸发损耗或进入产品。</w:t>
            </w:r>
          </w:p>
          <w:p w14:paraId="221E844A">
            <w:pPr>
              <w:pStyle w:val="4"/>
              <w:bidi w:val="0"/>
              <w:rPr>
                <w:rFonts w:hint="eastAsia"/>
                <w:color w:val="auto"/>
                <w:lang w:val="en-US" w:eastAsia="zh-CN"/>
              </w:rPr>
            </w:pPr>
            <w:bookmarkStart w:id="311" w:name="_Toc29790"/>
            <w:bookmarkStart w:id="312" w:name="_Toc23861"/>
            <w:bookmarkStart w:id="313" w:name="_Toc18187"/>
            <w:bookmarkStart w:id="314" w:name="_Toc3080"/>
            <w:bookmarkStart w:id="315" w:name="_Toc662"/>
            <w:r>
              <w:rPr>
                <w:rFonts w:hint="eastAsia"/>
                <w:color w:val="auto"/>
                <w:lang w:val="en-US" w:eastAsia="zh-CN"/>
              </w:rPr>
              <w:t>3、噪声排放标准</w:t>
            </w:r>
            <w:bookmarkEnd w:id="311"/>
            <w:bookmarkEnd w:id="312"/>
            <w:bookmarkEnd w:id="313"/>
            <w:bookmarkEnd w:id="314"/>
            <w:bookmarkEnd w:id="315"/>
          </w:p>
          <w:p w14:paraId="39681F5E">
            <w:pPr>
              <w:rPr>
                <w:rFonts w:hint="eastAsia"/>
                <w:color w:val="auto"/>
                <w:lang w:val="en-US" w:eastAsia="zh-CN"/>
              </w:rPr>
            </w:pPr>
            <w:r>
              <w:rPr>
                <w:rFonts w:hint="eastAsia"/>
                <w:color w:val="auto"/>
                <w:lang w:val="en-US" w:eastAsia="zh-CN"/>
              </w:rPr>
              <w:t>项目施工期噪声执行《建筑施工场界环境噪声排放标准》（GB 12523-2011）表1中排放限值；运营期执行《工业企业厂界环境噪声排放标准》（GB 12348-2008）中2类标准限值，具体详见表3-4。</w:t>
            </w:r>
          </w:p>
          <w:p w14:paraId="2F239121">
            <w:pPr>
              <w:pStyle w:val="18"/>
              <w:bidi w:val="0"/>
              <w:rPr>
                <w:rFonts w:hint="eastAsia"/>
                <w:color w:val="auto"/>
                <w:lang w:val="en-US" w:eastAsia="zh-CN"/>
              </w:rPr>
            </w:pPr>
            <w:r>
              <w:rPr>
                <w:rFonts w:hint="eastAsia"/>
                <w:color w:val="auto"/>
                <w:lang w:val="en-US" w:eastAsia="zh-CN"/>
              </w:rPr>
              <w:t>表3-4 项目噪声排放标准一览表</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0"/>
              <w:gridCol w:w="5328"/>
              <w:gridCol w:w="664"/>
              <w:gridCol w:w="665"/>
            </w:tblGrid>
            <w:tr w14:paraId="224E5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pct"/>
                  <w:vAlign w:val="center"/>
                </w:tcPr>
                <w:p w14:paraId="4C681767">
                  <w:pPr>
                    <w:pStyle w:val="17"/>
                    <w:jc w:val="center"/>
                    <w:rPr>
                      <w:rFonts w:hint="default"/>
                      <w:color w:val="auto"/>
                      <w:vertAlign w:val="baseline"/>
                      <w:lang w:val="en-US" w:eastAsia="zh-CN"/>
                    </w:rPr>
                  </w:pPr>
                  <w:r>
                    <w:rPr>
                      <w:rFonts w:hint="eastAsia"/>
                      <w:color w:val="auto"/>
                      <w:vertAlign w:val="baseline"/>
                      <w:lang w:val="en-US" w:eastAsia="zh-CN"/>
                    </w:rPr>
                    <w:t>项目实施阶段</w:t>
                  </w:r>
                </w:p>
              </w:tc>
              <w:tc>
                <w:tcPr>
                  <w:tcW w:w="3257" w:type="pct"/>
                  <w:vAlign w:val="center"/>
                </w:tcPr>
                <w:p w14:paraId="5DE54648">
                  <w:pPr>
                    <w:pStyle w:val="17"/>
                    <w:jc w:val="center"/>
                    <w:rPr>
                      <w:rFonts w:hint="default"/>
                      <w:color w:val="auto"/>
                      <w:vertAlign w:val="baseline"/>
                      <w:lang w:val="en-US" w:eastAsia="zh-CN"/>
                    </w:rPr>
                  </w:pPr>
                  <w:r>
                    <w:rPr>
                      <w:rFonts w:hint="eastAsia"/>
                      <w:color w:val="auto"/>
                      <w:vertAlign w:val="baseline"/>
                      <w:lang w:val="en-US" w:eastAsia="zh-CN"/>
                    </w:rPr>
                    <w:t>排放标准</w:t>
                  </w:r>
                </w:p>
              </w:tc>
              <w:tc>
                <w:tcPr>
                  <w:tcW w:w="406" w:type="pct"/>
                  <w:vAlign w:val="center"/>
                </w:tcPr>
                <w:p w14:paraId="17D7D81B">
                  <w:pPr>
                    <w:pStyle w:val="17"/>
                    <w:jc w:val="center"/>
                    <w:rPr>
                      <w:rFonts w:hint="default"/>
                      <w:color w:val="auto"/>
                      <w:vertAlign w:val="baseline"/>
                      <w:lang w:val="en-US" w:eastAsia="zh-CN"/>
                    </w:rPr>
                  </w:pPr>
                  <w:r>
                    <w:rPr>
                      <w:rFonts w:hint="eastAsia"/>
                      <w:color w:val="auto"/>
                      <w:vertAlign w:val="baseline"/>
                      <w:lang w:val="en-US" w:eastAsia="zh-CN"/>
                    </w:rPr>
                    <w:t>昼间</w:t>
                  </w:r>
                </w:p>
              </w:tc>
              <w:tc>
                <w:tcPr>
                  <w:tcW w:w="406" w:type="pct"/>
                  <w:vAlign w:val="center"/>
                </w:tcPr>
                <w:p w14:paraId="0C599943">
                  <w:pPr>
                    <w:pStyle w:val="17"/>
                    <w:jc w:val="center"/>
                    <w:rPr>
                      <w:rFonts w:hint="default"/>
                      <w:color w:val="auto"/>
                      <w:vertAlign w:val="baseline"/>
                      <w:lang w:val="en-US" w:eastAsia="zh-CN"/>
                    </w:rPr>
                  </w:pPr>
                  <w:r>
                    <w:rPr>
                      <w:rFonts w:hint="eastAsia"/>
                      <w:color w:val="auto"/>
                      <w:vertAlign w:val="baseline"/>
                      <w:lang w:val="en-US" w:eastAsia="zh-CN"/>
                    </w:rPr>
                    <w:t>夜间</w:t>
                  </w:r>
                </w:p>
              </w:tc>
            </w:tr>
            <w:tr w14:paraId="6D0B9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pct"/>
                  <w:vAlign w:val="center"/>
                </w:tcPr>
                <w:p w14:paraId="2ABDA693">
                  <w:pPr>
                    <w:pStyle w:val="17"/>
                    <w:jc w:val="center"/>
                    <w:rPr>
                      <w:rFonts w:hint="default"/>
                      <w:color w:val="auto"/>
                      <w:vertAlign w:val="baseline"/>
                      <w:lang w:val="en-US" w:eastAsia="zh-CN"/>
                    </w:rPr>
                  </w:pPr>
                  <w:r>
                    <w:rPr>
                      <w:rFonts w:hint="eastAsia"/>
                      <w:color w:val="auto"/>
                      <w:vertAlign w:val="baseline"/>
                      <w:lang w:val="en-US" w:eastAsia="zh-CN"/>
                    </w:rPr>
                    <w:t>施工期</w:t>
                  </w:r>
                </w:p>
              </w:tc>
              <w:tc>
                <w:tcPr>
                  <w:tcW w:w="3257" w:type="pct"/>
                  <w:vAlign w:val="center"/>
                </w:tcPr>
                <w:p w14:paraId="3A7E77B3">
                  <w:pPr>
                    <w:pStyle w:val="17"/>
                    <w:jc w:val="center"/>
                    <w:rPr>
                      <w:rFonts w:hint="eastAsia"/>
                      <w:color w:val="auto"/>
                      <w:vertAlign w:val="baseline"/>
                      <w:lang w:val="en-US" w:eastAsia="zh-CN"/>
                    </w:rPr>
                  </w:pPr>
                  <w:r>
                    <w:rPr>
                      <w:rFonts w:hint="eastAsia"/>
                      <w:color w:val="auto"/>
                      <w:lang w:val="en-US" w:eastAsia="zh-CN"/>
                    </w:rPr>
                    <w:t>《建筑施工场界环境噪声排放标准》（GB 12523-2011）表1中排放限值</w:t>
                  </w:r>
                </w:p>
              </w:tc>
              <w:tc>
                <w:tcPr>
                  <w:tcW w:w="406" w:type="pct"/>
                  <w:vAlign w:val="center"/>
                </w:tcPr>
                <w:p w14:paraId="55DC33CC">
                  <w:pPr>
                    <w:pStyle w:val="17"/>
                    <w:jc w:val="center"/>
                    <w:rPr>
                      <w:rFonts w:hint="default"/>
                      <w:color w:val="auto"/>
                      <w:vertAlign w:val="baseline"/>
                      <w:lang w:val="en-US" w:eastAsia="zh-CN"/>
                    </w:rPr>
                  </w:pPr>
                  <w:r>
                    <w:rPr>
                      <w:rFonts w:hint="eastAsia"/>
                      <w:color w:val="auto"/>
                      <w:vertAlign w:val="baseline"/>
                      <w:lang w:val="en-US" w:eastAsia="zh-CN"/>
                    </w:rPr>
                    <w:t>70</w:t>
                  </w:r>
                </w:p>
              </w:tc>
              <w:tc>
                <w:tcPr>
                  <w:tcW w:w="406" w:type="pct"/>
                  <w:vAlign w:val="center"/>
                </w:tcPr>
                <w:p w14:paraId="02BF0502">
                  <w:pPr>
                    <w:pStyle w:val="17"/>
                    <w:jc w:val="center"/>
                    <w:rPr>
                      <w:rFonts w:hint="default"/>
                      <w:color w:val="auto"/>
                      <w:vertAlign w:val="baseline"/>
                      <w:lang w:val="en-US" w:eastAsia="zh-CN"/>
                    </w:rPr>
                  </w:pPr>
                  <w:r>
                    <w:rPr>
                      <w:rFonts w:hint="eastAsia"/>
                      <w:color w:val="auto"/>
                      <w:vertAlign w:val="baseline"/>
                      <w:lang w:val="en-US" w:eastAsia="zh-CN"/>
                    </w:rPr>
                    <w:t>55</w:t>
                  </w:r>
                </w:p>
              </w:tc>
            </w:tr>
            <w:tr w14:paraId="0CEDE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pct"/>
                  <w:vAlign w:val="center"/>
                </w:tcPr>
                <w:p w14:paraId="2D6D82C2">
                  <w:pPr>
                    <w:pStyle w:val="17"/>
                    <w:jc w:val="center"/>
                    <w:rPr>
                      <w:rFonts w:hint="default"/>
                      <w:color w:val="auto"/>
                      <w:vertAlign w:val="baseline"/>
                      <w:lang w:val="en-US" w:eastAsia="zh-CN"/>
                    </w:rPr>
                  </w:pPr>
                  <w:r>
                    <w:rPr>
                      <w:rFonts w:hint="eastAsia"/>
                      <w:color w:val="auto"/>
                      <w:vertAlign w:val="baseline"/>
                      <w:lang w:val="en-US" w:eastAsia="zh-CN"/>
                    </w:rPr>
                    <w:t>运营期</w:t>
                  </w:r>
                </w:p>
              </w:tc>
              <w:tc>
                <w:tcPr>
                  <w:tcW w:w="3257" w:type="pct"/>
                  <w:vAlign w:val="center"/>
                </w:tcPr>
                <w:p w14:paraId="445EFA03">
                  <w:pPr>
                    <w:pStyle w:val="17"/>
                    <w:jc w:val="center"/>
                    <w:rPr>
                      <w:rFonts w:hint="eastAsia"/>
                      <w:color w:val="auto"/>
                      <w:vertAlign w:val="baseline"/>
                      <w:lang w:val="en-US" w:eastAsia="zh-CN"/>
                    </w:rPr>
                  </w:pPr>
                  <w:r>
                    <w:rPr>
                      <w:rFonts w:hint="eastAsia"/>
                      <w:color w:val="auto"/>
                      <w:lang w:val="en-US" w:eastAsia="zh-CN"/>
                    </w:rPr>
                    <w:t>《工业企业厂界环境噪声排放标准》（GB 12348-2008）中2类标准限值</w:t>
                  </w:r>
                </w:p>
              </w:tc>
              <w:tc>
                <w:tcPr>
                  <w:tcW w:w="406" w:type="pct"/>
                  <w:vAlign w:val="center"/>
                </w:tcPr>
                <w:p w14:paraId="43F817BC">
                  <w:pPr>
                    <w:pStyle w:val="17"/>
                    <w:jc w:val="center"/>
                    <w:rPr>
                      <w:rFonts w:hint="default"/>
                      <w:color w:val="auto"/>
                      <w:vertAlign w:val="baseline"/>
                      <w:lang w:val="en-US" w:eastAsia="zh-CN"/>
                    </w:rPr>
                  </w:pPr>
                  <w:r>
                    <w:rPr>
                      <w:rFonts w:hint="eastAsia"/>
                      <w:color w:val="auto"/>
                      <w:vertAlign w:val="baseline"/>
                      <w:lang w:val="en-US" w:eastAsia="zh-CN"/>
                    </w:rPr>
                    <w:t>60</w:t>
                  </w:r>
                </w:p>
              </w:tc>
              <w:tc>
                <w:tcPr>
                  <w:tcW w:w="406" w:type="pct"/>
                  <w:vAlign w:val="center"/>
                </w:tcPr>
                <w:p w14:paraId="6690005E">
                  <w:pPr>
                    <w:pStyle w:val="17"/>
                    <w:jc w:val="center"/>
                    <w:rPr>
                      <w:rFonts w:hint="default"/>
                      <w:color w:val="auto"/>
                      <w:vertAlign w:val="baseline"/>
                      <w:lang w:val="en-US" w:eastAsia="zh-CN"/>
                    </w:rPr>
                  </w:pPr>
                  <w:r>
                    <w:rPr>
                      <w:rFonts w:hint="eastAsia"/>
                      <w:color w:val="auto"/>
                      <w:vertAlign w:val="baseline"/>
                      <w:lang w:val="en-US" w:eastAsia="zh-CN"/>
                    </w:rPr>
                    <w:t>50</w:t>
                  </w:r>
                </w:p>
              </w:tc>
            </w:tr>
          </w:tbl>
          <w:p w14:paraId="62BC4357">
            <w:pPr>
              <w:rPr>
                <w:rFonts w:hint="default"/>
                <w:color w:val="auto"/>
                <w:lang w:val="en-US" w:eastAsia="zh-CN"/>
              </w:rPr>
            </w:pPr>
          </w:p>
        </w:tc>
      </w:tr>
      <w:tr w14:paraId="0FABDA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391" w:type="pct"/>
            <w:noWrap w:val="0"/>
            <w:vAlign w:val="center"/>
          </w:tcPr>
          <w:p w14:paraId="04C3C15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cs="宋体"/>
                <w:color w:val="auto"/>
                <w:kern w:val="0"/>
                <w:szCs w:val="21"/>
              </w:rPr>
            </w:pPr>
            <w:r>
              <w:rPr>
                <w:rFonts w:hint="eastAsia" w:ascii="宋体" w:hAnsi="宋体" w:cs="宋体"/>
                <w:color w:val="auto"/>
                <w:kern w:val="0"/>
                <w:szCs w:val="21"/>
              </w:rPr>
              <w:t>总量</w:t>
            </w:r>
          </w:p>
          <w:p w14:paraId="6E1335F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cs="宋体"/>
                <w:color w:val="auto"/>
                <w:kern w:val="0"/>
                <w:szCs w:val="21"/>
              </w:rPr>
            </w:pPr>
            <w:r>
              <w:rPr>
                <w:rFonts w:hint="eastAsia" w:ascii="宋体" w:hAnsi="宋体" w:cs="宋体"/>
                <w:color w:val="auto"/>
                <w:kern w:val="0"/>
                <w:szCs w:val="21"/>
              </w:rPr>
              <w:t>控制</w:t>
            </w:r>
          </w:p>
          <w:p w14:paraId="2FE29DF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宋体" w:hAnsi="宋体" w:cs="宋体"/>
                <w:color w:val="auto"/>
                <w:kern w:val="0"/>
                <w:szCs w:val="21"/>
              </w:rPr>
            </w:pPr>
            <w:r>
              <w:rPr>
                <w:rFonts w:hint="eastAsia" w:ascii="宋体" w:hAnsi="宋体" w:cs="宋体"/>
                <w:color w:val="auto"/>
                <w:kern w:val="0"/>
                <w:szCs w:val="21"/>
              </w:rPr>
              <w:t>指标</w:t>
            </w:r>
          </w:p>
        </w:tc>
        <w:tc>
          <w:tcPr>
            <w:tcW w:w="4608" w:type="pct"/>
            <w:noWrap w:val="0"/>
            <w:vAlign w:val="center"/>
          </w:tcPr>
          <w:p w14:paraId="77D5CBE5">
            <w:pPr>
              <w:bidi w:val="0"/>
              <w:rPr>
                <w:rFonts w:hint="eastAsia" w:eastAsia="宋体"/>
                <w:color w:val="auto"/>
                <w:lang w:val="en-US" w:eastAsia="zh-CN"/>
              </w:rPr>
            </w:pPr>
            <w:r>
              <w:rPr>
                <w:rFonts w:hint="eastAsia" w:eastAsia="宋体"/>
                <w:color w:val="auto"/>
                <w:lang w:val="en-US" w:eastAsia="zh-CN"/>
              </w:rPr>
              <w:t>根据《中华人民共和国国民经济和社会发展第十三个五年规划纲要》对“十三五”期间总量控制的要求以及《湖南省“十三五”主要污染物减排规划》，湖南省主要对COD、NH</w:t>
            </w:r>
            <w:r>
              <w:rPr>
                <w:rFonts w:hint="eastAsia" w:eastAsia="宋体"/>
                <w:color w:val="auto"/>
                <w:vertAlign w:val="subscript"/>
                <w:lang w:val="en-US" w:eastAsia="zh-CN"/>
              </w:rPr>
              <w:t>3</w:t>
            </w:r>
            <w:r>
              <w:rPr>
                <w:rFonts w:hint="eastAsia" w:eastAsia="宋体"/>
                <w:color w:val="auto"/>
                <w:lang w:val="en-US" w:eastAsia="zh-CN"/>
              </w:rPr>
              <w:t>-N、SO</w:t>
            </w:r>
            <w:r>
              <w:rPr>
                <w:rFonts w:hint="eastAsia" w:eastAsia="宋体"/>
                <w:color w:val="auto"/>
                <w:vertAlign w:val="subscript"/>
                <w:lang w:val="en-US" w:eastAsia="zh-CN"/>
              </w:rPr>
              <w:t>2</w:t>
            </w:r>
            <w:r>
              <w:rPr>
                <w:rFonts w:hint="eastAsia" w:eastAsia="宋体"/>
                <w:color w:val="auto"/>
                <w:lang w:val="en-US" w:eastAsia="zh-CN"/>
              </w:rPr>
              <w:t>、NO</w:t>
            </w:r>
            <w:r>
              <w:rPr>
                <w:rFonts w:hint="eastAsia"/>
                <w:color w:val="auto"/>
                <w:vertAlign w:val="subscript"/>
                <w:lang w:val="en-US" w:eastAsia="zh-CN"/>
              </w:rPr>
              <w:t>X</w:t>
            </w:r>
            <w:r>
              <w:rPr>
                <w:rFonts w:hint="eastAsia" w:eastAsia="宋体"/>
                <w:color w:val="auto"/>
                <w:lang w:val="en-US" w:eastAsia="zh-CN"/>
              </w:rPr>
              <w:t>和VOCs五项污染物实施总量控制，环洞庭湖（岳阳、常德、益阳）区域增加对总磷的总量控制。</w:t>
            </w:r>
          </w:p>
          <w:p w14:paraId="7CA66E6F">
            <w:pPr>
              <w:pStyle w:val="4"/>
              <w:bidi w:val="0"/>
              <w:rPr>
                <w:rFonts w:hint="eastAsia"/>
                <w:color w:val="auto"/>
                <w:lang w:val="en-US" w:eastAsia="zh-CN"/>
              </w:rPr>
            </w:pPr>
            <w:bookmarkStart w:id="316" w:name="_Toc25816"/>
            <w:bookmarkStart w:id="317" w:name="_Toc21669"/>
            <w:bookmarkStart w:id="318" w:name="_Toc5093"/>
            <w:bookmarkStart w:id="319" w:name="_Toc31952"/>
            <w:bookmarkStart w:id="320" w:name="_Toc6762"/>
            <w:r>
              <w:rPr>
                <w:rFonts w:hint="eastAsia"/>
                <w:color w:val="auto"/>
                <w:lang w:val="en-US" w:eastAsia="zh-CN"/>
              </w:rPr>
              <w:t>1、废水总量控制建议指标</w:t>
            </w:r>
            <w:bookmarkEnd w:id="316"/>
            <w:bookmarkEnd w:id="317"/>
            <w:bookmarkEnd w:id="318"/>
            <w:bookmarkEnd w:id="319"/>
            <w:bookmarkEnd w:id="320"/>
          </w:p>
          <w:p w14:paraId="6CA96454">
            <w:pPr>
              <w:bidi w:val="0"/>
              <w:rPr>
                <w:rFonts w:hint="eastAsia" w:eastAsia="宋体"/>
                <w:color w:val="auto"/>
                <w:lang w:val="en-US" w:eastAsia="zh-CN"/>
              </w:rPr>
            </w:pPr>
            <w:r>
              <w:rPr>
                <w:rFonts w:hint="eastAsia" w:eastAsia="宋体"/>
                <w:color w:val="auto"/>
                <w:lang w:val="en-US" w:eastAsia="zh-CN"/>
              </w:rPr>
              <w:t>根据</w:t>
            </w:r>
            <w:r>
              <w:rPr>
                <w:rFonts w:hint="eastAsia"/>
                <w:color w:val="auto"/>
                <w:lang w:val="en-US" w:eastAsia="zh-CN"/>
              </w:rPr>
              <w:t>生态环境部</w:t>
            </w:r>
            <w:r>
              <w:rPr>
                <w:rFonts w:hint="eastAsia" w:eastAsia="宋体"/>
                <w:color w:val="auto"/>
                <w:lang w:val="en-US" w:eastAsia="zh-CN"/>
              </w:rPr>
              <w:t>和湖南省实施总量控制的要求，本项目需要进行总量控制的废水污染物为COD和NH</w:t>
            </w:r>
            <w:r>
              <w:rPr>
                <w:rFonts w:hint="eastAsia" w:eastAsia="宋体"/>
                <w:color w:val="auto"/>
                <w:vertAlign w:val="subscript"/>
                <w:lang w:val="en-US" w:eastAsia="zh-CN"/>
              </w:rPr>
              <w:t>3</w:t>
            </w:r>
            <w:r>
              <w:rPr>
                <w:rFonts w:hint="eastAsia" w:eastAsia="宋体"/>
                <w:color w:val="auto"/>
                <w:lang w:val="en-US" w:eastAsia="zh-CN"/>
              </w:rPr>
              <w:t>-N。</w:t>
            </w:r>
          </w:p>
          <w:p w14:paraId="10751907">
            <w:pPr>
              <w:bidi w:val="0"/>
              <w:rPr>
                <w:rFonts w:hint="default" w:eastAsia="宋体"/>
                <w:color w:val="auto"/>
                <w:lang w:val="en-US" w:eastAsia="zh-CN"/>
              </w:rPr>
            </w:pPr>
            <w:r>
              <w:rPr>
                <w:rFonts w:hint="eastAsia"/>
                <w:color w:val="auto"/>
                <w:lang w:val="en-US" w:eastAsia="zh-CN"/>
              </w:rPr>
              <w:t>生活污水经化粪池熟化后用作农肥，车辆冲洗废水经隔油池、沉淀池处理后回用于车辆冲洗，其余生产废水全部蒸发损耗或进入产品。因此本项目无需废水总量控制指标。</w:t>
            </w:r>
          </w:p>
          <w:p w14:paraId="7EAC6F24">
            <w:pPr>
              <w:pStyle w:val="4"/>
              <w:bidi w:val="0"/>
              <w:rPr>
                <w:rFonts w:hint="eastAsia"/>
                <w:color w:val="auto"/>
                <w:lang w:val="en-US" w:eastAsia="zh-CN"/>
              </w:rPr>
            </w:pPr>
            <w:bookmarkStart w:id="321" w:name="_Toc17909"/>
            <w:bookmarkStart w:id="322" w:name="_Toc13136"/>
            <w:bookmarkStart w:id="323" w:name="_Toc31987"/>
            <w:bookmarkStart w:id="324" w:name="_Toc8744"/>
            <w:bookmarkStart w:id="325" w:name="_Toc16500"/>
            <w:r>
              <w:rPr>
                <w:rFonts w:hint="eastAsia"/>
                <w:color w:val="auto"/>
                <w:lang w:val="en-US" w:eastAsia="zh-CN"/>
              </w:rPr>
              <w:t>2、废气总量控制建议指标</w:t>
            </w:r>
            <w:bookmarkEnd w:id="321"/>
            <w:bookmarkEnd w:id="322"/>
            <w:bookmarkEnd w:id="323"/>
            <w:bookmarkEnd w:id="324"/>
            <w:bookmarkEnd w:id="325"/>
          </w:p>
          <w:p w14:paraId="3B35C435">
            <w:pPr>
              <w:bidi w:val="0"/>
              <w:rPr>
                <w:rFonts w:hint="eastAsia" w:eastAsia="宋体"/>
                <w:color w:val="auto"/>
                <w:lang w:val="en-US" w:eastAsia="zh-CN"/>
              </w:rPr>
            </w:pPr>
            <w:r>
              <w:rPr>
                <w:rFonts w:hint="eastAsia" w:eastAsia="宋体"/>
                <w:color w:val="auto"/>
                <w:lang w:val="en-US" w:eastAsia="zh-CN"/>
              </w:rPr>
              <w:t>本项目产生的大气污染物为颗粒物、油烟以及少量的CO、NO</w:t>
            </w:r>
            <w:r>
              <w:rPr>
                <w:rFonts w:hint="eastAsia" w:eastAsia="宋体"/>
                <w:color w:val="auto"/>
                <w:vertAlign w:val="subscript"/>
                <w:lang w:val="en-US" w:eastAsia="zh-CN"/>
              </w:rPr>
              <w:t>X</w:t>
            </w:r>
            <w:r>
              <w:rPr>
                <w:rFonts w:hint="eastAsia" w:eastAsia="宋体"/>
                <w:color w:val="auto"/>
                <w:lang w:val="en-US" w:eastAsia="zh-CN"/>
              </w:rPr>
              <w:t>、THC，根据</w:t>
            </w:r>
            <w:r>
              <w:rPr>
                <w:rFonts w:hint="eastAsia"/>
                <w:color w:val="auto"/>
                <w:lang w:val="en-US" w:eastAsia="zh-CN"/>
              </w:rPr>
              <w:t>生态环境部</w:t>
            </w:r>
            <w:r>
              <w:rPr>
                <w:rFonts w:hint="eastAsia" w:eastAsia="宋体"/>
                <w:color w:val="auto"/>
                <w:lang w:val="en-US" w:eastAsia="zh-CN"/>
              </w:rPr>
              <w:t>和湖南省实施总量控制的要求，本项目无需</w:t>
            </w:r>
            <w:r>
              <w:rPr>
                <w:rFonts w:hint="eastAsia"/>
                <w:color w:val="auto"/>
                <w:lang w:val="en-US" w:eastAsia="zh-CN"/>
              </w:rPr>
              <w:t>废气</w:t>
            </w:r>
            <w:r>
              <w:rPr>
                <w:rFonts w:hint="eastAsia" w:eastAsia="宋体"/>
                <w:color w:val="auto"/>
                <w:lang w:val="en-US" w:eastAsia="zh-CN"/>
              </w:rPr>
              <w:t>总量控制</w:t>
            </w:r>
            <w:r>
              <w:rPr>
                <w:rFonts w:hint="eastAsia"/>
                <w:color w:val="auto"/>
                <w:lang w:val="en-US" w:eastAsia="zh-CN"/>
              </w:rPr>
              <w:t>指标</w:t>
            </w:r>
            <w:r>
              <w:rPr>
                <w:rFonts w:hint="eastAsia" w:eastAsia="宋体"/>
                <w:color w:val="auto"/>
                <w:lang w:val="en-US" w:eastAsia="zh-CN"/>
              </w:rPr>
              <w:t>。</w:t>
            </w:r>
          </w:p>
        </w:tc>
      </w:tr>
    </w:tbl>
    <w:p w14:paraId="5EEBEC7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outlineLvl w:val="0"/>
        <w:rPr>
          <w:rStyle w:val="15"/>
          <w:color w:val="auto"/>
        </w:rPr>
      </w:pPr>
      <w:r>
        <w:rPr>
          <w:rFonts w:ascii="黑体" w:hAnsi="黑体" w:eastAsia="黑体"/>
          <w:snapToGrid w:val="0"/>
          <w:color w:val="auto"/>
          <w:sz w:val="36"/>
          <w:szCs w:val="36"/>
        </w:rPr>
        <w:br w:type="page"/>
      </w:r>
      <w:bookmarkStart w:id="326" w:name="_Toc6567"/>
      <w:r>
        <w:rPr>
          <w:rStyle w:val="15"/>
          <w:rFonts w:hint="eastAsia"/>
          <w:color w:val="auto"/>
        </w:rPr>
        <w:t>四、主要环境影响和保护措施</w:t>
      </w:r>
      <w:bookmarkEnd w:id="326"/>
    </w:p>
    <w:tbl>
      <w:tblPr>
        <w:tblStyle w:val="12"/>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8227"/>
      </w:tblGrid>
      <w:tr w14:paraId="19F03D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49" w:hRule="atLeast"/>
          <w:jc w:val="center"/>
        </w:trPr>
        <w:tc>
          <w:tcPr>
            <w:tcW w:w="418" w:type="pct"/>
            <w:noWrap w:val="0"/>
            <w:tcMar>
              <w:left w:w="28" w:type="dxa"/>
              <w:right w:w="28" w:type="dxa"/>
            </w:tcMar>
            <w:vAlign w:val="center"/>
          </w:tcPr>
          <w:p w14:paraId="6D7C9C9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color w:val="auto"/>
              </w:rPr>
            </w:pPr>
            <w:r>
              <w:rPr>
                <w:rFonts w:hint="eastAsia"/>
                <w:color w:val="auto"/>
              </w:rPr>
              <w:t>施工</w:t>
            </w:r>
          </w:p>
          <w:p w14:paraId="3CBB38F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color w:val="auto"/>
              </w:rPr>
            </w:pPr>
            <w:r>
              <w:rPr>
                <w:rFonts w:hint="eastAsia"/>
                <w:color w:val="auto"/>
              </w:rPr>
              <w:t>期环</w:t>
            </w:r>
          </w:p>
          <w:p w14:paraId="11DE1FA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color w:val="auto"/>
              </w:rPr>
            </w:pPr>
            <w:r>
              <w:rPr>
                <w:rFonts w:hint="eastAsia"/>
                <w:color w:val="auto"/>
              </w:rPr>
              <w:t>境保</w:t>
            </w:r>
          </w:p>
          <w:p w14:paraId="7E2BD67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color w:val="auto"/>
              </w:rPr>
            </w:pPr>
            <w:r>
              <w:rPr>
                <w:rFonts w:hint="eastAsia"/>
                <w:color w:val="auto"/>
              </w:rPr>
              <w:t>护措</w:t>
            </w:r>
          </w:p>
          <w:p w14:paraId="07A6F0C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color w:val="auto"/>
              </w:rPr>
            </w:pPr>
            <w:r>
              <w:rPr>
                <w:rFonts w:hint="eastAsia"/>
                <w:color w:val="auto"/>
              </w:rPr>
              <w:t>施</w:t>
            </w:r>
          </w:p>
        </w:tc>
        <w:tc>
          <w:tcPr>
            <w:tcW w:w="4581" w:type="pct"/>
            <w:noWrap w:val="0"/>
            <w:vAlign w:val="center"/>
          </w:tcPr>
          <w:p w14:paraId="784F01DE">
            <w:pPr>
              <w:pStyle w:val="4"/>
              <w:bidi w:val="0"/>
              <w:rPr>
                <w:rFonts w:hint="eastAsia"/>
                <w:color w:val="auto"/>
                <w:lang w:val="en-US" w:eastAsia="zh-CN"/>
              </w:rPr>
            </w:pPr>
            <w:bookmarkStart w:id="327" w:name="_Toc1275"/>
            <w:bookmarkStart w:id="328" w:name="_Toc23289"/>
            <w:bookmarkStart w:id="329" w:name="_Toc23361"/>
            <w:bookmarkStart w:id="330" w:name="_Toc10217"/>
            <w:bookmarkStart w:id="331" w:name="_Toc16509"/>
            <w:r>
              <w:rPr>
                <w:rFonts w:hint="eastAsia"/>
                <w:color w:val="auto"/>
                <w:lang w:val="en-US" w:eastAsia="zh-CN"/>
              </w:rPr>
              <w:t>1、施工期污染源分析</w:t>
            </w:r>
            <w:bookmarkEnd w:id="327"/>
            <w:bookmarkEnd w:id="328"/>
            <w:bookmarkEnd w:id="329"/>
            <w:bookmarkEnd w:id="330"/>
            <w:bookmarkEnd w:id="331"/>
          </w:p>
          <w:p w14:paraId="0DB4BFA2">
            <w:pPr>
              <w:pStyle w:val="5"/>
              <w:bidi w:val="0"/>
              <w:rPr>
                <w:rFonts w:hint="eastAsia"/>
                <w:color w:val="auto"/>
                <w:lang w:val="en-US" w:eastAsia="zh-CN"/>
              </w:rPr>
            </w:pPr>
            <w:bookmarkStart w:id="332" w:name="_Toc17792"/>
            <w:bookmarkStart w:id="333" w:name="_Toc23799"/>
            <w:bookmarkStart w:id="334" w:name="_Toc31229"/>
            <w:bookmarkStart w:id="335" w:name="_Toc2986"/>
            <w:bookmarkStart w:id="336" w:name="_Toc21847"/>
            <w:r>
              <w:rPr>
                <w:rFonts w:hint="eastAsia"/>
                <w:color w:val="auto"/>
                <w:lang w:val="en-US" w:eastAsia="zh-CN"/>
              </w:rPr>
              <w:t>1.1 施工工序及产污环节</w:t>
            </w:r>
            <w:bookmarkEnd w:id="332"/>
            <w:bookmarkEnd w:id="333"/>
            <w:bookmarkEnd w:id="334"/>
            <w:bookmarkEnd w:id="335"/>
            <w:bookmarkEnd w:id="336"/>
          </w:p>
          <w:p w14:paraId="49402082">
            <w:pPr>
              <w:rPr>
                <w:rFonts w:hint="default"/>
                <w:color w:val="auto"/>
                <w:lang w:val="en-US" w:eastAsia="zh-CN"/>
              </w:rPr>
            </w:pPr>
            <w:r>
              <w:rPr>
                <w:rFonts w:hint="eastAsia"/>
                <w:color w:val="auto"/>
                <w:lang w:val="en-US" w:eastAsia="zh-CN"/>
              </w:rPr>
              <w:t>本项目建设内容主要为生产厂房2#的新建和设备安装与原料堆场2#的新建，以及配套的公用工程、辅助工程和环保工程等，施工期对环境的影响主要表现在施工扬尘、施工噪声、施工期固体废弃物和施工废水等，基本工序流程及产污环节如图4-1所示。</w:t>
            </w:r>
          </w:p>
          <w:p w14:paraId="40958A05">
            <w:pPr>
              <w:pStyle w:val="17"/>
              <w:bidi w:val="0"/>
              <w:rPr>
                <w:rFonts w:hint="default"/>
                <w:color w:val="auto"/>
                <w:lang w:val="en-US" w:eastAsia="zh-CN"/>
              </w:rPr>
            </w:pPr>
            <w:r>
              <w:rPr>
                <w:rFonts w:hint="default"/>
                <w:color w:val="auto"/>
                <w:lang w:val="en-US" w:eastAsia="zh-CN"/>
              </w:rPr>
              <w:object>
                <v:shape id="_x0000_i1037" o:spt="75" type="#_x0000_t75" style="height:138pt;width:201.75pt;" o:ole="t" filled="f" o:preferrelative="t" stroked="f" coordsize="21600,21600">
                  <v:path/>
                  <v:fill on="f" focussize="0,0"/>
                  <v:stroke on="f"/>
                  <v:imagedata r:id="rId36" o:title=""/>
                  <o:lock v:ext="edit" aspectratio="f"/>
                  <w10:wrap type="none"/>
                  <w10:anchorlock/>
                </v:shape>
                <o:OLEObject Type="Embed" ProgID="Visio.Drawing.11" ShapeID="_x0000_i1037" DrawAspect="Content" ObjectID="_1468075737" r:id="rId35">
                  <o:LockedField>false</o:LockedField>
                </o:OLEObject>
              </w:object>
            </w:r>
          </w:p>
          <w:p w14:paraId="5B61FA64">
            <w:pPr>
              <w:pStyle w:val="18"/>
              <w:bidi w:val="0"/>
              <w:rPr>
                <w:rFonts w:hint="eastAsia"/>
                <w:color w:val="auto"/>
                <w:lang w:val="en-US" w:eastAsia="zh-CN"/>
              </w:rPr>
            </w:pPr>
            <w:r>
              <w:rPr>
                <w:rFonts w:hint="eastAsia"/>
                <w:color w:val="auto"/>
                <w:lang w:val="en-US" w:eastAsia="zh-CN"/>
              </w:rPr>
              <w:t>图4-1 项目施工期施工工序及产污环节图</w:t>
            </w:r>
          </w:p>
          <w:p w14:paraId="05672AFB">
            <w:pPr>
              <w:pStyle w:val="4"/>
              <w:bidi w:val="0"/>
              <w:rPr>
                <w:rFonts w:hint="eastAsia"/>
                <w:color w:val="auto"/>
                <w:lang w:val="en-US" w:eastAsia="zh-CN"/>
              </w:rPr>
            </w:pPr>
            <w:bookmarkStart w:id="337" w:name="_Toc26202"/>
            <w:bookmarkStart w:id="338" w:name="_Toc17240"/>
            <w:bookmarkStart w:id="339" w:name="_Toc31419"/>
            <w:bookmarkStart w:id="340" w:name="_Toc14206"/>
            <w:bookmarkStart w:id="341" w:name="_Toc21958"/>
            <w:r>
              <w:rPr>
                <w:rFonts w:hint="eastAsia"/>
                <w:color w:val="auto"/>
                <w:lang w:val="en-US" w:eastAsia="zh-CN"/>
              </w:rPr>
              <w:t>2、施工期环境影响分析</w:t>
            </w:r>
            <w:bookmarkEnd w:id="337"/>
            <w:bookmarkEnd w:id="338"/>
            <w:bookmarkEnd w:id="339"/>
            <w:bookmarkEnd w:id="340"/>
            <w:bookmarkEnd w:id="341"/>
          </w:p>
          <w:p w14:paraId="579AC471">
            <w:pPr>
              <w:pStyle w:val="5"/>
              <w:bidi w:val="0"/>
              <w:rPr>
                <w:rFonts w:hint="eastAsia"/>
                <w:color w:val="auto"/>
                <w:lang w:val="en-US" w:eastAsia="zh-CN"/>
              </w:rPr>
            </w:pPr>
            <w:bookmarkStart w:id="342" w:name="_Toc23457"/>
            <w:bookmarkStart w:id="343" w:name="_Toc12100"/>
            <w:bookmarkStart w:id="344" w:name="_Toc3968"/>
            <w:bookmarkStart w:id="345" w:name="_Toc26887"/>
            <w:bookmarkStart w:id="346" w:name="_Toc16416"/>
            <w:r>
              <w:rPr>
                <w:rFonts w:hint="eastAsia"/>
                <w:color w:val="auto"/>
                <w:lang w:val="en-US" w:eastAsia="zh-CN"/>
              </w:rPr>
              <w:t>2.1 施工期大气环境影响分析</w:t>
            </w:r>
            <w:bookmarkEnd w:id="342"/>
            <w:bookmarkEnd w:id="343"/>
            <w:bookmarkEnd w:id="344"/>
            <w:bookmarkEnd w:id="345"/>
            <w:bookmarkEnd w:id="346"/>
          </w:p>
          <w:p w14:paraId="3071F63C">
            <w:pPr>
              <w:bidi w:val="0"/>
              <w:rPr>
                <w:rFonts w:hint="eastAsia"/>
                <w:color w:val="auto"/>
                <w:lang w:val="en-US" w:eastAsia="zh-CN"/>
              </w:rPr>
            </w:pPr>
            <w:r>
              <w:rPr>
                <w:rFonts w:hint="eastAsia"/>
                <w:color w:val="auto"/>
                <w:lang w:val="en-US" w:eastAsia="zh-CN"/>
              </w:rPr>
              <w:t>施工期大气污染物主要为施工扬尘和运输车辆产生的车辆尾气等。</w:t>
            </w:r>
          </w:p>
          <w:p w14:paraId="1D6B989D">
            <w:pPr>
              <w:rPr>
                <w:rFonts w:hint="eastAsia"/>
                <w:color w:val="auto"/>
                <w:lang w:val="en-US" w:eastAsia="zh-CN"/>
              </w:rPr>
            </w:pPr>
            <w:r>
              <w:rPr>
                <w:rFonts w:hint="eastAsia"/>
                <w:color w:val="auto"/>
                <w:lang w:val="en-US" w:eastAsia="zh-CN"/>
              </w:rPr>
              <w:t>对整个施工期而言，施工扬尘主要集中在土建施工阶段，按起尘原因可分为风力起尘和动力起尘。其中，风力起尘主要是由于露天堆放的建材（如水泥等）及裸露的施工区表层浮尘由于天气干燥及大风，产生风力扬尘；动力起尘主要是在建材装卸、搅拌的过程中，由于外力而产生的尘粒悬浮造成，其中施工及装卸车辆造成的扬尘最为严重。</w:t>
            </w:r>
          </w:p>
          <w:p w14:paraId="65AB3862">
            <w:pPr>
              <w:bidi w:val="0"/>
              <w:rPr>
                <w:rFonts w:hint="default" w:ascii="Times New Roman" w:hAnsi="Times New Roman" w:cs="Times New Roman"/>
                <w:color w:val="auto"/>
                <w:lang w:val="en-US" w:eastAsia="zh-CN"/>
              </w:rPr>
            </w:pPr>
            <w:r>
              <w:rPr>
                <w:rFonts w:hint="eastAsia"/>
                <w:color w:val="auto"/>
                <w:lang w:val="en-US" w:eastAsia="zh-CN"/>
              </w:rPr>
              <w:t>（1）</w:t>
            </w:r>
            <w:r>
              <w:rPr>
                <w:rFonts w:hint="default" w:ascii="Times New Roman" w:hAnsi="Times New Roman" w:cs="Times New Roman"/>
                <w:color w:val="auto"/>
                <w:lang w:val="en-US" w:eastAsia="zh-CN"/>
              </w:rPr>
              <w:t>车辆行驶扬尘</w:t>
            </w:r>
          </w:p>
          <w:p w14:paraId="71B09EDA">
            <w:pPr>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据有关调查显示，施工作业现场扬尘主要</w:t>
            </w:r>
            <w:r>
              <w:rPr>
                <w:rFonts w:hint="eastAsia" w:cs="Times New Roman"/>
                <w:color w:val="auto"/>
                <w:lang w:val="en-US" w:eastAsia="zh-CN"/>
              </w:rPr>
              <w:t>来自</w:t>
            </w:r>
            <w:r>
              <w:rPr>
                <w:rFonts w:hint="default" w:ascii="Times New Roman" w:hAnsi="Times New Roman" w:cs="Times New Roman"/>
                <w:color w:val="auto"/>
                <w:lang w:val="en-US" w:eastAsia="zh-CN"/>
              </w:rPr>
              <w:t>运输车辆在行驶过程中产生的扬尘，其产生量占工地扬尘总量的60%以上。车辆在行驶过程中产生的扬尘，在完全干燥的情况下，可按如下经验公式计算：</w:t>
            </w:r>
          </w:p>
          <w:p w14:paraId="51EAE46D">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cs="Times New Roman"/>
                <w:b w:val="0"/>
                <w:bCs w:val="0"/>
                <w:color w:val="auto"/>
                <w:kern w:val="0"/>
                <w:sz w:val="24"/>
                <w:szCs w:val="21"/>
                <w:lang w:val="en-US" w:eastAsia="zh-CN"/>
              </w:rPr>
            </w:pPr>
            <w:r>
              <w:rPr>
                <w:rFonts w:hint="default" w:ascii="Times New Roman" w:hAnsi="Times New Roman" w:cs="Times New Roman"/>
                <w:b w:val="0"/>
                <w:bCs w:val="0"/>
                <w:color w:val="auto"/>
                <w:kern w:val="0"/>
                <w:position w:val="-28"/>
                <w:sz w:val="24"/>
                <w:szCs w:val="21"/>
                <w:lang w:val="en-US" w:eastAsia="zh-CN"/>
              </w:rPr>
              <w:object>
                <v:shape id="_x0000_i1038" o:spt="75" type="#_x0000_t75" style="height:37pt;width:155pt;" o:ole="t" filled="f" o:preferrelative="t" stroked="f" coordsize="21600,21600">
                  <v:path/>
                  <v:fill on="f" focussize="0,0"/>
                  <v:stroke on="f"/>
                  <v:imagedata r:id="rId38" o:title=""/>
                  <o:lock v:ext="edit" aspectratio="t"/>
                  <w10:wrap type="none"/>
                  <w10:anchorlock/>
                </v:shape>
                <o:OLEObject Type="Embed" ProgID="Equation.KSEE3" ShapeID="_x0000_i1038" DrawAspect="Content" ObjectID="_1468075738" r:id="rId37">
                  <o:LockedField>false</o:LockedField>
                </o:OLEObject>
              </w:object>
            </w:r>
          </w:p>
          <w:p w14:paraId="355D924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 w:val="0"/>
                <w:bCs w:val="0"/>
                <w:i w:val="0"/>
                <w:iCs w:val="0"/>
                <w:color w:val="auto"/>
                <w:kern w:val="0"/>
                <w:sz w:val="24"/>
                <w:szCs w:val="21"/>
                <w:lang w:val="en-US" w:eastAsia="zh-CN"/>
              </w:rPr>
            </w:pPr>
            <w:r>
              <w:rPr>
                <w:rFonts w:hint="default" w:ascii="Times New Roman" w:hAnsi="Times New Roman" w:cs="Times New Roman"/>
                <w:b w:val="0"/>
                <w:bCs w:val="0"/>
                <w:color w:val="auto"/>
                <w:kern w:val="0"/>
                <w:sz w:val="24"/>
                <w:szCs w:val="21"/>
                <w:lang w:val="en-US" w:eastAsia="zh-CN"/>
              </w:rPr>
              <w:t>式中：</w:t>
            </w:r>
            <w:r>
              <w:rPr>
                <w:rFonts w:hint="default" w:ascii="Times New Roman" w:hAnsi="Times New Roman" w:cs="Times New Roman"/>
                <w:b w:val="0"/>
                <w:bCs w:val="0"/>
                <w:i/>
                <w:iCs/>
                <w:color w:val="auto"/>
                <w:kern w:val="0"/>
                <w:sz w:val="24"/>
                <w:szCs w:val="21"/>
                <w:lang w:val="en-US" w:eastAsia="zh-CN"/>
              </w:rPr>
              <w:t>Q</w:t>
            </w:r>
            <w:r>
              <w:rPr>
                <w:rFonts w:hint="default" w:ascii="Times New Roman" w:hAnsi="Times New Roman" w:cs="Times New Roman"/>
                <w:b w:val="0"/>
                <w:bCs w:val="0"/>
                <w:i w:val="0"/>
                <w:iCs w:val="0"/>
                <w:color w:val="auto"/>
                <w:kern w:val="0"/>
                <w:sz w:val="24"/>
                <w:szCs w:val="21"/>
                <w:lang w:val="en-US" w:eastAsia="zh-CN"/>
              </w:rPr>
              <w:t>——汽车行驶的扬尘，kg/</w:t>
            </w:r>
            <w:r>
              <w:rPr>
                <w:rFonts w:hint="eastAsia" w:cs="Times New Roman"/>
                <w:b w:val="0"/>
                <w:bCs w:val="0"/>
                <w:i w:val="0"/>
                <w:iCs w:val="0"/>
                <w:color w:val="auto"/>
                <w:kern w:val="0"/>
                <w:sz w:val="24"/>
                <w:szCs w:val="21"/>
                <w:lang w:val="en-US" w:eastAsia="zh-CN"/>
              </w:rPr>
              <w:t>（</w:t>
            </w:r>
            <w:r>
              <w:rPr>
                <w:rFonts w:hint="default" w:ascii="Times New Roman" w:hAnsi="Times New Roman" w:cs="Times New Roman"/>
                <w:b w:val="0"/>
                <w:bCs w:val="0"/>
                <w:i w:val="0"/>
                <w:iCs w:val="0"/>
                <w:color w:val="auto"/>
                <w:kern w:val="0"/>
                <w:sz w:val="24"/>
                <w:szCs w:val="21"/>
                <w:lang w:val="en-US" w:eastAsia="zh-CN"/>
              </w:rPr>
              <w:t>km·辆</w:t>
            </w:r>
            <w:r>
              <w:rPr>
                <w:rFonts w:hint="eastAsia" w:cs="Times New Roman"/>
                <w:b w:val="0"/>
                <w:bCs w:val="0"/>
                <w:i w:val="0"/>
                <w:iCs w:val="0"/>
                <w:color w:val="auto"/>
                <w:kern w:val="0"/>
                <w:sz w:val="24"/>
                <w:szCs w:val="21"/>
                <w:lang w:val="en-US" w:eastAsia="zh-CN"/>
              </w:rPr>
              <w:t>）</w:t>
            </w:r>
            <w:r>
              <w:rPr>
                <w:rFonts w:hint="default" w:ascii="Times New Roman" w:hAnsi="Times New Roman" w:cs="Times New Roman"/>
                <w:b w:val="0"/>
                <w:bCs w:val="0"/>
                <w:i w:val="0"/>
                <w:iCs w:val="0"/>
                <w:color w:val="auto"/>
                <w:kern w:val="0"/>
                <w:sz w:val="24"/>
                <w:szCs w:val="21"/>
                <w:lang w:val="en-US" w:eastAsia="zh-CN"/>
              </w:rPr>
              <w:t>；</w:t>
            </w:r>
          </w:p>
          <w:p w14:paraId="13ABCA5D">
            <w:pPr>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jc w:val="both"/>
              <w:textAlignment w:val="auto"/>
              <w:rPr>
                <w:rFonts w:hint="default" w:ascii="Times New Roman" w:hAnsi="Times New Roman" w:cs="Times New Roman"/>
                <w:b w:val="0"/>
                <w:bCs w:val="0"/>
                <w:i w:val="0"/>
                <w:iCs w:val="0"/>
                <w:color w:val="auto"/>
                <w:kern w:val="0"/>
                <w:sz w:val="24"/>
                <w:szCs w:val="21"/>
                <w:lang w:val="en-US" w:eastAsia="zh-CN"/>
              </w:rPr>
            </w:pPr>
            <w:r>
              <w:rPr>
                <w:rFonts w:hint="default" w:ascii="Times New Roman" w:hAnsi="Times New Roman" w:cs="Times New Roman"/>
                <w:b w:val="0"/>
                <w:bCs w:val="0"/>
                <w:i/>
                <w:iCs/>
                <w:color w:val="auto"/>
                <w:kern w:val="0"/>
                <w:sz w:val="24"/>
                <w:szCs w:val="21"/>
                <w:lang w:val="en-US" w:eastAsia="zh-CN"/>
              </w:rPr>
              <w:t>V</w:t>
            </w:r>
            <w:r>
              <w:rPr>
                <w:rFonts w:hint="default" w:ascii="Times New Roman" w:hAnsi="Times New Roman" w:cs="Times New Roman"/>
                <w:b w:val="0"/>
                <w:bCs w:val="0"/>
                <w:i w:val="0"/>
                <w:iCs w:val="0"/>
                <w:color w:val="auto"/>
                <w:kern w:val="0"/>
                <w:sz w:val="24"/>
                <w:szCs w:val="21"/>
                <w:lang w:val="en-US" w:eastAsia="zh-CN"/>
              </w:rPr>
              <w:t>——汽车速度，km/h；</w:t>
            </w:r>
          </w:p>
          <w:p w14:paraId="3D13341D">
            <w:pPr>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jc w:val="both"/>
              <w:textAlignment w:val="auto"/>
              <w:rPr>
                <w:rFonts w:hint="default" w:ascii="Times New Roman" w:hAnsi="Times New Roman" w:cs="Times New Roman"/>
                <w:b w:val="0"/>
                <w:bCs w:val="0"/>
                <w:i w:val="0"/>
                <w:iCs w:val="0"/>
                <w:color w:val="auto"/>
                <w:kern w:val="0"/>
                <w:sz w:val="24"/>
                <w:szCs w:val="21"/>
                <w:lang w:val="en-US" w:eastAsia="zh-CN"/>
              </w:rPr>
            </w:pPr>
            <w:r>
              <w:rPr>
                <w:rFonts w:hint="default" w:ascii="Times New Roman" w:hAnsi="Times New Roman" w:cs="Times New Roman"/>
                <w:b w:val="0"/>
                <w:bCs w:val="0"/>
                <w:i/>
                <w:iCs/>
                <w:color w:val="auto"/>
                <w:kern w:val="0"/>
                <w:sz w:val="24"/>
                <w:szCs w:val="21"/>
                <w:lang w:val="en-US" w:eastAsia="zh-CN"/>
              </w:rPr>
              <w:t>W</w:t>
            </w:r>
            <w:r>
              <w:rPr>
                <w:rFonts w:hint="default" w:ascii="Times New Roman" w:hAnsi="Times New Roman" w:cs="Times New Roman"/>
                <w:b w:val="0"/>
                <w:bCs w:val="0"/>
                <w:i w:val="0"/>
                <w:iCs w:val="0"/>
                <w:color w:val="auto"/>
                <w:kern w:val="0"/>
                <w:sz w:val="24"/>
                <w:szCs w:val="21"/>
                <w:lang w:val="en-US" w:eastAsia="zh-CN"/>
              </w:rPr>
              <w:t>——汽车载重量，t；</w:t>
            </w:r>
          </w:p>
          <w:p w14:paraId="57D1D3C5">
            <w:pPr>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jc w:val="both"/>
              <w:textAlignment w:val="auto"/>
              <w:rPr>
                <w:rFonts w:hint="default" w:ascii="Times New Roman" w:hAnsi="Times New Roman" w:cs="Times New Roman"/>
                <w:b w:val="0"/>
                <w:bCs w:val="0"/>
                <w:i w:val="0"/>
                <w:iCs w:val="0"/>
                <w:color w:val="auto"/>
                <w:kern w:val="0"/>
                <w:sz w:val="24"/>
                <w:szCs w:val="21"/>
                <w:vertAlign w:val="baseline"/>
                <w:lang w:val="en-US" w:eastAsia="zh-CN"/>
              </w:rPr>
            </w:pPr>
            <w:r>
              <w:rPr>
                <w:rFonts w:hint="default" w:ascii="Times New Roman" w:hAnsi="Times New Roman" w:cs="Times New Roman"/>
                <w:b w:val="0"/>
                <w:bCs w:val="0"/>
                <w:i/>
                <w:iCs/>
                <w:color w:val="auto"/>
                <w:kern w:val="0"/>
                <w:sz w:val="24"/>
                <w:szCs w:val="21"/>
                <w:lang w:val="en-US" w:eastAsia="zh-CN"/>
              </w:rPr>
              <w:t>P</w:t>
            </w:r>
            <w:r>
              <w:rPr>
                <w:rFonts w:hint="default" w:ascii="Times New Roman" w:hAnsi="Times New Roman" w:cs="Times New Roman"/>
                <w:b w:val="0"/>
                <w:bCs w:val="0"/>
                <w:i w:val="0"/>
                <w:iCs w:val="0"/>
                <w:color w:val="auto"/>
                <w:kern w:val="0"/>
                <w:sz w:val="24"/>
                <w:szCs w:val="21"/>
                <w:lang w:val="en-US" w:eastAsia="zh-CN"/>
              </w:rPr>
              <w:t>——道路表面粉尘量，kg/m</w:t>
            </w:r>
            <w:r>
              <w:rPr>
                <w:rFonts w:hint="default" w:ascii="Times New Roman" w:hAnsi="Times New Roman" w:cs="Times New Roman"/>
                <w:b w:val="0"/>
                <w:bCs w:val="0"/>
                <w:i w:val="0"/>
                <w:iCs w:val="0"/>
                <w:color w:val="auto"/>
                <w:kern w:val="0"/>
                <w:sz w:val="24"/>
                <w:szCs w:val="21"/>
                <w:vertAlign w:val="superscript"/>
                <w:lang w:val="en-US" w:eastAsia="zh-CN"/>
              </w:rPr>
              <w:t>2</w:t>
            </w:r>
            <w:r>
              <w:rPr>
                <w:rFonts w:hint="default" w:ascii="Times New Roman" w:hAnsi="Times New Roman" w:cs="Times New Roman"/>
                <w:b w:val="0"/>
                <w:bCs w:val="0"/>
                <w:i w:val="0"/>
                <w:iCs w:val="0"/>
                <w:color w:val="auto"/>
                <w:kern w:val="0"/>
                <w:sz w:val="24"/>
                <w:szCs w:val="21"/>
                <w:vertAlign w:val="baseline"/>
                <w:lang w:val="en-US" w:eastAsia="zh-CN"/>
              </w:rPr>
              <w:t>。</w:t>
            </w:r>
          </w:p>
          <w:p w14:paraId="126905B7">
            <w:pPr>
              <w:bidi w:val="0"/>
              <w:rPr>
                <w:rFonts w:hint="eastAsia"/>
                <w:color w:val="auto"/>
                <w:lang w:val="en-US" w:eastAsia="zh-CN"/>
              </w:rPr>
            </w:pPr>
            <w:r>
              <w:rPr>
                <w:rFonts w:hint="eastAsia"/>
                <w:color w:val="auto"/>
                <w:lang w:val="en-US" w:eastAsia="zh-CN"/>
              </w:rPr>
              <w:t>通过类比调查，一辆10t卡车在通过一段长度为1km的路面时，不同路面清洁程度、不同行驶速度情况下的扬尘量见表4-1。</w:t>
            </w:r>
          </w:p>
          <w:p w14:paraId="19382247">
            <w:pPr>
              <w:pStyle w:val="18"/>
              <w:bidi w:val="0"/>
              <w:rPr>
                <w:rFonts w:hint="eastAsia"/>
                <w:color w:val="auto"/>
                <w:lang w:val="en-US" w:eastAsia="zh-CN"/>
              </w:rPr>
            </w:pPr>
            <w:r>
              <w:rPr>
                <w:rFonts w:hint="eastAsia"/>
                <w:color w:val="auto"/>
                <w:lang w:val="en-US" w:eastAsia="zh-CN"/>
              </w:rPr>
              <w:t>表4-1 汽车扬尘产生量</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931"/>
              <w:gridCol w:w="931"/>
              <w:gridCol w:w="931"/>
              <w:gridCol w:w="931"/>
              <w:gridCol w:w="932"/>
              <w:gridCol w:w="937"/>
            </w:tblGrid>
            <w:tr w14:paraId="0346B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503" w:type="pct"/>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187131F">
                  <w:pPr>
                    <w:pStyle w:val="17"/>
                    <w:snapToGrid w:val="0"/>
                    <w:jc w:val="center"/>
                    <w:rPr>
                      <w:rFonts w:hint="eastAsia"/>
                      <w:color w:val="auto"/>
                      <w:vertAlign w:val="baseline"/>
                      <w:lang w:val="en-US" w:eastAsia="zh-CN"/>
                    </w:rPr>
                  </w:pPr>
                </w:p>
                <w:p w14:paraId="0B466DD4">
                  <w:pPr>
                    <w:pStyle w:val="17"/>
                    <w:snapToGrid w:val="0"/>
                    <w:jc w:val="center"/>
                    <mc:AlternateContent>
                      <mc:Choice Requires="wpsCustomData">
                        <wpsCustomData:diagonalParaType/>
                      </mc:Choice>
                    </mc:AlternateContent>
                    <w:rPr>
                      <w:rFonts w:hint="default"/>
                      <w:color w:val="auto"/>
                      <w:vertAlign w:val="baseline"/>
                      <w:lang w:val="en-US" w:eastAsia="zh-CN"/>
                    </w:rPr>
                  </w:pPr>
                  <w:r>
                    <w:rPr>
                      <w:rFonts w:hint="eastAsia"/>
                      <w:color w:val="auto"/>
                      <w:vertAlign w:val="baseline"/>
                      <w:lang w:val="en-US" w:eastAsia="zh-CN"/>
                    </w:rPr>
                    <w:t>车速（km/h）</w:t>
                  </w:r>
                </w:p>
                <w:p w14:paraId="1D9F6109">
                  <w:pPr>
                    <w:pStyle w:val="17"/>
                    <w:jc w:val="center"/>
                    <w:rPr>
                      <w:rFonts w:hint="default"/>
                      <w:color w:val="auto"/>
                      <w:vertAlign w:val="baseline"/>
                      <w:lang w:val="en-US" w:eastAsia="zh-CN"/>
                    </w:rPr>
                  </w:pPr>
                  <w:r>
                    <w:rPr>
                      <w:rFonts w:hint="eastAsia"/>
                      <w:color w:val="auto"/>
                      <w:vertAlign w:val="baseline"/>
                      <w:lang w:val="en-US" w:eastAsia="zh-CN"/>
                    </w:rPr>
                    <w:t>P（kg/m</w:t>
                  </w:r>
                  <w:r>
                    <w:rPr>
                      <w:rFonts w:hint="eastAsia"/>
                      <w:color w:val="auto"/>
                      <w:vertAlign w:val="superscript"/>
                      <w:lang w:val="en-US" w:eastAsia="zh-CN"/>
                    </w:rPr>
                    <w:t>2</w:t>
                  </w:r>
                  <w:r>
                    <w:rPr>
                      <w:rFonts w:hint="eastAsia"/>
                      <w:color w:val="auto"/>
                      <w:vertAlign w:val="baseline"/>
                      <w:lang w:val="en-US" w:eastAsia="zh-CN"/>
                    </w:rPr>
                    <w:t>）</w:t>
                  </w:r>
                </w:p>
              </w:tc>
              <w:tc>
                <w:tcPr>
                  <w:tcW w:w="582" w:type="pct"/>
                  <w:vAlign w:val="center"/>
                </w:tcPr>
                <w:p w14:paraId="09DE7887">
                  <w:pPr>
                    <w:pStyle w:val="17"/>
                    <w:jc w:val="center"/>
                    <w:rPr>
                      <w:rFonts w:hint="default"/>
                      <w:color w:val="auto"/>
                      <w:vertAlign w:val="baseline"/>
                      <w:lang w:val="en-US" w:eastAsia="zh-CN"/>
                    </w:rPr>
                  </w:pPr>
                  <w:r>
                    <w:rPr>
                      <w:rFonts w:hint="eastAsia"/>
                      <w:color w:val="auto"/>
                      <w:vertAlign w:val="baseline"/>
                      <w:lang w:val="en-US" w:eastAsia="zh-CN"/>
                    </w:rPr>
                    <w:t>0.1</w:t>
                  </w:r>
                </w:p>
              </w:tc>
              <w:tc>
                <w:tcPr>
                  <w:tcW w:w="582" w:type="pct"/>
                  <w:vAlign w:val="center"/>
                </w:tcPr>
                <w:p w14:paraId="65691511">
                  <w:pPr>
                    <w:pStyle w:val="17"/>
                    <w:jc w:val="center"/>
                    <w:rPr>
                      <w:rFonts w:hint="default"/>
                      <w:color w:val="auto"/>
                      <w:vertAlign w:val="baseline"/>
                      <w:lang w:val="en-US" w:eastAsia="zh-CN"/>
                    </w:rPr>
                  </w:pPr>
                  <w:r>
                    <w:rPr>
                      <w:rFonts w:hint="eastAsia"/>
                      <w:color w:val="auto"/>
                      <w:vertAlign w:val="baseline"/>
                      <w:lang w:val="en-US" w:eastAsia="zh-CN"/>
                    </w:rPr>
                    <w:t>0.2</w:t>
                  </w:r>
                </w:p>
              </w:tc>
              <w:tc>
                <w:tcPr>
                  <w:tcW w:w="582" w:type="pct"/>
                  <w:vAlign w:val="center"/>
                </w:tcPr>
                <w:p w14:paraId="2BC07E02">
                  <w:pPr>
                    <w:pStyle w:val="17"/>
                    <w:jc w:val="center"/>
                    <w:rPr>
                      <w:rFonts w:hint="default"/>
                      <w:color w:val="auto"/>
                      <w:vertAlign w:val="baseline"/>
                      <w:lang w:val="en-US" w:eastAsia="zh-CN"/>
                    </w:rPr>
                  </w:pPr>
                  <w:r>
                    <w:rPr>
                      <w:rFonts w:hint="eastAsia"/>
                      <w:color w:val="auto"/>
                      <w:vertAlign w:val="baseline"/>
                      <w:lang w:val="en-US" w:eastAsia="zh-CN"/>
                    </w:rPr>
                    <w:t>0.3</w:t>
                  </w:r>
                </w:p>
              </w:tc>
              <w:tc>
                <w:tcPr>
                  <w:tcW w:w="582" w:type="pct"/>
                  <w:vAlign w:val="center"/>
                </w:tcPr>
                <w:p w14:paraId="2CE3998E">
                  <w:pPr>
                    <w:pStyle w:val="17"/>
                    <w:jc w:val="center"/>
                    <w:rPr>
                      <w:rFonts w:hint="default"/>
                      <w:color w:val="auto"/>
                      <w:vertAlign w:val="baseline"/>
                      <w:lang w:val="en-US" w:eastAsia="zh-CN"/>
                    </w:rPr>
                  </w:pPr>
                  <w:r>
                    <w:rPr>
                      <w:rFonts w:hint="eastAsia"/>
                      <w:color w:val="auto"/>
                      <w:vertAlign w:val="baseline"/>
                      <w:lang w:val="en-US" w:eastAsia="zh-CN"/>
                    </w:rPr>
                    <w:t>0.4</w:t>
                  </w:r>
                </w:p>
              </w:tc>
              <w:tc>
                <w:tcPr>
                  <w:tcW w:w="582" w:type="pct"/>
                  <w:vAlign w:val="center"/>
                </w:tcPr>
                <w:p w14:paraId="525DA115">
                  <w:pPr>
                    <w:pStyle w:val="17"/>
                    <w:jc w:val="center"/>
                    <w:rPr>
                      <w:rFonts w:hint="default"/>
                      <w:color w:val="auto"/>
                      <w:vertAlign w:val="baseline"/>
                      <w:lang w:val="en-US" w:eastAsia="zh-CN"/>
                    </w:rPr>
                  </w:pPr>
                  <w:r>
                    <w:rPr>
                      <w:rFonts w:hint="eastAsia"/>
                      <w:color w:val="auto"/>
                      <w:vertAlign w:val="baseline"/>
                      <w:lang w:val="en-US" w:eastAsia="zh-CN"/>
                    </w:rPr>
                    <w:t>0.5</w:t>
                  </w:r>
                </w:p>
              </w:tc>
              <w:tc>
                <w:tcPr>
                  <w:tcW w:w="585" w:type="pct"/>
                  <w:vAlign w:val="center"/>
                </w:tcPr>
                <w:p w14:paraId="3EC0F4C9">
                  <w:pPr>
                    <w:pStyle w:val="17"/>
                    <w:jc w:val="center"/>
                    <w:rPr>
                      <w:rFonts w:hint="default"/>
                      <w:color w:val="auto"/>
                      <w:vertAlign w:val="baseline"/>
                      <w:lang w:val="en-US" w:eastAsia="zh-CN"/>
                    </w:rPr>
                  </w:pPr>
                  <w:r>
                    <w:rPr>
                      <w:rFonts w:hint="eastAsia"/>
                      <w:color w:val="auto"/>
                      <w:vertAlign w:val="baseline"/>
                      <w:lang w:val="en-US" w:eastAsia="zh-CN"/>
                    </w:rPr>
                    <w:t>1</w:t>
                  </w:r>
                </w:p>
              </w:tc>
            </w:tr>
            <w:tr w14:paraId="6E303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pct"/>
                  <w:vAlign w:val="center"/>
                </w:tcPr>
                <w:p w14:paraId="13A4033F">
                  <w:pPr>
                    <w:pStyle w:val="17"/>
                    <w:jc w:val="center"/>
                    <w:rPr>
                      <w:rFonts w:hint="default"/>
                      <w:color w:val="auto"/>
                      <w:vertAlign w:val="baseline"/>
                      <w:lang w:val="en-US" w:eastAsia="zh-CN"/>
                    </w:rPr>
                  </w:pPr>
                  <w:r>
                    <w:rPr>
                      <w:rFonts w:hint="eastAsia"/>
                      <w:color w:val="auto"/>
                      <w:vertAlign w:val="baseline"/>
                      <w:lang w:val="en-US" w:eastAsia="zh-CN"/>
                    </w:rPr>
                    <w:t>5</w:t>
                  </w:r>
                </w:p>
              </w:tc>
              <w:tc>
                <w:tcPr>
                  <w:tcW w:w="582" w:type="pct"/>
                  <w:vAlign w:val="center"/>
                </w:tcPr>
                <w:p w14:paraId="600960B0">
                  <w:pPr>
                    <w:pStyle w:val="17"/>
                    <w:jc w:val="center"/>
                    <w:rPr>
                      <w:rFonts w:hint="default"/>
                      <w:color w:val="auto"/>
                      <w:vertAlign w:val="baseline"/>
                      <w:lang w:val="en-US" w:eastAsia="zh-CN"/>
                    </w:rPr>
                  </w:pPr>
                  <w:r>
                    <w:rPr>
                      <w:rFonts w:hint="eastAsia"/>
                      <w:color w:val="auto"/>
                      <w:vertAlign w:val="baseline"/>
                      <w:lang w:val="en-US" w:eastAsia="zh-CN"/>
                    </w:rPr>
                    <w:t>0.051</w:t>
                  </w:r>
                </w:p>
              </w:tc>
              <w:tc>
                <w:tcPr>
                  <w:tcW w:w="582" w:type="pct"/>
                  <w:vAlign w:val="center"/>
                </w:tcPr>
                <w:p w14:paraId="4B9B747F">
                  <w:pPr>
                    <w:pStyle w:val="17"/>
                    <w:jc w:val="center"/>
                    <w:rPr>
                      <w:rFonts w:hint="default"/>
                      <w:color w:val="auto"/>
                      <w:vertAlign w:val="baseline"/>
                      <w:lang w:val="en-US" w:eastAsia="zh-CN"/>
                    </w:rPr>
                  </w:pPr>
                  <w:r>
                    <w:rPr>
                      <w:rFonts w:hint="eastAsia"/>
                      <w:color w:val="auto"/>
                      <w:vertAlign w:val="baseline"/>
                      <w:lang w:val="en-US" w:eastAsia="zh-CN"/>
                    </w:rPr>
                    <w:t>0.086</w:t>
                  </w:r>
                </w:p>
              </w:tc>
              <w:tc>
                <w:tcPr>
                  <w:tcW w:w="582" w:type="pct"/>
                  <w:vAlign w:val="center"/>
                </w:tcPr>
                <w:p w14:paraId="1DF9A21D">
                  <w:pPr>
                    <w:pStyle w:val="17"/>
                    <w:jc w:val="center"/>
                    <w:rPr>
                      <w:rFonts w:hint="default"/>
                      <w:color w:val="auto"/>
                      <w:vertAlign w:val="baseline"/>
                      <w:lang w:val="en-US" w:eastAsia="zh-CN"/>
                    </w:rPr>
                  </w:pPr>
                  <w:r>
                    <w:rPr>
                      <w:rFonts w:hint="eastAsia"/>
                      <w:color w:val="auto"/>
                      <w:vertAlign w:val="baseline"/>
                      <w:lang w:val="en-US" w:eastAsia="zh-CN"/>
                    </w:rPr>
                    <w:t>0.116</w:t>
                  </w:r>
                </w:p>
              </w:tc>
              <w:tc>
                <w:tcPr>
                  <w:tcW w:w="582" w:type="pct"/>
                  <w:vAlign w:val="center"/>
                </w:tcPr>
                <w:p w14:paraId="34CC5F2D">
                  <w:pPr>
                    <w:pStyle w:val="17"/>
                    <w:jc w:val="center"/>
                    <w:rPr>
                      <w:rFonts w:hint="default"/>
                      <w:color w:val="auto"/>
                      <w:vertAlign w:val="baseline"/>
                      <w:lang w:val="en-US" w:eastAsia="zh-CN"/>
                    </w:rPr>
                  </w:pPr>
                  <w:r>
                    <w:rPr>
                      <w:rFonts w:hint="eastAsia"/>
                      <w:color w:val="auto"/>
                      <w:vertAlign w:val="baseline"/>
                      <w:lang w:val="en-US" w:eastAsia="zh-CN"/>
                    </w:rPr>
                    <w:t>0.144</w:t>
                  </w:r>
                </w:p>
              </w:tc>
              <w:tc>
                <w:tcPr>
                  <w:tcW w:w="582" w:type="pct"/>
                  <w:vAlign w:val="center"/>
                </w:tcPr>
                <w:p w14:paraId="79B5F768">
                  <w:pPr>
                    <w:pStyle w:val="17"/>
                    <w:jc w:val="center"/>
                    <w:rPr>
                      <w:rFonts w:hint="default"/>
                      <w:color w:val="auto"/>
                      <w:vertAlign w:val="baseline"/>
                      <w:lang w:val="en-US" w:eastAsia="zh-CN"/>
                    </w:rPr>
                  </w:pPr>
                  <w:r>
                    <w:rPr>
                      <w:rFonts w:hint="eastAsia"/>
                      <w:color w:val="auto"/>
                      <w:vertAlign w:val="baseline"/>
                      <w:lang w:val="en-US" w:eastAsia="zh-CN"/>
                    </w:rPr>
                    <w:t>0.171</w:t>
                  </w:r>
                </w:p>
              </w:tc>
              <w:tc>
                <w:tcPr>
                  <w:tcW w:w="585" w:type="pct"/>
                  <w:vAlign w:val="center"/>
                </w:tcPr>
                <w:p w14:paraId="66661503">
                  <w:pPr>
                    <w:pStyle w:val="17"/>
                    <w:jc w:val="center"/>
                    <w:rPr>
                      <w:rFonts w:hint="default"/>
                      <w:color w:val="auto"/>
                      <w:vertAlign w:val="baseline"/>
                      <w:lang w:val="en-US" w:eastAsia="zh-CN"/>
                    </w:rPr>
                  </w:pPr>
                  <w:r>
                    <w:rPr>
                      <w:rFonts w:hint="eastAsia"/>
                      <w:color w:val="auto"/>
                      <w:vertAlign w:val="baseline"/>
                      <w:lang w:val="en-US" w:eastAsia="zh-CN"/>
                    </w:rPr>
                    <w:t>0.287</w:t>
                  </w:r>
                </w:p>
              </w:tc>
            </w:tr>
            <w:tr w14:paraId="4CA66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pct"/>
                  <w:vAlign w:val="center"/>
                </w:tcPr>
                <w:p w14:paraId="48BFD36B">
                  <w:pPr>
                    <w:pStyle w:val="17"/>
                    <w:jc w:val="center"/>
                    <w:rPr>
                      <w:rFonts w:hint="default"/>
                      <w:color w:val="auto"/>
                      <w:vertAlign w:val="baseline"/>
                      <w:lang w:val="en-US" w:eastAsia="zh-CN"/>
                    </w:rPr>
                  </w:pPr>
                  <w:r>
                    <w:rPr>
                      <w:rFonts w:hint="eastAsia"/>
                      <w:color w:val="auto"/>
                      <w:vertAlign w:val="baseline"/>
                      <w:lang w:val="en-US" w:eastAsia="zh-CN"/>
                    </w:rPr>
                    <w:t>10</w:t>
                  </w:r>
                </w:p>
              </w:tc>
              <w:tc>
                <w:tcPr>
                  <w:tcW w:w="582" w:type="pct"/>
                  <w:vAlign w:val="center"/>
                </w:tcPr>
                <w:p w14:paraId="2194BD18">
                  <w:pPr>
                    <w:pStyle w:val="17"/>
                    <w:jc w:val="center"/>
                    <w:rPr>
                      <w:rFonts w:hint="default"/>
                      <w:color w:val="auto"/>
                      <w:vertAlign w:val="baseline"/>
                      <w:lang w:val="en-US" w:eastAsia="zh-CN"/>
                    </w:rPr>
                  </w:pPr>
                  <w:r>
                    <w:rPr>
                      <w:rFonts w:hint="eastAsia"/>
                      <w:color w:val="auto"/>
                      <w:vertAlign w:val="baseline"/>
                      <w:lang w:val="en-US" w:eastAsia="zh-CN"/>
                    </w:rPr>
                    <w:t>0.102</w:t>
                  </w:r>
                </w:p>
              </w:tc>
              <w:tc>
                <w:tcPr>
                  <w:tcW w:w="582" w:type="pct"/>
                  <w:vAlign w:val="center"/>
                </w:tcPr>
                <w:p w14:paraId="1E0DEBFE">
                  <w:pPr>
                    <w:pStyle w:val="17"/>
                    <w:jc w:val="center"/>
                    <w:rPr>
                      <w:rFonts w:hint="default"/>
                      <w:color w:val="auto"/>
                      <w:vertAlign w:val="baseline"/>
                      <w:lang w:val="en-US" w:eastAsia="zh-CN"/>
                    </w:rPr>
                  </w:pPr>
                  <w:r>
                    <w:rPr>
                      <w:rFonts w:hint="eastAsia"/>
                      <w:color w:val="auto"/>
                      <w:vertAlign w:val="baseline"/>
                      <w:lang w:val="en-US" w:eastAsia="zh-CN"/>
                    </w:rPr>
                    <w:t>0.171</w:t>
                  </w:r>
                </w:p>
              </w:tc>
              <w:tc>
                <w:tcPr>
                  <w:tcW w:w="582" w:type="pct"/>
                  <w:vAlign w:val="center"/>
                </w:tcPr>
                <w:p w14:paraId="68A1C5D8">
                  <w:pPr>
                    <w:pStyle w:val="17"/>
                    <w:jc w:val="center"/>
                    <w:rPr>
                      <w:rFonts w:hint="default"/>
                      <w:color w:val="auto"/>
                      <w:vertAlign w:val="baseline"/>
                      <w:lang w:val="en-US" w:eastAsia="zh-CN"/>
                    </w:rPr>
                  </w:pPr>
                  <w:r>
                    <w:rPr>
                      <w:rFonts w:hint="eastAsia"/>
                      <w:color w:val="auto"/>
                      <w:vertAlign w:val="baseline"/>
                      <w:lang w:val="en-US" w:eastAsia="zh-CN"/>
                    </w:rPr>
                    <w:t>0.232</w:t>
                  </w:r>
                </w:p>
              </w:tc>
              <w:tc>
                <w:tcPr>
                  <w:tcW w:w="582" w:type="pct"/>
                  <w:vAlign w:val="center"/>
                </w:tcPr>
                <w:p w14:paraId="574A55EA">
                  <w:pPr>
                    <w:pStyle w:val="17"/>
                    <w:jc w:val="center"/>
                    <w:rPr>
                      <w:rFonts w:hint="default"/>
                      <w:color w:val="auto"/>
                      <w:vertAlign w:val="baseline"/>
                      <w:lang w:val="en-US" w:eastAsia="zh-CN"/>
                    </w:rPr>
                  </w:pPr>
                  <w:r>
                    <w:rPr>
                      <w:rFonts w:hint="eastAsia"/>
                      <w:color w:val="auto"/>
                      <w:vertAlign w:val="baseline"/>
                      <w:lang w:val="en-US" w:eastAsia="zh-CN"/>
                    </w:rPr>
                    <w:t>0.289</w:t>
                  </w:r>
                </w:p>
              </w:tc>
              <w:tc>
                <w:tcPr>
                  <w:tcW w:w="582" w:type="pct"/>
                  <w:vAlign w:val="center"/>
                </w:tcPr>
                <w:p w14:paraId="35005D41">
                  <w:pPr>
                    <w:pStyle w:val="17"/>
                    <w:jc w:val="center"/>
                    <w:rPr>
                      <w:rFonts w:hint="default"/>
                      <w:color w:val="auto"/>
                      <w:vertAlign w:val="baseline"/>
                      <w:lang w:val="en-US" w:eastAsia="zh-CN"/>
                    </w:rPr>
                  </w:pPr>
                  <w:r>
                    <w:rPr>
                      <w:rFonts w:hint="eastAsia"/>
                      <w:color w:val="auto"/>
                      <w:vertAlign w:val="baseline"/>
                      <w:lang w:val="en-US" w:eastAsia="zh-CN"/>
                    </w:rPr>
                    <w:t>0.341</w:t>
                  </w:r>
                </w:p>
              </w:tc>
              <w:tc>
                <w:tcPr>
                  <w:tcW w:w="585" w:type="pct"/>
                  <w:vAlign w:val="center"/>
                </w:tcPr>
                <w:p w14:paraId="5ADF2569">
                  <w:pPr>
                    <w:pStyle w:val="17"/>
                    <w:jc w:val="center"/>
                    <w:rPr>
                      <w:rFonts w:hint="default"/>
                      <w:color w:val="auto"/>
                      <w:vertAlign w:val="baseline"/>
                      <w:lang w:val="en-US" w:eastAsia="zh-CN"/>
                    </w:rPr>
                  </w:pPr>
                  <w:r>
                    <w:rPr>
                      <w:rFonts w:hint="eastAsia"/>
                      <w:color w:val="auto"/>
                      <w:vertAlign w:val="baseline"/>
                      <w:lang w:val="en-US" w:eastAsia="zh-CN"/>
                    </w:rPr>
                    <w:t>0.574</w:t>
                  </w:r>
                </w:p>
              </w:tc>
            </w:tr>
            <w:tr w14:paraId="53149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pct"/>
                  <w:vAlign w:val="center"/>
                </w:tcPr>
                <w:p w14:paraId="2060312C">
                  <w:pPr>
                    <w:pStyle w:val="17"/>
                    <w:jc w:val="center"/>
                    <w:rPr>
                      <w:rFonts w:hint="default"/>
                      <w:color w:val="auto"/>
                      <w:vertAlign w:val="baseline"/>
                      <w:lang w:val="en-US" w:eastAsia="zh-CN"/>
                    </w:rPr>
                  </w:pPr>
                  <w:r>
                    <w:rPr>
                      <w:rFonts w:hint="eastAsia"/>
                      <w:color w:val="auto"/>
                      <w:vertAlign w:val="baseline"/>
                      <w:lang w:val="en-US" w:eastAsia="zh-CN"/>
                    </w:rPr>
                    <w:t>15</w:t>
                  </w:r>
                </w:p>
              </w:tc>
              <w:tc>
                <w:tcPr>
                  <w:tcW w:w="582" w:type="pct"/>
                  <w:vAlign w:val="center"/>
                </w:tcPr>
                <w:p w14:paraId="6349534E">
                  <w:pPr>
                    <w:pStyle w:val="17"/>
                    <w:jc w:val="center"/>
                    <w:rPr>
                      <w:rFonts w:hint="default"/>
                      <w:color w:val="auto"/>
                      <w:vertAlign w:val="baseline"/>
                      <w:lang w:val="en-US" w:eastAsia="zh-CN"/>
                    </w:rPr>
                  </w:pPr>
                  <w:r>
                    <w:rPr>
                      <w:rFonts w:hint="eastAsia"/>
                      <w:color w:val="auto"/>
                      <w:vertAlign w:val="baseline"/>
                      <w:lang w:val="en-US" w:eastAsia="zh-CN"/>
                    </w:rPr>
                    <w:t>0.153</w:t>
                  </w:r>
                </w:p>
              </w:tc>
              <w:tc>
                <w:tcPr>
                  <w:tcW w:w="582" w:type="pct"/>
                  <w:vAlign w:val="center"/>
                </w:tcPr>
                <w:p w14:paraId="0C27B934">
                  <w:pPr>
                    <w:pStyle w:val="17"/>
                    <w:jc w:val="center"/>
                    <w:rPr>
                      <w:rFonts w:hint="default"/>
                      <w:color w:val="auto"/>
                      <w:vertAlign w:val="baseline"/>
                      <w:lang w:val="en-US" w:eastAsia="zh-CN"/>
                    </w:rPr>
                  </w:pPr>
                  <w:r>
                    <w:rPr>
                      <w:rFonts w:hint="eastAsia"/>
                      <w:color w:val="auto"/>
                      <w:vertAlign w:val="baseline"/>
                      <w:lang w:val="en-US" w:eastAsia="zh-CN"/>
                    </w:rPr>
                    <w:t>0.257</w:t>
                  </w:r>
                </w:p>
              </w:tc>
              <w:tc>
                <w:tcPr>
                  <w:tcW w:w="582" w:type="pct"/>
                  <w:vAlign w:val="center"/>
                </w:tcPr>
                <w:p w14:paraId="6BBB4ED5">
                  <w:pPr>
                    <w:pStyle w:val="17"/>
                    <w:jc w:val="center"/>
                    <w:rPr>
                      <w:rFonts w:hint="default"/>
                      <w:color w:val="auto"/>
                      <w:vertAlign w:val="baseline"/>
                      <w:lang w:val="en-US" w:eastAsia="zh-CN"/>
                    </w:rPr>
                  </w:pPr>
                  <w:r>
                    <w:rPr>
                      <w:rFonts w:hint="eastAsia"/>
                      <w:color w:val="auto"/>
                      <w:vertAlign w:val="baseline"/>
                      <w:lang w:val="en-US" w:eastAsia="zh-CN"/>
                    </w:rPr>
                    <w:t>0.349</w:t>
                  </w:r>
                </w:p>
              </w:tc>
              <w:tc>
                <w:tcPr>
                  <w:tcW w:w="582" w:type="pct"/>
                  <w:vAlign w:val="center"/>
                </w:tcPr>
                <w:p w14:paraId="4E68FEC9">
                  <w:pPr>
                    <w:pStyle w:val="17"/>
                    <w:jc w:val="center"/>
                    <w:rPr>
                      <w:rFonts w:hint="default"/>
                      <w:color w:val="auto"/>
                      <w:vertAlign w:val="baseline"/>
                      <w:lang w:val="en-US" w:eastAsia="zh-CN"/>
                    </w:rPr>
                  </w:pPr>
                  <w:r>
                    <w:rPr>
                      <w:rFonts w:hint="eastAsia"/>
                      <w:color w:val="auto"/>
                      <w:vertAlign w:val="baseline"/>
                      <w:lang w:val="en-US" w:eastAsia="zh-CN"/>
                    </w:rPr>
                    <w:t>0.433</w:t>
                  </w:r>
                </w:p>
              </w:tc>
              <w:tc>
                <w:tcPr>
                  <w:tcW w:w="582" w:type="pct"/>
                  <w:vAlign w:val="center"/>
                </w:tcPr>
                <w:p w14:paraId="69DB277C">
                  <w:pPr>
                    <w:pStyle w:val="17"/>
                    <w:jc w:val="center"/>
                    <w:rPr>
                      <w:rFonts w:hint="default"/>
                      <w:color w:val="auto"/>
                      <w:vertAlign w:val="baseline"/>
                      <w:lang w:val="en-US" w:eastAsia="zh-CN"/>
                    </w:rPr>
                  </w:pPr>
                  <w:r>
                    <w:rPr>
                      <w:rFonts w:hint="eastAsia"/>
                      <w:color w:val="auto"/>
                      <w:vertAlign w:val="baseline"/>
                      <w:lang w:val="en-US" w:eastAsia="zh-CN"/>
                    </w:rPr>
                    <w:t>0.512</w:t>
                  </w:r>
                </w:p>
              </w:tc>
              <w:tc>
                <w:tcPr>
                  <w:tcW w:w="585" w:type="pct"/>
                  <w:vAlign w:val="center"/>
                </w:tcPr>
                <w:p w14:paraId="21EDA1DB">
                  <w:pPr>
                    <w:pStyle w:val="17"/>
                    <w:jc w:val="center"/>
                    <w:rPr>
                      <w:rFonts w:hint="default"/>
                      <w:color w:val="auto"/>
                      <w:vertAlign w:val="baseline"/>
                      <w:lang w:val="en-US" w:eastAsia="zh-CN"/>
                    </w:rPr>
                  </w:pPr>
                  <w:r>
                    <w:rPr>
                      <w:rFonts w:hint="eastAsia"/>
                      <w:color w:val="auto"/>
                      <w:vertAlign w:val="baseline"/>
                      <w:lang w:val="en-US" w:eastAsia="zh-CN"/>
                    </w:rPr>
                    <w:t>0.861</w:t>
                  </w:r>
                </w:p>
              </w:tc>
            </w:tr>
            <w:tr w14:paraId="0820A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pct"/>
                  <w:vAlign w:val="center"/>
                </w:tcPr>
                <w:p w14:paraId="18F93AED">
                  <w:pPr>
                    <w:pStyle w:val="17"/>
                    <w:jc w:val="center"/>
                    <w:rPr>
                      <w:rFonts w:hint="default"/>
                      <w:color w:val="auto"/>
                      <w:vertAlign w:val="baseline"/>
                      <w:lang w:val="en-US" w:eastAsia="zh-CN"/>
                    </w:rPr>
                  </w:pPr>
                  <w:r>
                    <w:rPr>
                      <w:rFonts w:hint="eastAsia"/>
                      <w:color w:val="auto"/>
                      <w:vertAlign w:val="baseline"/>
                      <w:lang w:val="en-US" w:eastAsia="zh-CN"/>
                    </w:rPr>
                    <w:t>20</w:t>
                  </w:r>
                </w:p>
              </w:tc>
              <w:tc>
                <w:tcPr>
                  <w:tcW w:w="582" w:type="pct"/>
                  <w:vAlign w:val="center"/>
                </w:tcPr>
                <w:p w14:paraId="20E36E32">
                  <w:pPr>
                    <w:pStyle w:val="17"/>
                    <w:jc w:val="center"/>
                    <w:rPr>
                      <w:rFonts w:hint="default"/>
                      <w:color w:val="auto"/>
                      <w:vertAlign w:val="baseline"/>
                      <w:lang w:val="en-US" w:eastAsia="zh-CN"/>
                    </w:rPr>
                  </w:pPr>
                  <w:r>
                    <w:rPr>
                      <w:rFonts w:hint="eastAsia"/>
                      <w:color w:val="auto"/>
                      <w:vertAlign w:val="baseline"/>
                      <w:lang w:val="en-US" w:eastAsia="zh-CN"/>
                    </w:rPr>
                    <w:t>0.255</w:t>
                  </w:r>
                </w:p>
              </w:tc>
              <w:tc>
                <w:tcPr>
                  <w:tcW w:w="582" w:type="pct"/>
                  <w:vAlign w:val="center"/>
                </w:tcPr>
                <w:p w14:paraId="416ACFD0">
                  <w:pPr>
                    <w:pStyle w:val="17"/>
                    <w:jc w:val="center"/>
                    <w:rPr>
                      <w:rFonts w:hint="default"/>
                      <w:color w:val="auto"/>
                      <w:vertAlign w:val="baseline"/>
                      <w:lang w:val="en-US" w:eastAsia="zh-CN"/>
                    </w:rPr>
                  </w:pPr>
                  <w:r>
                    <w:rPr>
                      <w:rFonts w:hint="eastAsia"/>
                      <w:color w:val="auto"/>
                      <w:vertAlign w:val="baseline"/>
                      <w:lang w:val="en-US" w:eastAsia="zh-CN"/>
                    </w:rPr>
                    <w:t>0.429</w:t>
                  </w:r>
                </w:p>
              </w:tc>
              <w:tc>
                <w:tcPr>
                  <w:tcW w:w="582" w:type="pct"/>
                  <w:vAlign w:val="center"/>
                </w:tcPr>
                <w:p w14:paraId="582BC541">
                  <w:pPr>
                    <w:pStyle w:val="17"/>
                    <w:jc w:val="center"/>
                    <w:rPr>
                      <w:rFonts w:hint="default"/>
                      <w:color w:val="auto"/>
                      <w:vertAlign w:val="baseline"/>
                      <w:lang w:val="en-US" w:eastAsia="zh-CN"/>
                    </w:rPr>
                  </w:pPr>
                  <w:r>
                    <w:rPr>
                      <w:rFonts w:hint="eastAsia"/>
                      <w:color w:val="auto"/>
                      <w:vertAlign w:val="baseline"/>
                      <w:lang w:val="en-US" w:eastAsia="zh-CN"/>
                    </w:rPr>
                    <w:t>0.582</w:t>
                  </w:r>
                </w:p>
              </w:tc>
              <w:tc>
                <w:tcPr>
                  <w:tcW w:w="582" w:type="pct"/>
                  <w:vAlign w:val="center"/>
                </w:tcPr>
                <w:p w14:paraId="6B025C19">
                  <w:pPr>
                    <w:pStyle w:val="17"/>
                    <w:jc w:val="center"/>
                    <w:rPr>
                      <w:rFonts w:hint="default"/>
                      <w:color w:val="auto"/>
                      <w:vertAlign w:val="baseline"/>
                      <w:lang w:val="en-US" w:eastAsia="zh-CN"/>
                    </w:rPr>
                  </w:pPr>
                  <w:r>
                    <w:rPr>
                      <w:rFonts w:hint="eastAsia"/>
                      <w:color w:val="auto"/>
                      <w:vertAlign w:val="baseline"/>
                      <w:lang w:val="en-US" w:eastAsia="zh-CN"/>
                    </w:rPr>
                    <w:t>0.722</w:t>
                  </w:r>
                </w:p>
              </w:tc>
              <w:tc>
                <w:tcPr>
                  <w:tcW w:w="582" w:type="pct"/>
                  <w:vAlign w:val="center"/>
                </w:tcPr>
                <w:p w14:paraId="53D8FDE5">
                  <w:pPr>
                    <w:pStyle w:val="17"/>
                    <w:jc w:val="center"/>
                    <w:rPr>
                      <w:rFonts w:hint="default"/>
                      <w:color w:val="auto"/>
                      <w:vertAlign w:val="baseline"/>
                      <w:lang w:val="en-US" w:eastAsia="zh-CN"/>
                    </w:rPr>
                  </w:pPr>
                  <w:r>
                    <w:rPr>
                      <w:rFonts w:hint="eastAsia"/>
                      <w:color w:val="auto"/>
                      <w:vertAlign w:val="baseline"/>
                      <w:lang w:val="en-US" w:eastAsia="zh-CN"/>
                    </w:rPr>
                    <w:t>0.853</w:t>
                  </w:r>
                </w:p>
              </w:tc>
              <w:tc>
                <w:tcPr>
                  <w:tcW w:w="585" w:type="pct"/>
                  <w:vAlign w:val="center"/>
                </w:tcPr>
                <w:p w14:paraId="41D423F4">
                  <w:pPr>
                    <w:pStyle w:val="17"/>
                    <w:jc w:val="center"/>
                    <w:rPr>
                      <w:rFonts w:hint="default"/>
                      <w:color w:val="auto"/>
                      <w:vertAlign w:val="baseline"/>
                      <w:lang w:val="en-US" w:eastAsia="zh-CN"/>
                    </w:rPr>
                  </w:pPr>
                  <w:r>
                    <w:rPr>
                      <w:rFonts w:hint="eastAsia"/>
                      <w:color w:val="auto"/>
                      <w:vertAlign w:val="baseline"/>
                      <w:lang w:val="en-US" w:eastAsia="zh-CN"/>
                    </w:rPr>
                    <w:t>1.435</w:t>
                  </w:r>
                </w:p>
              </w:tc>
            </w:tr>
          </w:tbl>
          <w:p w14:paraId="520BAA24">
            <w:pPr>
              <w:bidi w:val="0"/>
              <w:rPr>
                <w:rFonts w:hint="default"/>
                <w:color w:val="auto"/>
                <w:lang w:val="en-US" w:eastAsia="zh-CN"/>
              </w:rPr>
            </w:pPr>
            <w:r>
              <w:rPr>
                <w:rFonts w:hint="default"/>
                <w:color w:val="auto"/>
                <w:lang w:val="en-US" w:eastAsia="zh-CN"/>
              </w:rPr>
              <w:t>从上述</w:t>
            </w:r>
            <w:r>
              <w:rPr>
                <w:rFonts w:hint="eastAsia"/>
                <w:color w:val="auto"/>
                <w:lang w:val="en-US" w:eastAsia="zh-CN"/>
              </w:rPr>
              <w:t>经验</w:t>
            </w:r>
            <w:r>
              <w:rPr>
                <w:rFonts w:hint="default"/>
                <w:color w:val="auto"/>
                <w:lang w:val="en-US" w:eastAsia="zh-CN"/>
              </w:rPr>
              <w:t>公式</w:t>
            </w:r>
            <w:r>
              <w:rPr>
                <w:rFonts w:hint="eastAsia"/>
                <w:color w:val="auto"/>
                <w:lang w:val="en-US" w:eastAsia="zh-CN"/>
              </w:rPr>
              <w:t>及表4-1</w:t>
            </w:r>
            <w:r>
              <w:rPr>
                <w:rFonts w:hint="default"/>
                <w:color w:val="auto"/>
                <w:lang w:val="en-US" w:eastAsia="zh-CN"/>
              </w:rPr>
              <w:t>可知，在</w:t>
            </w:r>
            <w:r>
              <w:rPr>
                <w:rFonts w:hint="eastAsia"/>
                <w:color w:val="auto"/>
                <w:lang w:val="en-US" w:eastAsia="zh-CN"/>
              </w:rPr>
              <w:t>同样</w:t>
            </w:r>
            <w:r>
              <w:rPr>
                <w:rFonts w:hint="default"/>
                <w:color w:val="auto"/>
                <w:lang w:val="en-US" w:eastAsia="zh-CN"/>
              </w:rPr>
              <w:t>路面</w:t>
            </w:r>
            <w:r>
              <w:rPr>
                <w:rFonts w:hint="eastAsia"/>
                <w:color w:val="auto"/>
                <w:lang w:val="en-US" w:eastAsia="zh-CN"/>
              </w:rPr>
              <w:t>清洁程度</w:t>
            </w:r>
            <w:r>
              <w:rPr>
                <w:rFonts w:hint="default"/>
                <w:color w:val="auto"/>
                <w:lang w:val="en-US" w:eastAsia="zh-CN"/>
              </w:rPr>
              <w:t>条件下，车速越快，扬尘量越大；在相同的车速条件下，路面越脏，扬尘量越大。因此，限制车辆行驶速度以及保持路面的清洁是减少汽车扬尘的有效手段。</w:t>
            </w:r>
          </w:p>
          <w:p w14:paraId="2C9D8122">
            <w:pPr>
              <w:rPr>
                <w:rFonts w:hint="eastAsia"/>
                <w:color w:val="auto"/>
                <w:lang w:val="en-US" w:eastAsia="zh-CN"/>
              </w:rPr>
            </w:pPr>
            <w:r>
              <w:rPr>
                <w:rFonts w:hint="eastAsia"/>
                <w:color w:val="auto"/>
                <w:lang w:val="en-US" w:eastAsia="zh-CN"/>
              </w:rPr>
              <w:t>（2）风力扬尘</w:t>
            </w:r>
          </w:p>
          <w:p w14:paraId="5E130AB5">
            <w:pPr>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施工阶段扬尘的另一个主要来源是露天堆场和裸露场地的风力扬尘。由于施工需要，一些建筑材料需要露天堆放，一些施工作业点的表层土壤在经过人工开挖后，临时露天堆放在气候干燥且有风的情况下会产生大量扬尘，其扬尘量可按堆放场起尘的经验公式计算：</w:t>
            </w:r>
          </w:p>
          <w:p w14:paraId="0FF25659">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cs="Times New Roman"/>
                <w:b w:val="0"/>
                <w:bCs w:val="0"/>
                <w:i w:val="0"/>
                <w:iCs w:val="0"/>
                <w:color w:val="auto"/>
                <w:kern w:val="0"/>
                <w:sz w:val="24"/>
                <w:szCs w:val="21"/>
                <w:vertAlign w:val="baseline"/>
                <w:lang w:val="en-US" w:eastAsia="zh-CN"/>
              </w:rPr>
            </w:pPr>
            <w:r>
              <w:rPr>
                <w:rFonts w:hint="default" w:ascii="Times New Roman" w:hAnsi="Times New Roman" w:cs="Times New Roman"/>
                <w:b w:val="0"/>
                <w:bCs w:val="0"/>
                <w:i w:val="0"/>
                <w:iCs w:val="0"/>
                <w:color w:val="auto"/>
                <w:kern w:val="0"/>
                <w:position w:val="-12"/>
                <w:sz w:val="24"/>
                <w:szCs w:val="21"/>
                <w:vertAlign w:val="baseline"/>
                <w:lang w:val="en-US" w:eastAsia="zh-CN"/>
              </w:rPr>
              <w:object>
                <v:shape id="_x0000_i1039" o:spt="75" type="#_x0000_t75" style="height:20pt;width:119pt;" o:ole="t" filled="f" o:preferrelative="t" stroked="f" coordsize="21600,21600">
                  <v:path/>
                  <v:fill on="f" focussize="0,0"/>
                  <v:stroke on="f"/>
                  <v:imagedata r:id="rId40" o:title=""/>
                  <o:lock v:ext="edit" aspectratio="t"/>
                  <w10:wrap type="none"/>
                  <w10:anchorlock/>
                </v:shape>
                <o:OLEObject Type="Embed" ProgID="Equation.KSEE3" ShapeID="_x0000_i1039" DrawAspect="Content" ObjectID="_1468075739" r:id="rId39">
                  <o:LockedField>false</o:LockedField>
                </o:OLEObject>
              </w:object>
            </w:r>
          </w:p>
          <w:p w14:paraId="5D18CA9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 w:val="0"/>
                <w:bCs w:val="0"/>
                <w:i w:val="0"/>
                <w:iCs w:val="0"/>
                <w:color w:val="auto"/>
                <w:kern w:val="0"/>
                <w:sz w:val="24"/>
                <w:szCs w:val="21"/>
                <w:vertAlign w:val="baseline"/>
                <w:lang w:val="en-US" w:eastAsia="zh-CN"/>
              </w:rPr>
            </w:pPr>
            <w:r>
              <w:rPr>
                <w:rFonts w:hint="default" w:ascii="Times New Roman" w:hAnsi="Times New Roman" w:cs="Times New Roman"/>
                <w:b w:val="0"/>
                <w:bCs w:val="0"/>
                <w:i w:val="0"/>
                <w:iCs w:val="0"/>
                <w:color w:val="auto"/>
                <w:kern w:val="0"/>
                <w:sz w:val="24"/>
                <w:szCs w:val="21"/>
                <w:vertAlign w:val="baseline"/>
                <w:lang w:val="en-US" w:eastAsia="zh-CN"/>
              </w:rPr>
              <w:t>式中：</w:t>
            </w:r>
            <w:r>
              <w:rPr>
                <w:rFonts w:hint="default" w:ascii="Times New Roman" w:hAnsi="Times New Roman" w:cs="Times New Roman"/>
                <w:b w:val="0"/>
                <w:bCs w:val="0"/>
                <w:i/>
                <w:iCs/>
                <w:color w:val="auto"/>
                <w:kern w:val="0"/>
                <w:sz w:val="24"/>
                <w:szCs w:val="21"/>
                <w:vertAlign w:val="baseline"/>
                <w:lang w:val="en-US" w:eastAsia="zh-CN"/>
              </w:rPr>
              <w:t>Q</w:t>
            </w:r>
            <w:r>
              <w:rPr>
                <w:rFonts w:hint="default" w:ascii="Times New Roman" w:hAnsi="Times New Roman" w:cs="Times New Roman"/>
                <w:b w:val="0"/>
                <w:bCs w:val="0"/>
                <w:i w:val="0"/>
                <w:iCs w:val="0"/>
                <w:color w:val="auto"/>
                <w:kern w:val="0"/>
                <w:sz w:val="24"/>
                <w:szCs w:val="21"/>
                <w:vertAlign w:val="baseline"/>
                <w:lang w:val="en-US" w:eastAsia="zh-CN"/>
              </w:rPr>
              <w:t>——起尘量，kg/a；</w:t>
            </w:r>
          </w:p>
          <w:p w14:paraId="1E8DFB33">
            <w:pPr>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jc w:val="both"/>
              <w:textAlignment w:val="auto"/>
              <w:rPr>
                <w:rFonts w:hint="default" w:ascii="Times New Roman" w:hAnsi="Times New Roman" w:cs="Times New Roman"/>
                <w:b w:val="0"/>
                <w:bCs w:val="0"/>
                <w:i w:val="0"/>
                <w:iCs w:val="0"/>
                <w:color w:val="auto"/>
                <w:kern w:val="0"/>
                <w:sz w:val="24"/>
                <w:szCs w:val="21"/>
                <w:vertAlign w:val="baseline"/>
                <w:lang w:val="en-US" w:eastAsia="zh-CN"/>
              </w:rPr>
            </w:pPr>
            <w:r>
              <w:rPr>
                <w:rFonts w:hint="default" w:ascii="Times New Roman" w:hAnsi="Times New Roman" w:cs="Times New Roman"/>
                <w:b w:val="0"/>
                <w:bCs w:val="0"/>
                <w:i/>
                <w:iCs/>
                <w:color w:val="auto"/>
                <w:kern w:val="0"/>
                <w:sz w:val="24"/>
                <w:szCs w:val="21"/>
                <w:vertAlign w:val="baseline"/>
                <w:lang w:val="en-US" w:eastAsia="zh-CN"/>
              </w:rPr>
              <w:t>V</w:t>
            </w:r>
            <w:r>
              <w:rPr>
                <w:rFonts w:hint="default" w:ascii="Times New Roman" w:hAnsi="Times New Roman" w:cs="Times New Roman"/>
                <w:b w:val="0"/>
                <w:bCs w:val="0"/>
                <w:i w:val="0"/>
                <w:iCs w:val="0"/>
                <w:color w:val="auto"/>
                <w:kern w:val="0"/>
                <w:sz w:val="24"/>
                <w:szCs w:val="21"/>
                <w:vertAlign w:val="subscript"/>
                <w:lang w:val="en-US" w:eastAsia="zh-CN"/>
              </w:rPr>
              <w:t>50</w:t>
            </w:r>
            <w:r>
              <w:rPr>
                <w:rFonts w:hint="default" w:ascii="Times New Roman" w:hAnsi="Times New Roman" w:cs="Times New Roman"/>
                <w:b w:val="0"/>
                <w:bCs w:val="0"/>
                <w:i w:val="0"/>
                <w:iCs w:val="0"/>
                <w:color w:val="auto"/>
                <w:kern w:val="0"/>
                <w:sz w:val="24"/>
                <w:szCs w:val="21"/>
                <w:vertAlign w:val="baseline"/>
                <w:lang w:val="en-US" w:eastAsia="zh-CN"/>
              </w:rPr>
              <w:t>——距地面50m处的风速，m/s；</w:t>
            </w:r>
          </w:p>
          <w:p w14:paraId="70BB8AEE">
            <w:pPr>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jc w:val="both"/>
              <w:textAlignment w:val="auto"/>
              <w:rPr>
                <w:rFonts w:hint="default" w:ascii="Times New Roman" w:hAnsi="Times New Roman" w:cs="Times New Roman"/>
                <w:b w:val="0"/>
                <w:bCs w:val="0"/>
                <w:i w:val="0"/>
                <w:iCs w:val="0"/>
                <w:color w:val="auto"/>
                <w:kern w:val="0"/>
                <w:sz w:val="24"/>
                <w:szCs w:val="21"/>
                <w:vertAlign w:val="baseline"/>
                <w:lang w:val="en-US" w:eastAsia="zh-CN"/>
              </w:rPr>
            </w:pPr>
            <w:r>
              <w:rPr>
                <w:rFonts w:hint="default" w:ascii="Times New Roman" w:hAnsi="Times New Roman" w:cs="Times New Roman"/>
                <w:b w:val="0"/>
                <w:bCs w:val="0"/>
                <w:i/>
                <w:iCs/>
                <w:color w:val="auto"/>
                <w:kern w:val="0"/>
                <w:sz w:val="24"/>
                <w:szCs w:val="21"/>
                <w:vertAlign w:val="baseline"/>
                <w:lang w:val="en-US" w:eastAsia="zh-CN"/>
              </w:rPr>
              <w:t>V</w:t>
            </w:r>
            <w:r>
              <w:rPr>
                <w:rFonts w:hint="default" w:ascii="Times New Roman" w:hAnsi="Times New Roman" w:cs="Times New Roman"/>
                <w:b w:val="0"/>
                <w:bCs w:val="0"/>
                <w:i w:val="0"/>
                <w:iCs w:val="0"/>
                <w:color w:val="auto"/>
                <w:kern w:val="0"/>
                <w:sz w:val="24"/>
                <w:szCs w:val="21"/>
                <w:vertAlign w:val="subscript"/>
                <w:lang w:val="en-US" w:eastAsia="zh-CN"/>
              </w:rPr>
              <w:t>0</w:t>
            </w:r>
            <w:r>
              <w:rPr>
                <w:rFonts w:hint="default" w:ascii="Times New Roman" w:hAnsi="Times New Roman" w:cs="Times New Roman"/>
                <w:b w:val="0"/>
                <w:bCs w:val="0"/>
                <w:i w:val="0"/>
                <w:iCs w:val="0"/>
                <w:color w:val="auto"/>
                <w:kern w:val="0"/>
                <w:sz w:val="24"/>
                <w:szCs w:val="21"/>
                <w:vertAlign w:val="baseline"/>
                <w:lang w:val="en-US" w:eastAsia="zh-CN"/>
              </w:rPr>
              <w:t>——起尘风速，m/s；</w:t>
            </w:r>
          </w:p>
          <w:p w14:paraId="5CE5CBA1">
            <w:pPr>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jc w:val="both"/>
              <w:textAlignment w:val="auto"/>
              <w:rPr>
                <w:rFonts w:hint="default" w:ascii="Times New Roman" w:hAnsi="Times New Roman" w:cs="Times New Roman"/>
                <w:b w:val="0"/>
                <w:bCs w:val="0"/>
                <w:i w:val="0"/>
                <w:iCs w:val="0"/>
                <w:color w:val="auto"/>
                <w:kern w:val="0"/>
                <w:sz w:val="24"/>
                <w:szCs w:val="21"/>
                <w:vertAlign w:val="baseline"/>
                <w:lang w:val="en-US" w:eastAsia="zh-CN"/>
              </w:rPr>
            </w:pPr>
            <w:r>
              <w:rPr>
                <w:rFonts w:hint="default" w:ascii="Times New Roman" w:hAnsi="Times New Roman" w:cs="Times New Roman"/>
                <w:b w:val="0"/>
                <w:bCs w:val="0"/>
                <w:i w:val="0"/>
                <w:iCs w:val="0"/>
                <w:color w:val="auto"/>
                <w:kern w:val="0"/>
                <w:sz w:val="24"/>
                <w:szCs w:val="21"/>
                <w:vertAlign w:val="baseline"/>
                <w:lang w:val="en-US" w:eastAsia="zh-CN"/>
              </w:rPr>
              <w:t>W——尘粒的含水量，%。</w:t>
            </w:r>
          </w:p>
          <w:p w14:paraId="25AC9EB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 w:val="0"/>
                <w:bCs w:val="0"/>
                <w:i w:val="0"/>
                <w:iCs w:val="0"/>
                <w:color w:val="auto"/>
                <w:kern w:val="0"/>
                <w:sz w:val="24"/>
                <w:szCs w:val="21"/>
                <w:vertAlign w:val="baseline"/>
                <w:lang w:val="en-US" w:eastAsia="zh-CN"/>
              </w:rPr>
            </w:pPr>
            <w:r>
              <w:rPr>
                <w:rFonts w:hint="default" w:ascii="Times New Roman" w:hAnsi="Times New Roman" w:cs="Times New Roman"/>
                <w:b w:val="0"/>
                <w:bCs w:val="0"/>
                <w:i w:val="0"/>
                <w:iCs w:val="0"/>
                <w:color w:val="auto"/>
                <w:kern w:val="0"/>
                <w:sz w:val="24"/>
                <w:szCs w:val="21"/>
                <w:vertAlign w:val="baseline"/>
                <w:lang w:val="en-US" w:eastAsia="zh-CN"/>
              </w:rPr>
              <w:t>起尘风速与尘粒和含水量有关，因此，减少露天堆放和保证一定的含水量及减少裸露地面是减少风力起尘的有效手段。粉尘在空气中的扩散稀释与风速等气象条件有关，也与粉尘本身的沉降速度有关。不同粒径粉尘的沉降速度见表4</w:t>
            </w:r>
            <w:r>
              <w:rPr>
                <w:rFonts w:hint="eastAsia" w:ascii="Times New Roman" w:hAnsi="Times New Roman" w:cs="Times New Roman"/>
                <w:b w:val="0"/>
                <w:bCs w:val="0"/>
                <w:i w:val="0"/>
                <w:iCs w:val="0"/>
                <w:color w:val="auto"/>
                <w:kern w:val="0"/>
                <w:sz w:val="24"/>
                <w:szCs w:val="21"/>
                <w:vertAlign w:val="baseline"/>
                <w:lang w:val="en-US" w:eastAsia="zh-CN"/>
              </w:rPr>
              <w:t>-</w:t>
            </w:r>
            <w:r>
              <w:rPr>
                <w:rFonts w:hint="default" w:ascii="Times New Roman" w:hAnsi="Times New Roman" w:cs="Times New Roman"/>
                <w:b w:val="0"/>
                <w:bCs w:val="0"/>
                <w:i w:val="0"/>
                <w:iCs w:val="0"/>
                <w:color w:val="auto"/>
                <w:kern w:val="0"/>
                <w:sz w:val="24"/>
                <w:szCs w:val="21"/>
                <w:vertAlign w:val="baseline"/>
                <w:lang w:val="en-US" w:eastAsia="zh-CN"/>
              </w:rPr>
              <w:t>2。</w:t>
            </w:r>
          </w:p>
          <w:p w14:paraId="681E6E56">
            <w:pPr>
              <w:pStyle w:val="18"/>
              <w:bidi w:val="0"/>
              <w:rPr>
                <w:rFonts w:hint="default"/>
                <w:color w:val="auto"/>
                <w:lang w:val="en-US" w:eastAsia="zh-CN"/>
              </w:rPr>
            </w:pPr>
            <w:r>
              <w:rPr>
                <w:rFonts w:hint="default"/>
                <w:color w:val="auto"/>
              </w:rPr>
              <w:t>表</w:t>
            </w:r>
            <w:r>
              <w:rPr>
                <w:rFonts w:hint="default"/>
                <w:color w:val="auto"/>
                <w:lang w:val="en-US" w:eastAsia="zh-CN"/>
              </w:rPr>
              <w:t>4</w:t>
            </w:r>
            <w:r>
              <w:rPr>
                <w:rFonts w:hint="eastAsia"/>
                <w:color w:val="auto"/>
                <w:lang w:val="en-US" w:eastAsia="zh-CN"/>
              </w:rPr>
              <w:t>-</w:t>
            </w:r>
            <w:r>
              <w:rPr>
                <w:rFonts w:hint="default"/>
                <w:color w:val="auto"/>
                <w:lang w:val="en-US" w:eastAsia="zh-CN"/>
              </w:rPr>
              <w:t>2 不同尘粒的沉降速度</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81"/>
              <w:gridCol w:w="901"/>
              <w:gridCol w:w="992"/>
              <w:gridCol w:w="930"/>
              <w:gridCol w:w="992"/>
              <w:gridCol w:w="946"/>
              <w:gridCol w:w="980"/>
              <w:gridCol w:w="776"/>
            </w:tblGrid>
            <w:tr w14:paraId="0A909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925" w:type="pct"/>
                  <w:noWrap w:val="0"/>
                  <w:vAlign w:val="center"/>
                </w:tcPr>
                <w:p w14:paraId="53106B46">
                  <w:pPr>
                    <w:pStyle w:val="17"/>
                    <w:bidi w:val="0"/>
                    <w:rPr>
                      <w:rFonts w:hint="default" w:ascii="Times New Roman" w:hAnsi="Times New Roman" w:cs="Times New Roman"/>
                      <w:b w:val="0"/>
                      <w:bCs w:val="0"/>
                      <w:color w:val="auto"/>
                    </w:rPr>
                  </w:pPr>
                  <w:r>
                    <w:rPr>
                      <w:rFonts w:hint="default" w:ascii="Times New Roman" w:hAnsi="Times New Roman" w:cs="Times New Roman"/>
                      <w:b w:val="0"/>
                      <w:bCs w:val="0"/>
                      <w:color w:val="auto"/>
                    </w:rPr>
                    <w:t>粒径（</w:t>
                  </w:r>
                  <w:r>
                    <w:rPr>
                      <w:rFonts w:hint="default" w:ascii="Times New Roman" w:hAnsi="Times New Roman" w:cs="Times New Roman"/>
                      <w:b w:val="0"/>
                      <w:bCs w:val="0"/>
                      <w:i w:val="0"/>
                      <w:iCs w:val="0"/>
                      <w:color w:val="auto"/>
                      <w:lang w:val="en-US" w:eastAsia="zh-CN"/>
                    </w:rPr>
                    <w:t>μ</w:t>
                  </w:r>
                  <w:r>
                    <w:rPr>
                      <w:rFonts w:hint="default" w:ascii="Times New Roman" w:hAnsi="Times New Roman" w:cs="Times New Roman"/>
                      <w:b w:val="0"/>
                      <w:bCs w:val="0"/>
                      <w:color w:val="auto"/>
                    </w:rPr>
                    <w:t>m）</w:t>
                  </w:r>
                </w:p>
              </w:tc>
              <w:tc>
                <w:tcPr>
                  <w:tcW w:w="563" w:type="pct"/>
                  <w:noWrap w:val="0"/>
                  <w:vAlign w:val="center"/>
                </w:tcPr>
                <w:p w14:paraId="488CDB7E">
                  <w:pPr>
                    <w:pStyle w:val="17"/>
                    <w:bidi w:val="0"/>
                    <w:rPr>
                      <w:rFonts w:hint="default" w:ascii="Times New Roman" w:hAnsi="Times New Roman" w:cs="Times New Roman"/>
                      <w:color w:val="auto"/>
                    </w:rPr>
                  </w:pPr>
                  <w:r>
                    <w:rPr>
                      <w:rFonts w:hint="default" w:ascii="Times New Roman" w:hAnsi="Times New Roman" w:cs="Times New Roman"/>
                      <w:color w:val="auto"/>
                    </w:rPr>
                    <w:t>10</w:t>
                  </w:r>
                </w:p>
              </w:tc>
              <w:tc>
                <w:tcPr>
                  <w:tcW w:w="620" w:type="pct"/>
                  <w:noWrap w:val="0"/>
                  <w:vAlign w:val="center"/>
                </w:tcPr>
                <w:p w14:paraId="54D1AD75">
                  <w:pPr>
                    <w:pStyle w:val="17"/>
                    <w:bidi w:val="0"/>
                    <w:rPr>
                      <w:rFonts w:hint="default" w:ascii="Times New Roman" w:hAnsi="Times New Roman" w:cs="Times New Roman"/>
                      <w:color w:val="auto"/>
                    </w:rPr>
                  </w:pPr>
                  <w:r>
                    <w:rPr>
                      <w:rFonts w:hint="default" w:ascii="Times New Roman" w:hAnsi="Times New Roman" w:cs="Times New Roman"/>
                      <w:color w:val="auto"/>
                    </w:rPr>
                    <w:t>20</w:t>
                  </w:r>
                </w:p>
              </w:tc>
              <w:tc>
                <w:tcPr>
                  <w:tcW w:w="581" w:type="pct"/>
                  <w:noWrap w:val="0"/>
                  <w:vAlign w:val="center"/>
                </w:tcPr>
                <w:p w14:paraId="03D5E83D">
                  <w:pPr>
                    <w:pStyle w:val="17"/>
                    <w:bidi w:val="0"/>
                    <w:rPr>
                      <w:rFonts w:hint="default" w:ascii="Times New Roman" w:hAnsi="Times New Roman" w:cs="Times New Roman"/>
                      <w:color w:val="auto"/>
                    </w:rPr>
                  </w:pPr>
                  <w:r>
                    <w:rPr>
                      <w:rFonts w:hint="default" w:ascii="Times New Roman" w:hAnsi="Times New Roman" w:cs="Times New Roman"/>
                      <w:color w:val="auto"/>
                    </w:rPr>
                    <w:t>30</w:t>
                  </w:r>
                </w:p>
              </w:tc>
              <w:tc>
                <w:tcPr>
                  <w:tcW w:w="620" w:type="pct"/>
                  <w:noWrap w:val="0"/>
                  <w:vAlign w:val="center"/>
                </w:tcPr>
                <w:p w14:paraId="088F06CE">
                  <w:pPr>
                    <w:pStyle w:val="17"/>
                    <w:bidi w:val="0"/>
                    <w:rPr>
                      <w:rFonts w:hint="default" w:ascii="Times New Roman" w:hAnsi="Times New Roman" w:cs="Times New Roman"/>
                      <w:color w:val="auto"/>
                    </w:rPr>
                  </w:pPr>
                  <w:r>
                    <w:rPr>
                      <w:rFonts w:hint="default" w:ascii="Times New Roman" w:hAnsi="Times New Roman" w:cs="Times New Roman"/>
                      <w:color w:val="auto"/>
                    </w:rPr>
                    <w:t>40</w:t>
                  </w:r>
                </w:p>
              </w:tc>
              <w:tc>
                <w:tcPr>
                  <w:tcW w:w="591" w:type="pct"/>
                  <w:noWrap w:val="0"/>
                  <w:vAlign w:val="center"/>
                </w:tcPr>
                <w:p w14:paraId="3470D9B1">
                  <w:pPr>
                    <w:pStyle w:val="17"/>
                    <w:bidi w:val="0"/>
                    <w:rPr>
                      <w:rFonts w:hint="default" w:ascii="Times New Roman" w:hAnsi="Times New Roman" w:cs="Times New Roman"/>
                      <w:color w:val="auto"/>
                    </w:rPr>
                  </w:pPr>
                  <w:r>
                    <w:rPr>
                      <w:rFonts w:hint="default" w:ascii="Times New Roman" w:hAnsi="Times New Roman" w:cs="Times New Roman"/>
                      <w:color w:val="auto"/>
                    </w:rPr>
                    <w:t>50</w:t>
                  </w:r>
                </w:p>
              </w:tc>
              <w:tc>
                <w:tcPr>
                  <w:tcW w:w="612" w:type="pct"/>
                  <w:noWrap w:val="0"/>
                  <w:vAlign w:val="center"/>
                </w:tcPr>
                <w:p w14:paraId="54BCBA6B">
                  <w:pPr>
                    <w:pStyle w:val="17"/>
                    <w:bidi w:val="0"/>
                    <w:rPr>
                      <w:rFonts w:hint="default" w:ascii="Times New Roman" w:hAnsi="Times New Roman" w:cs="Times New Roman"/>
                      <w:color w:val="auto"/>
                    </w:rPr>
                  </w:pPr>
                  <w:r>
                    <w:rPr>
                      <w:rFonts w:hint="default" w:ascii="Times New Roman" w:hAnsi="Times New Roman" w:cs="Times New Roman"/>
                      <w:color w:val="auto"/>
                    </w:rPr>
                    <w:t>60</w:t>
                  </w:r>
                </w:p>
              </w:tc>
              <w:tc>
                <w:tcPr>
                  <w:tcW w:w="484" w:type="pct"/>
                  <w:noWrap w:val="0"/>
                  <w:vAlign w:val="center"/>
                </w:tcPr>
                <w:p w14:paraId="48B9DD68">
                  <w:pPr>
                    <w:pStyle w:val="17"/>
                    <w:bidi w:val="0"/>
                    <w:rPr>
                      <w:rFonts w:hint="default" w:ascii="Times New Roman" w:hAnsi="Times New Roman" w:cs="Times New Roman"/>
                      <w:color w:val="auto"/>
                    </w:rPr>
                  </w:pPr>
                  <w:r>
                    <w:rPr>
                      <w:rFonts w:hint="default" w:ascii="Times New Roman" w:hAnsi="Times New Roman" w:cs="Times New Roman"/>
                      <w:color w:val="auto"/>
                    </w:rPr>
                    <w:t>70</w:t>
                  </w:r>
                </w:p>
              </w:tc>
            </w:tr>
            <w:tr w14:paraId="5F0FE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25" w:type="pct"/>
                  <w:noWrap w:val="0"/>
                  <w:vAlign w:val="center"/>
                </w:tcPr>
                <w:p w14:paraId="0372CDF3">
                  <w:pPr>
                    <w:pStyle w:val="17"/>
                    <w:bidi w:val="0"/>
                    <w:rPr>
                      <w:rFonts w:hint="default" w:ascii="Times New Roman" w:hAnsi="Times New Roman" w:cs="Times New Roman"/>
                      <w:b w:val="0"/>
                      <w:bCs w:val="0"/>
                      <w:color w:val="auto"/>
                    </w:rPr>
                  </w:pPr>
                  <w:r>
                    <w:rPr>
                      <w:rFonts w:hint="default" w:ascii="Times New Roman" w:hAnsi="Times New Roman" w:cs="Times New Roman"/>
                      <w:b w:val="0"/>
                      <w:bCs w:val="0"/>
                      <w:color w:val="auto"/>
                    </w:rPr>
                    <w:t>沉降速度</w:t>
                  </w:r>
                  <w:r>
                    <w:rPr>
                      <w:rFonts w:hint="eastAsia" w:cs="Times New Roman"/>
                      <w:b w:val="0"/>
                      <w:bCs w:val="0"/>
                      <w:color w:val="auto"/>
                      <w:lang w:val="en-US" w:eastAsia="zh-CN"/>
                    </w:rPr>
                    <w:t>(</w:t>
                  </w:r>
                  <w:r>
                    <w:rPr>
                      <w:rFonts w:hint="default" w:ascii="Times New Roman" w:hAnsi="Times New Roman" w:cs="Times New Roman"/>
                      <w:b w:val="0"/>
                      <w:bCs w:val="0"/>
                      <w:color w:val="auto"/>
                    </w:rPr>
                    <w:t>m/s)</w:t>
                  </w:r>
                </w:p>
              </w:tc>
              <w:tc>
                <w:tcPr>
                  <w:tcW w:w="563" w:type="pct"/>
                  <w:noWrap w:val="0"/>
                  <w:vAlign w:val="center"/>
                </w:tcPr>
                <w:p w14:paraId="469C29D7">
                  <w:pPr>
                    <w:pStyle w:val="17"/>
                    <w:bidi w:val="0"/>
                    <w:rPr>
                      <w:rFonts w:hint="default" w:ascii="Times New Roman" w:hAnsi="Times New Roman" w:cs="Times New Roman"/>
                      <w:color w:val="auto"/>
                    </w:rPr>
                  </w:pPr>
                  <w:r>
                    <w:rPr>
                      <w:rFonts w:hint="default" w:ascii="Times New Roman" w:hAnsi="Times New Roman" w:cs="Times New Roman"/>
                      <w:color w:val="auto"/>
                    </w:rPr>
                    <w:t>0.03</w:t>
                  </w:r>
                </w:p>
              </w:tc>
              <w:tc>
                <w:tcPr>
                  <w:tcW w:w="620" w:type="pct"/>
                  <w:noWrap w:val="0"/>
                  <w:vAlign w:val="center"/>
                </w:tcPr>
                <w:p w14:paraId="006B56B1">
                  <w:pPr>
                    <w:pStyle w:val="17"/>
                    <w:bidi w:val="0"/>
                    <w:rPr>
                      <w:rFonts w:hint="default" w:ascii="Times New Roman" w:hAnsi="Times New Roman" w:cs="Times New Roman"/>
                      <w:color w:val="auto"/>
                    </w:rPr>
                  </w:pPr>
                  <w:r>
                    <w:rPr>
                      <w:rFonts w:hint="default" w:ascii="Times New Roman" w:hAnsi="Times New Roman" w:cs="Times New Roman"/>
                      <w:color w:val="auto"/>
                    </w:rPr>
                    <w:t>0.012</w:t>
                  </w:r>
                </w:p>
              </w:tc>
              <w:tc>
                <w:tcPr>
                  <w:tcW w:w="581" w:type="pct"/>
                  <w:noWrap w:val="0"/>
                  <w:vAlign w:val="center"/>
                </w:tcPr>
                <w:p w14:paraId="0C09948C">
                  <w:pPr>
                    <w:pStyle w:val="17"/>
                    <w:bidi w:val="0"/>
                    <w:rPr>
                      <w:rFonts w:hint="default" w:ascii="Times New Roman" w:hAnsi="Times New Roman" w:cs="Times New Roman"/>
                      <w:color w:val="auto"/>
                    </w:rPr>
                  </w:pPr>
                  <w:r>
                    <w:rPr>
                      <w:rFonts w:hint="default" w:ascii="Times New Roman" w:hAnsi="Times New Roman" w:cs="Times New Roman"/>
                      <w:color w:val="auto"/>
                    </w:rPr>
                    <w:t>0.027</w:t>
                  </w:r>
                </w:p>
              </w:tc>
              <w:tc>
                <w:tcPr>
                  <w:tcW w:w="620" w:type="pct"/>
                  <w:noWrap w:val="0"/>
                  <w:vAlign w:val="center"/>
                </w:tcPr>
                <w:p w14:paraId="7BDD3141">
                  <w:pPr>
                    <w:pStyle w:val="17"/>
                    <w:bidi w:val="0"/>
                    <w:rPr>
                      <w:rFonts w:hint="default" w:ascii="Times New Roman" w:hAnsi="Times New Roman" w:cs="Times New Roman"/>
                      <w:color w:val="auto"/>
                    </w:rPr>
                  </w:pPr>
                  <w:r>
                    <w:rPr>
                      <w:rFonts w:hint="default" w:ascii="Times New Roman" w:hAnsi="Times New Roman" w:cs="Times New Roman"/>
                      <w:color w:val="auto"/>
                    </w:rPr>
                    <w:t>0.048</w:t>
                  </w:r>
                </w:p>
              </w:tc>
              <w:tc>
                <w:tcPr>
                  <w:tcW w:w="591" w:type="pct"/>
                  <w:noWrap w:val="0"/>
                  <w:vAlign w:val="center"/>
                </w:tcPr>
                <w:p w14:paraId="6B2378BB">
                  <w:pPr>
                    <w:pStyle w:val="17"/>
                    <w:bidi w:val="0"/>
                    <w:rPr>
                      <w:rFonts w:hint="default" w:ascii="Times New Roman" w:hAnsi="Times New Roman" w:cs="Times New Roman"/>
                      <w:color w:val="auto"/>
                    </w:rPr>
                  </w:pPr>
                  <w:r>
                    <w:rPr>
                      <w:rFonts w:hint="default" w:ascii="Times New Roman" w:hAnsi="Times New Roman" w:cs="Times New Roman"/>
                      <w:color w:val="auto"/>
                    </w:rPr>
                    <w:t>0.075</w:t>
                  </w:r>
                </w:p>
              </w:tc>
              <w:tc>
                <w:tcPr>
                  <w:tcW w:w="612" w:type="pct"/>
                  <w:noWrap w:val="0"/>
                  <w:vAlign w:val="center"/>
                </w:tcPr>
                <w:p w14:paraId="6FEA51F9">
                  <w:pPr>
                    <w:pStyle w:val="17"/>
                    <w:bidi w:val="0"/>
                    <w:rPr>
                      <w:rFonts w:hint="default" w:ascii="Times New Roman" w:hAnsi="Times New Roman" w:cs="Times New Roman"/>
                      <w:color w:val="auto"/>
                    </w:rPr>
                  </w:pPr>
                  <w:r>
                    <w:rPr>
                      <w:rFonts w:hint="default" w:ascii="Times New Roman" w:hAnsi="Times New Roman" w:cs="Times New Roman"/>
                      <w:color w:val="auto"/>
                    </w:rPr>
                    <w:t>0.108</w:t>
                  </w:r>
                </w:p>
              </w:tc>
              <w:tc>
                <w:tcPr>
                  <w:tcW w:w="484" w:type="pct"/>
                  <w:noWrap w:val="0"/>
                  <w:vAlign w:val="center"/>
                </w:tcPr>
                <w:p w14:paraId="7B778373">
                  <w:pPr>
                    <w:pStyle w:val="17"/>
                    <w:bidi w:val="0"/>
                    <w:rPr>
                      <w:rFonts w:hint="default" w:ascii="Times New Roman" w:hAnsi="Times New Roman" w:cs="Times New Roman"/>
                      <w:color w:val="auto"/>
                    </w:rPr>
                  </w:pPr>
                  <w:r>
                    <w:rPr>
                      <w:rFonts w:hint="default" w:ascii="Times New Roman" w:hAnsi="Times New Roman" w:cs="Times New Roman"/>
                      <w:color w:val="auto"/>
                    </w:rPr>
                    <w:t>0.997</w:t>
                  </w:r>
                </w:p>
              </w:tc>
            </w:tr>
            <w:tr w14:paraId="17531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925" w:type="pct"/>
                  <w:noWrap w:val="0"/>
                  <w:vAlign w:val="center"/>
                </w:tcPr>
                <w:p w14:paraId="4E267A65">
                  <w:pPr>
                    <w:pStyle w:val="17"/>
                    <w:bidi w:val="0"/>
                    <w:rPr>
                      <w:rFonts w:hint="eastAsia" w:ascii="Times New Roman" w:hAnsi="Times New Roman" w:eastAsia="宋体" w:cs="Times New Roman"/>
                      <w:b w:val="0"/>
                      <w:bCs w:val="0"/>
                      <w:color w:val="auto"/>
                      <w:lang w:eastAsia="zh-CN"/>
                    </w:rPr>
                  </w:pPr>
                  <w:r>
                    <w:rPr>
                      <w:rFonts w:hint="default" w:ascii="Times New Roman" w:hAnsi="Times New Roman" w:cs="Times New Roman"/>
                      <w:b w:val="0"/>
                      <w:bCs w:val="0"/>
                      <w:color w:val="auto"/>
                    </w:rPr>
                    <w:t>粒径</w:t>
                  </w:r>
                  <w:r>
                    <w:rPr>
                      <w:rFonts w:hint="eastAsia" w:cs="Times New Roman"/>
                      <w:b w:val="0"/>
                      <w:bCs w:val="0"/>
                      <w:color w:val="auto"/>
                      <w:lang w:val="en-US" w:eastAsia="zh-CN"/>
                    </w:rPr>
                    <w:t>(</w:t>
                  </w:r>
                  <w:r>
                    <w:rPr>
                      <w:rFonts w:hint="default" w:ascii="Times New Roman" w:hAnsi="Times New Roman" w:cs="Times New Roman"/>
                      <w:b w:val="0"/>
                      <w:bCs w:val="0"/>
                      <w:color w:val="auto"/>
                      <w:lang w:val="en-US" w:eastAsia="zh-CN"/>
                    </w:rPr>
                    <w:t>μ</w:t>
                  </w:r>
                  <w:r>
                    <w:rPr>
                      <w:rFonts w:hint="default" w:ascii="Times New Roman" w:hAnsi="Times New Roman" w:cs="Times New Roman"/>
                      <w:b w:val="0"/>
                      <w:bCs w:val="0"/>
                      <w:color w:val="auto"/>
                    </w:rPr>
                    <w:t>m</w:t>
                  </w:r>
                  <w:r>
                    <w:rPr>
                      <w:rFonts w:hint="eastAsia" w:cs="Times New Roman"/>
                      <w:b w:val="0"/>
                      <w:bCs w:val="0"/>
                      <w:color w:val="auto"/>
                      <w:lang w:val="en-US" w:eastAsia="zh-CN"/>
                    </w:rPr>
                    <w:t>)</w:t>
                  </w:r>
                </w:p>
              </w:tc>
              <w:tc>
                <w:tcPr>
                  <w:tcW w:w="563" w:type="pct"/>
                  <w:noWrap w:val="0"/>
                  <w:vAlign w:val="center"/>
                </w:tcPr>
                <w:p w14:paraId="79CADEBC">
                  <w:pPr>
                    <w:pStyle w:val="17"/>
                    <w:bidi w:val="0"/>
                    <w:rPr>
                      <w:rFonts w:hint="default" w:ascii="Times New Roman" w:hAnsi="Times New Roman" w:cs="Times New Roman"/>
                      <w:color w:val="auto"/>
                    </w:rPr>
                  </w:pPr>
                  <w:r>
                    <w:rPr>
                      <w:rFonts w:hint="default" w:ascii="Times New Roman" w:hAnsi="Times New Roman" w:cs="Times New Roman"/>
                      <w:color w:val="auto"/>
                    </w:rPr>
                    <w:t>80</w:t>
                  </w:r>
                </w:p>
              </w:tc>
              <w:tc>
                <w:tcPr>
                  <w:tcW w:w="620" w:type="pct"/>
                  <w:noWrap w:val="0"/>
                  <w:vAlign w:val="center"/>
                </w:tcPr>
                <w:p w14:paraId="317ADE10">
                  <w:pPr>
                    <w:pStyle w:val="17"/>
                    <w:bidi w:val="0"/>
                    <w:rPr>
                      <w:rFonts w:hint="default" w:ascii="Times New Roman" w:hAnsi="Times New Roman" w:cs="Times New Roman"/>
                      <w:color w:val="auto"/>
                    </w:rPr>
                  </w:pPr>
                  <w:r>
                    <w:rPr>
                      <w:rFonts w:hint="default" w:ascii="Times New Roman" w:hAnsi="Times New Roman" w:cs="Times New Roman"/>
                      <w:color w:val="auto"/>
                    </w:rPr>
                    <w:t>90</w:t>
                  </w:r>
                </w:p>
              </w:tc>
              <w:tc>
                <w:tcPr>
                  <w:tcW w:w="581" w:type="pct"/>
                  <w:noWrap w:val="0"/>
                  <w:vAlign w:val="center"/>
                </w:tcPr>
                <w:p w14:paraId="4390EFFF">
                  <w:pPr>
                    <w:pStyle w:val="17"/>
                    <w:bidi w:val="0"/>
                    <w:rPr>
                      <w:rFonts w:hint="default" w:ascii="Times New Roman" w:hAnsi="Times New Roman" w:cs="Times New Roman"/>
                      <w:color w:val="auto"/>
                    </w:rPr>
                  </w:pPr>
                  <w:r>
                    <w:rPr>
                      <w:rFonts w:hint="default" w:ascii="Times New Roman" w:hAnsi="Times New Roman" w:cs="Times New Roman"/>
                      <w:color w:val="auto"/>
                    </w:rPr>
                    <w:t>100</w:t>
                  </w:r>
                </w:p>
              </w:tc>
              <w:tc>
                <w:tcPr>
                  <w:tcW w:w="620" w:type="pct"/>
                  <w:noWrap w:val="0"/>
                  <w:vAlign w:val="center"/>
                </w:tcPr>
                <w:p w14:paraId="3A263BA4">
                  <w:pPr>
                    <w:pStyle w:val="17"/>
                    <w:bidi w:val="0"/>
                    <w:rPr>
                      <w:rFonts w:hint="default" w:ascii="Times New Roman" w:hAnsi="Times New Roman" w:cs="Times New Roman"/>
                      <w:color w:val="auto"/>
                    </w:rPr>
                  </w:pPr>
                  <w:r>
                    <w:rPr>
                      <w:rFonts w:hint="default" w:ascii="Times New Roman" w:hAnsi="Times New Roman" w:cs="Times New Roman"/>
                      <w:color w:val="auto"/>
                    </w:rPr>
                    <w:t>150</w:t>
                  </w:r>
                </w:p>
              </w:tc>
              <w:tc>
                <w:tcPr>
                  <w:tcW w:w="591" w:type="pct"/>
                  <w:noWrap w:val="0"/>
                  <w:vAlign w:val="center"/>
                </w:tcPr>
                <w:p w14:paraId="69DC4341">
                  <w:pPr>
                    <w:pStyle w:val="17"/>
                    <w:bidi w:val="0"/>
                    <w:rPr>
                      <w:rFonts w:hint="default" w:ascii="Times New Roman" w:hAnsi="Times New Roman" w:cs="Times New Roman"/>
                      <w:color w:val="auto"/>
                    </w:rPr>
                  </w:pPr>
                  <w:r>
                    <w:rPr>
                      <w:rFonts w:hint="default" w:ascii="Times New Roman" w:hAnsi="Times New Roman" w:cs="Times New Roman"/>
                      <w:color w:val="auto"/>
                    </w:rPr>
                    <w:t>200</w:t>
                  </w:r>
                </w:p>
              </w:tc>
              <w:tc>
                <w:tcPr>
                  <w:tcW w:w="612" w:type="pct"/>
                  <w:noWrap w:val="0"/>
                  <w:vAlign w:val="center"/>
                </w:tcPr>
                <w:p w14:paraId="2F26D3DD">
                  <w:pPr>
                    <w:pStyle w:val="17"/>
                    <w:bidi w:val="0"/>
                    <w:rPr>
                      <w:rFonts w:hint="default" w:ascii="Times New Roman" w:hAnsi="Times New Roman" w:cs="Times New Roman"/>
                      <w:color w:val="auto"/>
                    </w:rPr>
                  </w:pPr>
                  <w:r>
                    <w:rPr>
                      <w:rFonts w:hint="default" w:ascii="Times New Roman" w:hAnsi="Times New Roman" w:cs="Times New Roman"/>
                      <w:color w:val="auto"/>
                    </w:rPr>
                    <w:t>250</w:t>
                  </w:r>
                </w:p>
              </w:tc>
              <w:tc>
                <w:tcPr>
                  <w:tcW w:w="484" w:type="pct"/>
                  <w:noWrap w:val="0"/>
                  <w:vAlign w:val="center"/>
                </w:tcPr>
                <w:p w14:paraId="3FA90D7F">
                  <w:pPr>
                    <w:pStyle w:val="17"/>
                    <w:bidi w:val="0"/>
                    <w:rPr>
                      <w:rFonts w:hint="default" w:ascii="Times New Roman" w:hAnsi="Times New Roman" w:cs="Times New Roman"/>
                      <w:color w:val="auto"/>
                    </w:rPr>
                  </w:pPr>
                  <w:r>
                    <w:rPr>
                      <w:rFonts w:hint="default" w:ascii="Times New Roman" w:hAnsi="Times New Roman" w:cs="Times New Roman"/>
                      <w:color w:val="auto"/>
                    </w:rPr>
                    <w:t>300</w:t>
                  </w:r>
                </w:p>
              </w:tc>
            </w:tr>
            <w:tr w14:paraId="0EEA1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925" w:type="pct"/>
                  <w:noWrap w:val="0"/>
                  <w:vAlign w:val="center"/>
                </w:tcPr>
                <w:p w14:paraId="5C1057E9">
                  <w:pPr>
                    <w:pStyle w:val="17"/>
                    <w:bidi w:val="0"/>
                    <w:rPr>
                      <w:rFonts w:hint="default" w:ascii="Times New Roman" w:hAnsi="Times New Roman" w:cs="Times New Roman"/>
                      <w:b w:val="0"/>
                      <w:bCs w:val="0"/>
                      <w:color w:val="auto"/>
                    </w:rPr>
                  </w:pPr>
                  <w:r>
                    <w:rPr>
                      <w:rFonts w:hint="default" w:ascii="Times New Roman" w:hAnsi="Times New Roman" w:cs="Times New Roman"/>
                      <w:b w:val="0"/>
                      <w:bCs w:val="0"/>
                      <w:color w:val="auto"/>
                    </w:rPr>
                    <w:t>沉降速度</w:t>
                  </w:r>
                  <w:r>
                    <w:rPr>
                      <w:rFonts w:hint="eastAsia" w:cs="Times New Roman"/>
                      <w:b w:val="0"/>
                      <w:bCs w:val="0"/>
                      <w:color w:val="auto"/>
                      <w:lang w:val="en-US" w:eastAsia="zh-CN"/>
                    </w:rPr>
                    <w:t>(</w:t>
                  </w:r>
                  <w:r>
                    <w:rPr>
                      <w:rFonts w:hint="default" w:ascii="Times New Roman" w:hAnsi="Times New Roman" w:cs="Times New Roman"/>
                      <w:b w:val="0"/>
                      <w:bCs w:val="0"/>
                      <w:color w:val="auto"/>
                    </w:rPr>
                    <w:t>m/s)</w:t>
                  </w:r>
                </w:p>
              </w:tc>
              <w:tc>
                <w:tcPr>
                  <w:tcW w:w="563" w:type="pct"/>
                  <w:noWrap w:val="0"/>
                  <w:vAlign w:val="center"/>
                </w:tcPr>
                <w:p w14:paraId="518E23C7">
                  <w:pPr>
                    <w:pStyle w:val="17"/>
                    <w:bidi w:val="0"/>
                    <w:rPr>
                      <w:rFonts w:hint="default" w:ascii="Times New Roman" w:hAnsi="Times New Roman" w:cs="Times New Roman"/>
                      <w:color w:val="auto"/>
                    </w:rPr>
                  </w:pPr>
                  <w:r>
                    <w:rPr>
                      <w:rFonts w:hint="default" w:ascii="Times New Roman" w:hAnsi="Times New Roman" w:cs="Times New Roman"/>
                      <w:color w:val="auto"/>
                    </w:rPr>
                    <w:t>0.158</w:t>
                  </w:r>
                </w:p>
              </w:tc>
              <w:tc>
                <w:tcPr>
                  <w:tcW w:w="620" w:type="pct"/>
                  <w:noWrap w:val="0"/>
                  <w:vAlign w:val="center"/>
                </w:tcPr>
                <w:p w14:paraId="0EA5A81C">
                  <w:pPr>
                    <w:pStyle w:val="17"/>
                    <w:bidi w:val="0"/>
                    <w:rPr>
                      <w:rFonts w:hint="default" w:ascii="Times New Roman" w:hAnsi="Times New Roman" w:cs="Times New Roman"/>
                      <w:color w:val="auto"/>
                    </w:rPr>
                  </w:pPr>
                  <w:r>
                    <w:rPr>
                      <w:rFonts w:hint="default" w:ascii="Times New Roman" w:hAnsi="Times New Roman" w:cs="Times New Roman"/>
                      <w:color w:val="auto"/>
                    </w:rPr>
                    <w:t>0.170</w:t>
                  </w:r>
                </w:p>
              </w:tc>
              <w:tc>
                <w:tcPr>
                  <w:tcW w:w="581" w:type="pct"/>
                  <w:noWrap w:val="0"/>
                  <w:vAlign w:val="center"/>
                </w:tcPr>
                <w:p w14:paraId="66EE5D56">
                  <w:pPr>
                    <w:pStyle w:val="17"/>
                    <w:bidi w:val="0"/>
                    <w:rPr>
                      <w:rFonts w:hint="default" w:ascii="Times New Roman" w:hAnsi="Times New Roman" w:cs="Times New Roman"/>
                      <w:color w:val="auto"/>
                    </w:rPr>
                  </w:pPr>
                  <w:r>
                    <w:rPr>
                      <w:rFonts w:hint="default" w:ascii="Times New Roman" w:hAnsi="Times New Roman" w:cs="Times New Roman"/>
                      <w:color w:val="auto"/>
                    </w:rPr>
                    <w:t>0.182</w:t>
                  </w:r>
                </w:p>
              </w:tc>
              <w:tc>
                <w:tcPr>
                  <w:tcW w:w="620" w:type="pct"/>
                  <w:noWrap w:val="0"/>
                  <w:vAlign w:val="center"/>
                </w:tcPr>
                <w:p w14:paraId="01311D38">
                  <w:pPr>
                    <w:pStyle w:val="17"/>
                    <w:bidi w:val="0"/>
                    <w:rPr>
                      <w:rFonts w:hint="default" w:ascii="Times New Roman" w:hAnsi="Times New Roman" w:cs="Times New Roman"/>
                      <w:color w:val="auto"/>
                    </w:rPr>
                  </w:pPr>
                  <w:r>
                    <w:rPr>
                      <w:rFonts w:hint="default" w:ascii="Times New Roman" w:hAnsi="Times New Roman" w:cs="Times New Roman"/>
                      <w:color w:val="auto"/>
                    </w:rPr>
                    <w:t>0.239</w:t>
                  </w:r>
                </w:p>
              </w:tc>
              <w:tc>
                <w:tcPr>
                  <w:tcW w:w="591" w:type="pct"/>
                  <w:noWrap w:val="0"/>
                  <w:vAlign w:val="center"/>
                </w:tcPr>
                <w:p w14:paraId="3FCA17FC">
                  <w:pPr>
                    <w:pStyle w:val="17"/>
                    <w:bidi w:val="0"/>
                    <w:rPr>
                      <w:rFonts w:hint="default" w:ascii="Times New Roman" w:hAnsi="Times New Roman" w:cs="Times New Roman"/>
                      <w:color w:val="auto"/>
                    </w:rPr>
                  </w:pPr>
                  <w:r>
                    <w:rPr>
                      <w:rFonts w:hint="default" w:ascii="Times New Roman" w:hAnsi="Times New Roman" w:cs="Times New Roman"/>
                      <w:color w:val="auto"/>
                    </w:rPr>
                    <w:t>0.804</w:t>
                  </w:r>
                </w:p>
              </w:tc>
              <w:tc>
                <w:tcPr>
                  <w:tcW w:w="612" w:type="pct"/>
                  <w:noWrap w:val="0"/>
                  <w:vAlign w:val="center"/>
                </w:tcPr>
                <w:p w14:paraId="35330476">
                  <w:pPr>
                    <w:pStyle w:val="17"/>
                    <w:bidi w:val="0"/>
                    <w:rPr>
                      <w:rFonts w:hint="default" w:ascii="Times New Roman" w:hAnsi="Times New Roman" w:cs="Times New Roman"/>
                      <w:color w:val="auto"/>
                    </w:rPr>
                  </w:pPr>
                  <w:r>
                    <w:rPr>
                      <w:rFonts w:hint="default" w:ascii="Times New Roman" w:hAnsi="Times New Roman" w:cs="Times New Roman"/>
                      <w:color w:val="auto"/>
                    </w:rPr>
                    <w:t>1.005</w:t>
                  </w:r>
                </w:p>
              </w:tc>
              <w:tc>
                <w:tcPr>
                  <w:tcW w:w="484" w:type="pct"/>
                  <w:noWrap w:val="0"/>
                  <w:vAlign w:val="center"/>
                </w:tcPr>
                <w:p w14:paraId="4BA39C4E">
                  <w:pPr>
                    <w:pStyle w:val="17"/>
                    <w:bidi w:val="0"/>
                    <w:rPr>
                      <w:rFonts w:hint="default" w:ascii="Times New Roman" w:hAnsi="Times New Roman" w:cs="Times New Roman"/>
                      <w:color w:val="auto"/>
                    </w:rPr>
                  </w:pPr>
                  <w:r>
                    <w:rPr>
                      <w:rFonts w:hint="default" w:ascii="Times New Roman" w:hAnsi="Times New Roman" w:cs="Times New Roman"/>
                      <w:color w:val="auto"/>
                    </w:rPr>
                    <w:t>1.829</w:t>
                  </w:r>
                </w:p>
              </w:tc>
            </w:tr>
            <w:tr w14:paraId="75AAB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925" w:type="pct"/>
                  <w:noWrap w:val="0"/>
                  <w:vAlign w:val="center"/>
                </w:tcPr>
                <w:p w14:paraId="037E0221">
                  <w:pPr>
                    <w:pStyle w:val="17"/>
                    <w:bidi w:val="0"/>
                    <w:rPr>
                      <w:rFonts w:hint="eastAsia" w:ascii="Times New Roman" w:hAnsi="Times New Roman" w:eastAsia="宋体" w:cs="Times New Roman"/>
                      <w:b w:val="0"/>
                      <w:bCs w:val="0"/>
                      <w:color w:val="auto"/>
                      <w:lang w:eastAsia="zh-CN"/>
                    </w:rPr>
                  </w:pPr>
                  <w:r>
                    <w:rPr>
                      <w:rFonts w:hint="default" w:ascii="Times New Roman" w:hAnsi="Times New Roman" w:cs="Times New Roman"/>
                      <w:b w:val="0"/>
                      <w:bCs w:val="0"/>
                      <w:color w:val="auto"/>
                    </w:rPr>
                    <w:t>粒径</w:t>
                  </w:r>
                  <w:r>
                    <w:rPr>
                      <w:rFonts w:hint="eastAsia" w:cs="Times New Roman"/>
                      <w:b w:val="0"/>
                      <w:bCs w:val="0"/>
                      <w:color w:val="auto"/>
                      <w:lang w:val="en-US" w:eastAsia="zh-CN"/>
                    </w:rPr>
                    <w:t>(</w:t>
                  </w:r>
                  <w:r>
                    <w:rPr>
                      <w:rFonts w:hint="default" w:ascii="Times New Roman" w:hAnsi="Times New Roman" w:cs="Times New Roman"/>
                      <w:b w:val="0"/>
                      <w:bCs w:val="0"/>
                      <w:color w:val="auto"/>
                      <w:lang w:val="en-US" w:eastAsia="zh-CN"/>
                    </w:rPr>
                    <w:t>μ</w:t>
                  </w:r>
                  <w:r>
                    <w:rPr>
                      <w:rFonts w:hint="default" w:ascii="Times New Roman" w:hAnsi="Times New Roman" w:cs="Times New Roman"/>
                      <w:b w:val="0"/>
                      <w:bCs w:val="0"/>
                      <w:color w:val="auto"/>
                    </w:rPr>
                    <w:t>m</w:t>
                  </w:r>
                  <w:r>
                    <w:rPr>
                      <w:rFonts w:hint="eastAsia" w:cs="Times New Roman"/>
                      <w:b w:val="0"/>
                      <w:bCs w:val="0"/>
                      <w:color w:val="auto"/>
                      <w:lang w:val="en-US" w:eastAsia="zh-CN"/>
                    </w:rPr>
                    <w:t>)</w:t>
                  </w:r>
                </w:p>
              </w:tc>
              <w:tc>
                <w:tcPr>
                  <w:tcW w:w="563" w:type="pct"/>
                  <w:noWrap w:val="0"/>
                  <w:vAlign w:val="center"/>
                </w:tcPr>
                <w:p w14:paraId="61965558">
                  <w:pPr>
                    <w:pStyle w:val="17"/>
                    <w:bidi w:val="0"/>
                    <w:rPr>
                      <w:rFonts w:hint="default" w:ascii="Times New Roman" w:hAnsi="Times New Roman" w:cs="Times New Roman"/>
                      <w:color w:val="auto"/>
                    </w:rPr>
                  </w:pPr>
                  <w:r>
                    <w:rPr>
                      <w:rFonts w:hint="default" w:ascii="Times New Roman" w:hAnsi="Times New Roman" w:cs="Times New Roman"/>
                      <w:color w:val="auto"/>
                    </w:rPr>
                    <w:t>450</w:t>
                  </w:r>
                </w:p>
              </w:tc>
              <w:tc>
                <w:tcPr>
                  <w:tcW w:w="620" w:type="pct"/>
                  <w:noWrap w:val="0"/>
                  <w:vAlign w:val="center"/>
                </w:tcPr>
                <w:p w14:paraId="208053F2">
                  <w:pPr>
                    <w:pStyle w:val="17"/>
                    <w:bidi w:val="0"/>
                    <w:rPr>
                      <w:rFonts w:hint="default" w:ascii="Times New Roman" w:hAnsi="Times New Roman" w:cs="Times New Roman"/>
                      <w:color w:val="auto"/>
                    </w:rPr>
                  </w:pPr>
                  <w:r>
                    <w:rPr>
                      <w:rFonts w:hint="default" w:ascii="Times New Roman" w:hAnsi="Times New Roman" w:cs="Times New Roman"/>
                      <w:color w:val="auto"/>
                    </w:rPr>
                    <w:t>550</w:t>
                  </w:r>
                </w:p>
              </w:tc>
              <w:tc>
                <w:tcPr>
                  <w:tcW w:w="581" w:type="pct"/>
                  <w:noWrap w:val="0"/>
                  <w:vAlign w:val="center"/>
                </w:tcPr>
                <w:p w14:paraId="4D7F0CB1">
                  <w:pPr>
                    <w:pStyle w:val="17"/>
                    <w:bidi w:val="0"/>
                    <w:rPr>
                      <w:rFonts w:hint="default" w:ascii="Times New Roman" w:hAnsi="Times New Roman" w:cs="Times New Roman"/>
                      <w:color w:val="auto"/>
                    </w:rPr>
                  </w:pPr>
                  <w:r>
                    <w:rPr>
                      <w:rFonts w:hint="default" w:ascii="Times New Roman" w:hAnsi="Times New Roman" w:cs="Times New Roman"/>
                      <w:color w:val="auto"/>
                    </w:rPr>
                    <w:t>650</w:t>
                  </w:r>
                </w:p>
              </w:tc>
              <w:tc>
                <w:tcPr>
                  <w:tcW w:w="620" w:type="pct"/>
                  <w:noWrap w:val="0"/>
                  <w:vAlign w:val="center"/>
                </w:tcPr>
                <w:p w14:paraId="284ECF47">
                  <w:pPr>
                    <w:pStyle w:val="17"/>
                    <w:bidi w:val="0"/>
                    <w:rPr>
                      <w:rFonts w:hint="default" w:ascii="Times New Roman" w:hAnsi="Times New Roman" w:cs="Times New Roman"/>
                      <w:color w:val="auto"/>
                    </w:rPr>
                  </w:pPr>
                  <w:r>
                    <w:rPr>
                      <w:rFonts w:hint="default" w:ascii="Times New Roman" w:hAnsi="Times New Roman" w:cs="Times New Roman"/>
                      <w:color w:val="auto"/>
                    </w:rPr>
                    <w:t>750</w:t>
                  </w:r>
                </w:p>
              </w:tc>
              <w:tc>
                <w:tcPr>
                  <w:tcW w:w="591" w:type="pct"/>
                  <w:noWrap w:val="0"/>
                  <w:vAlign w:val="center"/>
                </w:tcPr>
                <w:p w14:paraId="79831C07">
                  <w:pPr>
                    <w:pStyle w:val="17"/>
                    <w:bidi w:val="0"/>
                    <w:rPr>
                      <w:rFonts w:hint="default" w:ascii="Times New Roman" w:hAnsi="Times New Roman" w:cs="Times New Roman"/>
                      <w:color w:val="auto"/>
                    </w:rPr>
                  </w:pPr>
                  <w:r>
                    <w:rPr>
                      <w:rFonts w:hint="default" w:ascii="Times New Roman" w:hAnsi="Times New Roman" w:cs="Times New Roman"/>
                      <w:color w:val="auto"/>
                    </w:rPr>
                    <w:t>850</w:t>
                  </w:r>
                </w:p>
              </w:tc>
              <w:tc>
                <w:tcPr>
                  <w:tcW w:w="612" w:type="pct"/>
                  <w:noWrap w:val="0"/>
                  <w:vAlign w:val="center"/>
                </w:tcPr>
                <w:p w14:paraId="21469469">
                  <w:pPr>
                    <w:pStyle w:val="17"/>
                    <w:bidi w:val="0"/>
                    <w:rPr>
                      <w:rFonts w:hint="default" w:ascii="Times New Roman" w:hAnsi="Times New Roman" w:cs="Times New Roman"/>
                      <w:color w:val="auto"/>
                    </w:rPr>
                  </w:pPr>
                  <w:r>
                    <w:rPr>
                      <w:rFonts w:hint="default" w:ascii="Times New Roman" w:hAnsi="Times New Roman" w:cs="Times New Roman"/>
                      <w:color w:val="auto"/>
                    </w:rPr>
                    <w:t>950</w:t>
                  </w:r>
                </w:p>
              </w:tc>
              <w:tc>
                <w:tcPr>
                  <w:tcW w:w="484" w:type="pct"/>
                  <w:noWrap w:val="0"/>
                  <w:vAlign w:val="center"/>
                </w:tcPr>
                <w:p w14:paraId="31461C0E">
                  <w:pPr>
                    <w:pStyle w:val="17"/>
                    <w:bidi w:val="0"/>
                    <w:rPr>
                      <w:rFonts w:hint="default" w:ascii="Times New Roman" w:hAnsi="Times New Roman" w:cs="Times New Roman"/>
                      <w:color w:val="auto"/>
                    </w:rPr>
                  </w:pPr>
                  <w:r>
                    <w:rPr>
                      <w:rFonts w:hint="default" w:ascii="Times New Roman" w:hAnsi="Times New Roman" w:cs="Times New Roman"/>
                      <w:color w:val="auto"/>
                    </w:rPr>
                    <w:t>1051</w:t>
                  </w:r>
                </w:p>
              </w:tc>
            </w:tr>
            <w:tr w14:paraId="5D203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925" w:type="pct"/>
                  <w:noWrap w:val="0"/>
                  <w:vAlign w:val="center"/>
                </w:tcPr>
                <w:p w14:paraId="05598BD4">
                  <w:pPr>
                    <w:pStyle w:val="17"/>
                    <w:bidi w:val="0"/>
                    <w:rPr>
                      <w:rFonts w:hint="default" w:ascii="Times New Roman" w:hAnsi="Times New Roman" w:cs="Times New Roman"/>
                      <w:b w:val="0"/>
                      <w:bCs w:val="0"/>
                      <w:color w:val="auto"/>
                    </w:rPr>
                  </w:pPr>
                  <w:r>
                    <w:rPr>
                      <w:rFonts w:hint="default" w:ascii="Times New Roman" w:hAnsi="Times New Roman" w:cs="Times New Roman"/>
                      <w:b w:val="0"/>
                      <w:bCs w:val="0"/>
                      <w:color w:val="auto"/>
                    </w:rPr>
                    <w:t>沉降速度</w:t>
                  </w:r>
                  <w:r>
                    <w:rPr>
                      <w:rFonts w:hint="eastAsia" w:cs="Times New Roman"/>
                      <w:b w:val="0"/>
                      <w:bCs w:val="0"/>
                      <w:color w:val="auto"/>
                      <w:lang w:val="en-US" w:eastAsia="zh-CN"/>
                    </w:rPr>
                    <w:t>(</w:t>
                  </w:r>
                  <w:r>
                    <w:rPr>
                      <w:rFonts w:hint="default" w:ascii="Times New Roman" w:hAnsi="Times New Roman" w:cs="Times New Roman"/>
                      <w:b w:val="0"/>
                      <w:bCs w:val="0"/>
                      <w:color w:val="auto"/>
                    </w:rPr>
                    <w:t>m/s)</w:t>
                  </w:r>
                </w:p>
              </w:tc>
              <w:tc>
                <w:tcPr>
                  <w:tcW w:w="563" w:type="pct"/>
                  <w:noWrap w:val="0"/>
                  <w:vAlign w:val="center"/>
                </w:tcPr>
                <w:p w14:paraId="7A7F85C7">
                  <w:pPr>
                    <w:pStyle w:val="17"/>
                    <w:bidi w:val="0"/>
                    <w:rPr>
                      <w:rFonts w:hint="default" w:ascii="Times New Roman" w:hAnsi="Times New Roman" w:cs="Times New Roman"/>
                      <w:color w:val="auto"/>
                    </w:rPr>
                  </w:pPr>
                  <w:r>
                    <w:rPr>
                      <w:rFonts w:hint="default" w:ascii="Times New Roman" w:hAnsi="Times New Roman" w:cs="Times New Roman"/>
                      <w:color w:val="auto"/>
                    </w:rPr>
                    <w:t>2.211</w:t>
                  </w:r>
                </w:p>
              </w:tc>
              <w:tc>
                <w:tcPr>
                  <w:tcW w:w="620" w:type="pct"/>
                  <w:noWrap w:val="0"/>
                  <w:vAlign w:val="center"/>
                </w:tcPr>
                <w:p w14:paraId="0B2CDE61">
                  <w:pPr>
                    <w:pStyle w:val="17"/>
                    <w:bidi w:val="0"/>
                    <w:rPr>
                      <w:rFonts w:hint="default" w:ascii="Times New Roman" w:hAnsi="Times New Roman" w:cs="Times New Roman"/>
                      <w:color w:val="auto"/>
                    </w:rPr>
                  </w:pPr>
                  <w:r>
                    <w:rPr>
                      <w:rFonts w:hint="default" w:ascii="Times New Roman" w:hAnsi="Times New Roman" w:cs="Times New Roman"/>
                      <w:color w:val="auto"/>
                    </w:rPr>
                    <w:t>2.614</w:t>
                  </w:r>
                </w:p>
              </w:tc>
              <w:tc>
                <w:tcPr>
                  <w:tcW w:w="581" w:type="pct"/>
                  <w:noWrap w:val="0"/>
                  <w:vAlign w:val="center"/>
                </w:tcPr>
                <w:p w14:paraId="2F5C0EC1">
                  <w:pPr>
                    <w:pStyle w:val="17"/>
                    <w:bidi w:val="0"/>
                    <w:rPr>
                      <w:rFonts w:hint="default" w:ascii="Times New Roman" w:hAnsi="Times New Roman" w:cs="Times New Roman"/>
                      <w:color w:val="auto"/>
                    </w:rPr>
                  </w:pPr>
                  <w:r>
                    <w:rPr>
                      <w:rFonts w:hint="default" w:ascii="Times New Roman" w:hAnsi="Times New Roman" w:cs="Times New Roman"/>
                      <w:color w:val="auto"/>
                    </w:rPr>
                    <w:t>3.016</w:t>
                  </w:r>
                </w:p>
              </w:tc>
              <w:tc>
                <w:tcPr>
                  <w:tcW w:w="620" w:type="pct"/>
                  <w:noWrap w:val="0"/>
                  <w:vAlign w:val="center"/>
                </w:tcPr>
                <w:p w14:paraId="00F0938A">
                  <w:pPr>
                    <w:pStyle w:val="17"/>
                    <w:bidi w:val="0"/>
                    <w:rPr>
                      <w:rFonts w:hint="default" w:ascii="Times New Roman" w:hAnsi="Times New Roman" w:cs="Times New Roman"/>
                      <w:color w:val="auto"/>
                    </w:rPr>
                  </w:pPr>
                  <w:r>
                    <w:rPr>
                      <w:rFonts w:hint="default" w:ascii="Times New Roman" w:hAnsi="Times New Roman" w:cs="Times New Roman"/>
                      <w:color w:val="auto"/>
                    </w:rPr>
                    <w:t>3.418</w:t>
                  </w:r>
                </w:p>
              </w:tc>
              <w:tc>
                <w:tcPr>
                  <w:tcW w:w="591" w:type="pct"/>
                  <w:noWrap w:val="0"/>
                  <w:vAlign w:val="center"/>
                </w:tcPr>
                <w:p w14:paraId="773E6B56">
                  <w:pPr>
                    <w:pStyle w:val="17"/>
                    <w:bidi w:val="0"/>
                    <w:rPr>
                      <w:rFonts w:hint="default" w:ascii="Times New Roman" w:hAnsi="Times New Roman" w:cs="Times New Roman"/>
                      <w:color w:val="auto"/>
                    </w:rPr>
                  </w:pPr>
                  <w:r>
                    <w:rPr>
                      <w:rFonts w:hint="default" w:ascii="Times New Roman" w:hAnsi="Times New Roman" w:cs="Times New Roman"/>
                      <w:color w:val="auto"/>
                    </w:rPr>
                    <w:t>3.820</w:t>
                  </w:r>
                </w:p>
              </w:tc>
              <w:tc>
                <w:tcPr>
                  <w:tcW w:w="612" w:type="pct"/>
                  <w:noWrap w:val="0"/>
                  <w:vAlign w:val="center"/>
                </w:tcPr>
                <w:p w14:paraId="093F9F47">
                  <w:pPr>
                    <w:pStyle w:val="17"/>
                    <w:bidi w:val="0"/>
                    <w:rPr>
                      <w:rFonts w:hint="default" w:ascii="Times New Roman" w:hAnsi="Times New Roman" w:cs="Times New Roman"/>
                      <w:color w:val="auto"/>
                    </w:rPr>
                  </w:pPr>
                  <w:r>
                    <w:rPr>
                      <w:rFonts w:hint="default" w:ascii="Times New Roman" w:hAnsi="Times New Roman" w:cs="Times New Roman"/>
                      <w:color w:val="auto"/>
                    </w:rPr>
                    <w:t>4.222</w:t>
                  </w:r>
                </w:p>
              </w:tc>
              <w:tc>
                <w:tcPr>
                  <w:tcW w:w="484" w:type="pct"/>
                  <w:noWrap w:val="0"/>
                  <w:vAlign w:val="center"/>
                </w:tcPr>
                <w:p w14:paraId="70255B01">
                  <w:pPr>
                    <w:pStyle w:val="17"/>
                    <w:bidi w:val="0"/>
                    <w:rPr>
                      <w:rFonts w:hint="default" w:ascii="Times New Roman" w:hAnsi="Times New Roman" w:cs="Times New Roman"/>
                      <w:color w:val="auto"/>
                    </w:rPr>
                  </w:pPr>
                  <w:r>
                    <w:rPr>
                      <w:rFonts w:hint="default" w:ascii="Times New Roman" w:hAnsi="Times New Roman" w:cs="Times New Roman"/>
                      <w:color w:val="auto"/>
                    </w:rPr>
                    <w:t>4.624</w:t>
                  </w:r>
                </w:p>
              </w:tc>
            </w:tr>
          </w:tbl>
          <w:p w14:paraId="1236ADAE">
            <w:pPr>
              <w:bidi w:val="0"/>
              <w:rPr>
                <w:rFonts w:hint="default" w:ascii="Times New Roman" w:hAnsi="Times New Roman" w:cs="Times New Roman"/>
                <w:color w:val="auto"/>
                <w:lang w:val="en-US" w:eastAsia="zh-CN"/>
              </w:rPr>
            </w:pPr>
            <w:r>
              <w:rPr>
                <w:rFonts w:hint="default" w:ascii="Times New Roman" w:hAnsi="Times New Roman" w:cs="Times New Roman"/>
                <w:b w:val="0"/>
                <w:bCs w:val="0"/>
                <w:i w:val="0"/>
                <w:iCs w:val="0"/>
                <w:color w:val="auto"/>
                <w:kern w:val="0"/>
                <w:szCs w:val="21"/>
                <w:vertAlign w:val="baseline"/>
                <w:lang w:val="en-US" w:eastAsia="zh-CN"/>
              </w:rPr>
              <w:t>如上表</w:t>
            </w:r>
            <w:r>
              <w:rPr>
                <w:rFonts w:hint="default" w:ascii="Times New Roman" w:hAnsi="Times New Roman" w:cs="Times New Roman"/>
                <w:color w:val="auto"/>
                <w:lang w:val="en-US" w:eastAsia="zh-CN"/>
              </w:rPr>
              <w:t>所示，尘粒的沉降速度随粒径的增大而迅速增大。当粒径为250μm时，</w:t>
            </w:r>
            <w:r>
              <w:rPr>
                <w:rFonts w:hint="eastAsia" w:ascii="Times New Roman" w:hAnsi="Times New Roman" w:cs="Times New Roman"/>
                <w:color w:val="auto"/>
                <w:lang w:val="en-US" w:eastAsia="zh-CN"/>
              </w:rPr>
              <w:t>沉降速度为1.05m/s。因此，可以认为当尘粒大于</w:t>
            </w:r>
            <w:r>
              <w:rPr>
                <w:rFonts w:hint="default" w:ascii="Times New Roman" w:hAnsi="Times New Roman" w:cs="Times New Roman"/>
                <w:color w:val="auto"/>
                <w:lang w:val="en-US" w:eastAsia="zh-CN"/>
              </w:rPr>
              <w:t>250μm</w:t>
            </w:r>
            <w:r>
              <w:rPr>
                <w:rFonts w:hint="eastAsia" w:ascii="Times New Roman" w:hAnsi="Times New Roman" w:cs="Times New Roman"/>
                <w:color w:val="auto"/>
                <w:lang w:val="en-US" w:eastAsia="zh-CN"/>
              </w:rPr>
              <w:t>时，</w:t>
            </w:r>
            <w:r>
              <w:rPr>
                <w:rFonts w:hint="default" w:ascii="Times New Roman" w:hAnsi="Times New Roman" w:cs="Times New Roman"/>
                <w:color w:val="auto"/>
                <w:lang w:val="en-US" w:eastAsia="zh-CN"/>
              </w:rPr>
              <w:t>主要影响范围在扬尘点下风向近距离范围内，而真正对外环境产生影响的是一些微小尘粒。根据施工作业现场气候的不同情况，扬尘影响范围也有所不同。施工期间施工单位若不采取措施，该部分扬尘势必对该区域环境产生一定影响。尤其是在雨水偏少时期，扬尘现象较为严重。</w:t>
            </w:r>
          </w:p>
          <w:p w14:paraId="5BE34A7C">
            <w:pPr>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因此，在选择建材堆放、转运的场地时，首先应避开人群流动较为集中的场地；对易产生扬尘的物资，不要在开阔地或露天堆放，遇到大风天气应避免作业，运输时尽量避免敞开式运输。如不得不敞开堆放时，则应对其进行洒水提高表面含水率，以起到抑尘效果。此类影响范围是局部的，且影响时间短暂，采取洒水抑尘等降尘措施后，其影响是轻微的。</w:t>
            </w:r>
            <w:r>
              <w:rPr>
                <w:rFonts w:hint="eastAsia" w:ascii="Times New Roman" w:hAnsi="Times New Roman" w:cs="Times New Roman"/>
                <w:color w:val="auto"/>
                <w:lang w:val="en-US" w:eastAsia="zh-CN"/>
              </w:rPr>
              <w:t>建设单位施工时应遵照建设部的有关施工规范防治扬尘相关要求，具体如下：</w:t>
            </w:r>
          </w:p>
          <w:p w14:paraId="495F1324">
            <w:pPr>
              <w:rPr>
                <w:rFonts w:hint="eastAsia"/>
                <w:color w:val="auto"/>
                <w:lang w:val="en-US" w:eastAsia="zh-CN"/>
              </w:rPr>
            </w:pPr>
            <w:r>
              <w:rPr>
                <w:rFonts w:hint="eastAsia"/>
                <w:color w:val="auto"/>
                <w:lang w:val="en-US" w:eastAsia="zh-CN"/>
              </w:rPr>
              <w:t>①在工地四周设置围墙（挡）：一方面确保安全，另一方面以控制扬尘对环境造成的影响。围挡、围护对于减少扬尘对环境的污染有明显作用，当风速为2.5m/s时可使影响距离缩短40%。在施工现场周围，连续设置不低于2.5m高的围挡，做到坚固美观。</w:t>
            </w:r>
          </w:p>
          <w:p w14:paraId="4DE91540">
            <w:pPr>
              <w:rPr>
                <w:rFonts w:hint="eastAsia"/>
                <w:color w:val="auto"/>
                <w:vertAlign w:val="baseline"/>
                <w:lang w:val="en-US" w:eastAsia="zh-CN"/>
              </w:rPr>
            </w:pPr>
            <w:r>
              <w:rPr>
                <w:rFonts w:hint="eastAsia"/>
                <w:color w:val="auto"/>
                <w:lang w:val="en-US" w:eastAsia="zh-CN"/>
              </w:rPr>
              <w:t>②设置防尘网，建设单位需要根据建筑物数量和高度，明确建筑物周围1.5m外全部设置防尘布或不低于2000目/100cm</w:t>
            </w:r>
            <w:r>
              <w:rPr>
                <w:rFonts w:hint="eastAsia"/>
                <w:color w:val="auto"/>
                <w:vertAlign w:val="superscript"/>
                <w:lang w:val="en-US" w:eastAsia="zh-CN"/>
              </w:rPr>
              <w:t>2</w:t>
            </w:r>
            <w:r>
              <w:rPr>
                <w:rFonts w:hint="eastAsia"/>
                <w:color w:val="auto"/>
                <w:vertAlign w:val="baseline"/>
                <w:lang w:val="en-US" w:eastAsia="zh-CN"/>
              </w:rPr>
              <w:t>的防尘网。防尘网应先安装后施工，且防尘网顶端应高于施工作业面2m以上。</w:t>
            </w:r>
          </w:p>
          <w:p w14:paraId="0746A803">
            <w:pPr>
              <w:rPr>
                <w:rFonts w:hint="eastAsia"/>
                <w:color w:val="auto"/>
                <w:vertAlign w:val="baseline"/>
                <w:lang w:val="en-US" w:eastAsia="zh-CN"/>
              </w:rPr>
            </w:pPr>
            <w:r>
              <w:rPr>
                <w:rFonts w:hint="eastAsia"/>
                <w:color w:val="auto"/>
                <w:vertAlign w:val="baseline"/>
                <w:lang w:val="en-US" w:eastAsia="zh-CN"/>
              </w:rPr>
              <w:t>③施工期应及时对建筑材料运输车辆经过的道路路面以及运输车辆表面进行清理，以减少因道路扬尘对周边环境造成的影响。</w:t>
            </w:r>
          </w:p>
          <w:p w14:paraId="78887FF9">
            <w:pPr>
              <w:rPr>
                <w:rFonts w:hint="eastAsia"/>
                <w:color w:val="auto"/>
                <w:vertAlign w:val="baseline"/>
                <w:lang w:val="en-US" w:eastAsia="zh-CN"/>
              </w:rPr>
            </w:pPr>
            <w:r>
              <w:rPr>
                <w:rFonts w:hint="eastAsia"/>
                <w:color w:val="auto"/>
                <w:vertAlign w:val="baseline"/>
                <w:lang w:val="en-US" w:eastAsia="zh-CN"/>
              </w:rPr>
              <w:t>④建筑材料不应敞开堆放，同时避免在大风干燥天气条件下进行土建等施工。另外，施工期间由于各类施工机械流动性强，所产生的废气较为分散，在易于扩散的气象条件下施工机械尾气对周围环境影响较小，但项目车辆的行驶将加重城市车辆尾气污染负荷。因此，施工单位应注意车辆保养，尽量保证车辆尾气达标排放。</w:t>
            </w:r>
          </w:p>
          <w:p w14:paraId="60901266">
            <w:pPr>
              <w:rPr>
                <w:rFonts w:hint="eastAsia"/>
                <w:color w:val="auto"/>
                <w:vertAlign w:val="baseline"/>
                <w:lang w:val="en-US" w:eastAsia="zh-CN"/>
              </w:rPr>
            </w:pPr>
            <w:r>
              <w:rPr>
                <w:rFonts w:hint="eastAsia"/>
                <w:color w:val="auto"/>
                <w:vertAlign w:val="baseline"/>
                <w:lang w:val="en-US" w:eastAsia="zh-CN"/>
              </w:rPr>
              <w:t>建设方在施工时应严格采取上述一系列防尘措施，可有效减少扬尘的产生。同时，在施工阶段对汽车行驶路面勤洒水（每天4-5次），可以使空气中粉尘量减少75%左右，可得到很好的降尘效果。因此，建设单位在采取以上防尘措施后，对周边环境影响较小。</w:t>
            </w:r>
          </w:p>
          <w:p w14:paraId="1890AF9D">
            <w:pPr>
              <w:pStyle w:val="5"/>
              <w:tabs>
                <w:tab w:val="right" w:pos="7946"/>
              </w:tabs>
              <w:bidi w:val="0"/>
              <w:rPr>
                <w:rFonts w:hint="eastAsia"/>
                <w:color w:val="auto"/>
                <w:lang w:val="en-US" w:eastAsia="zh-CN"/>
              </w:rPr>
            </w:pPr>
            <w:bookmarkStart w:id="347" w:name="_Toc28375"/>
            <w:bookmarkStart w:id="348" w:name="_Toc12682"/>
            <w:bookmarkStart w:id="349" w:name="_Toc5271"/>
            <w:bookmarkStart w:id="350" w:name="_Toc20485"/>
            <w:bookmarkStart w:id="351" w:name="_Toc24971"/>
            <w:r>
              <w:rPr>
                <w:rFonts w:hint="eastAsia"/>
                <w:color w:val="auto"/>
                <w:lang w:val="en-US" w:eastAsia="zh-CN"/>
              </w:rPr>
              <w:t>2.2 施工期地表水环境影响分析</w:t>
            </w:r>
            <w:bookmarkEnd w:id="347"/>
            <w:bookmarkEnd w:id="348"/>
            <w:bookmarkEnd w:id="349"/>
            <w:bookmarkEnd w:id="350"/>
            <w:bookmarkEnd w:id="351"/>
          </w:p>
          <w:p w14:paraId="08B5119B">
            <w:pPr>
              <w:rPr>
                <w:rFonts w:hint="eastAsia"/>
                <w:color w:val="auto"/>
                <w:lang w:val="en-US" w:eastAsia="zh-CN"/>
              </w:rPr>
            </w:pPr>
            <w:r>
              <w:rPr>
                <w:rFonts w:hint="eastAsia"/>
                <w:color w:val="auto"/>
                <w:lang w:val="en-US" w:eastAsia="zh-CN"/>
              </w:rPr>
              <w:t>项目施工期废水来自施工期间工人的生活污水、少量的机械洗刷废水和下雨后产生的泥浆水。</w:t>
            </w:r>
          </w:p>
          <w:p w14:paraId="16411B0A">
            <w:pPr>
              <w:rPr>
                <w:rFonts w:hint="eastAsia"/>
                <w:color w:val="auto"/>
                <w:lang w:val="en-US" w:eastAsia="zh-CN"/>
              </w:rPr>
            </w:pPr>
            <w:r>
              <w:rPr>
                <w:rFonts w:hint="eastAsia"/>
                <w:color w:val="auto"/>
                <w:lang w:val="en-US" w:eastAsia="zh-CN"/>
              </w:rPr>
              <w:t>由于施工期间施工人员不易管理，其产生的生活污水排放具有一定的随机性，而施工机械和车辆的洗刷废水排放更是如此，若不对其进行处理，会对周边地表水环境产生污染。因此，本环评要求：</w:t>
            </w:r>
          </w:p>
          <w:p w14:paraId="2AC78DBB">
            <w:pPr>
              <w:rPr>
                <w:rFonts w:hint="eastAsia"/>
                <w:color w:val="auto"/>
                <w:lang w:val="en-US" w:eastAsia="zh-CN"/>
              </w:rPr>
            </w:pPr>
            <w:r>
              <w:rPr>
                <w:rFonts w:hint="eastAsia"/>
                <w:color w:val="auto"/>
                <w:lang w:val="en-US" w:eastAsia="zh-CN"/>
              </w:rPr>
              <w:t>①建设方应严格加强对施工人员的管理，使施工人员集中居住。依托项目现有隔油池、化粪池集中处理施工期生活污水，处理后用作农肥。</w:t>
            </w:r>
          </w:p>
          <w:p w14:paraId="747A025A">
            <w:pPr>
              <w:rPr>
                <w:rFonts w:hint="eastAsia"/>
                <w:color w:val="auto"/>
                <w:lang w:val="en-US" w:eastAsia="zh-CN"/>
              </w:rPr>
            </w:pPr>
            <w:r>
              <w:rPr>
                <w:rFonts w:hint="eastAsia"/>
                <w:color w:val="auto"/>
                <w:lang w:val="en-US" w:eastAsia="zh-CN"/>
              </w:rPr>
              <w:t>②在施工场地出口内侧设置机械洗刷场地和沉淀池，施工机械和车辆洗刷废水采用沉淀池沉淀处理后循环使用。</w:t>
            </w:r>
          </w:p>
          <w:p w14:paraId="377199A2">
            <w:pPr>
              <w:rPr>
                <w:rFonts w:hint="eastAsia"/>
                <w:color w:val="auto"/>
                <w:lang w:val="en-US" w:eastAsia="zh-CN"/>
              </w:rPr>
            </w:pPr>
            <w:r>
              <w:rPr>
                <w:rFonts w:hint="eastAsia"/>
                <w:color w:val="auto"/>
                <w:lang w:val="en-US" w:eastAsia="zh-CN"/>
              </w:rPr>
              <w:t>③建设方应采取有效的水土保持措施，同时要求建设方在施工场地内修建雨水截流沟，把施工场地内雨水导入收集池，收集的雨水经沉淀处理后用于施工区内洒水抑尘和冲洗施工机械和车辆，不外排。同时，施工完成后及时进行道路和绿化建设恢复植被，防止水土流失。</w:t>
            </w:r>
          </w:p>
          <w:p w14:paraId="385B5835">
            <w:pPr>
              <w:rPr>
                <w:rFonts w:hint="eastAsia"/>
                <w:color w:val="auto"/>
                <w:lang w:val="en-US" w:eastAsia="zh-CN"/>
              </w:rPr>
            </w:pPr>
            <w:r>
              <w:rPr>
                <w:rFonts w:hint="eastAsia"/>
                <w:color w:val="auto"/>
                <w:lang w:val="en-US" w:eastAsia="zh-CN"/>
              </w:rPr>
              <w:t>通过采取上述措施后，本项目施工期对周边地表水环境影响较小。</w:t>
            </w:r>
          </w:p>
          <w:p w14:paraId="206769B0">
            <w:pPr>
              <w:pStyle w:val="5"/>
              <w:bidi w:val="0"/>
              <w:rPr>
                <w:rFonts w:hint="eastAsia"/>
                <w:color w:val="auto"/>
                <w:lang w:val="en-US" w:eastAsia="zh-CN"/>
              </w:rPr>
            </w:pPr>
            <w:bookmarkStart w:id="352" w:name="_Toc31338"/>
            <w:bookmarkStart w:id="353" w:name="_Toc30858"/>
            <w:bookmarkStart w:id="354" w:name="_Toc15165"/>
            <w:bookmarkStart w:id="355" w:name="_Toc5790"/>
            <w:bookmarkStart w:id="356" w:name="_Toc17033"/>
            <w:r>
              <w:rPr>
                <w:rFonts w:hint="eastAsia"/>
                <w:color w:val="auto"/>
                <w:lang w:val="en-US" w:eastAsia="zh-CN"/>
              </w:rPr>
              <w:t>2.3 施工期声环境影响分析</w:t>
            </w:r>
            <w:bookmarkEnd w:id="352"/>
            <w:bookmarkEnd w:id="353"/>
            <w:bookmarkEnd w:id="354"/>
            <w:bookmarkEnd w:id="355"/>
            <w:bookmarkEnd w:id="356"/>
          </w:p>
          <w:p w14:paraId="058B0297">
            <w:pPr>
              <w:rPr>
                <w:rFonts w:hint="eastAsia"/>
                <w:color w:val="auto"/>
                <w:lang w:val="en-US" w:eastAsia="zh-CN"/>
              </w:rPr>
            </w:pPr>
            <w:r>
              <w:rPr>
                <w:rFonts w:hint="eastAsia"/>
                <w:color w:val="auto"/>
                <w:lang w:val="en-US" w:eastAsia="zh-CN"/>
              </w:rPr>
              <w:t>施工期的噪声主要可分为机械噪声、施工作业噪声和施工车辆噪声。</w:t>
            </w:r>
          </w:p>
          <w:p w14:paraId="756B8A39">
            <w:pPr>
              <w:rPr>
                <w:rFonts w:hint="eastAsia"/>
                <w:color w:val="auto"/>
                <w:lang w:val="en-US" w:eastAsia="zh-CN"/>
              </w:rPr>
            </w:pPr>
            <w:r>
              <w:rPr>
                <w:rFonts w:hint="eastAsia"/>
                <w:color w:val="auto"/>
                <w:lang w:val="en-US" w:eastAsia="zh-CN"/>
              </w:rPr>
              <w:t>机械噪声主要由施工机械所造成，如挖土机、打桩机、混凝土搅拌机、升降机等，多为点声源；施工作业噪声主要指敲打声、装卸车辆的撞击声、拆装模板的撞击声等，多为瞬间噪声；施工车辆噪声属于交通噪声。其中机械噪声对声环境影响最大。施工作业噪声易造成纠纷，特别是在夜间。</w:t>
            </w:r>
          </w:p>
          <w:p w14:paraId="7425FE44">
            <w:pPr>
              <w:rPr>
                <w:rFonts w:hint="eastAsia"/>
                <w:color w:val="auto"/>
                <w:lang w:val="en-US" w:eastAsia="zh-CN"/>
              </w:rPr>
            </w:pPr>
            <w:r>
              <w:rPr>
                <w:rFonts w:hint="eastAsia"/>
                <w:color w:val="auto"/>
                <w:lang w:val="en-US" w:eastAsia="zh-CN"/>
              </w:rPr>
              <w:t>施工期常用机械设备噪声值详见表4-3。</w:t>
            </w:r>
          </w:p>
          <w:p w14:paraId="7B7E78CD">
            <w:pPr>
              <w:pStyle w:val="18"/>
              <w:bidi w:val="0"/>
              <w:rPr>
                <w:rFonts w:hint="eastAsia"/>
                <w:color w:val="auto"/>
                <w:lang w:val="en-US" w:eastAsia="zh-CN"/>
              </w:rPr>
            </w:pPr>
            <w:r>
              <w:rPr>
                <w:rFonts w:hint="eastAsia"/>
                <w:color w:val="auto"/>
                <w:lang w:val="en-US" w:eastAsia="zh-CN"/>
              </w:rPr>
              <w:t>表4-3 常用施工机械噪声实测值（单位：dB(A)）</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9"/>
              <w:gridCol w:w="1999"/>
              <w:gridCol w:w="2000"/>
              <w:gridCol w:w="2000"/>
            </w:tblGrid>
            <w:tr w14:paraId="2B51C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Pr>
                <w:p w14:paraId="67396077">
                  <w:pPr>
                    <w:pStyle w:val="17"/>
                    <w:rPr>
                      <w:rFonts w:hint="default"/>
                      <w:color w:val="auto"/>
                      <w:vertAlign w:val="baseline"/>
                      <w:lang w:val="en-US" w:eastAsia="zh-CN"/>
                    </w:rPr>
                  </w:pPr>
                  <w:r>
                    <w:rPr>
                      <w:rFonts w:hint="eastAsia"/>
                      <w:color w:val="auto"/>
                      <w:vertAlign w:val="baseline"/>
                      <w:lang w:val="en-US" w:eastAsia="zh-CN"/>
                    </w:rPr>
                    <w:t>施工机械</w:t>
                  </w:r>
                </w:p>
              </w:tc>
              <w:tc>
                <w:tcPr>
                  <w:tcW w:w="1249" w:type="pct"/>
                </w:tcPr>
                <w:p w14:paraId="63FBBAB8">
                  <w:pPr>
                    <w:pStyle w:val="17"/>
                    <w:rPr>
                      <w:rFonts w:hint="default"/>
                      <w:color w:val="auto"/>
                      <w:vertAlign w:val="baseline"/>
                      <w:lang w:val="en-US" w:eastAsia="zh-CN"/>
                    </w:rPr>
                  </w:pPr>
                  <w:r>
                    <w:rPr>
                      <w:rFonts w:hint="eastAsia"/>
                      <w:color w:val="auto"/>
                      <w:vertAlign w:val="baseline"/>
                      <w:lang w:val="en-US" w:eastAsia="zh-CN"/>
                    </w:rPr>
                    <w:t>距离声源10m处</w:t>
                  </w:r>
                </w:p>
              </w:tc>
              <w:tc>
                <w:tcPr>
                  <w:tcW w:w="1250" w:type="pct"/>
                </w:tcPr>
                <w:p w14:paraId="3D14E36D">
                  <w:pPr>
                    <w:pStyle w:val="17"/>
                    <w:rPr>
                      <w:rFonts w:hint="eastAsia"/>
                      <w:color w:val="auto"/>
                      <w:vertAlign w:val="baseline"/>
                      <w:lang w:val="en-US" w:eastAsia="zh-CN"/>
                    </w:rPr>
                  </w:pPr>
                  <w:r>
                    <w:rPr>
                      <w:rFonts w:hint="eastAsia"/>
                      <w:color w:val="auto"/>
                      <w:vertAlign w:val="baseline"/>
                      <w:lang w:val="en-US" w:eastAsia="zh-CN"/>
                    </w:rPr>
                    <w:t>距离声源30m处</w:t>
                  </w:r>
                </w:p>
              </w:tc>
              <w:tc>
                <w:tcPr>
                  <w:tcW w:w="1250" w:type="pct"/>
                </w:tcPr>
                <w:p w14:paraId="0AC10CD4">
                  <w:pPr>
                    <w:pStyle w:val="17"/>
                    <w:rPr>
                      <w:rFonts w:hint="eastAsia"/>
                      <w:color w:val="auto"/>
                      <w:vertAlign w:val="baseline"/>
                      <w:lang w:val="en-US" w:eastAsia="zh-CN"/>
                    </w:rPr>
                  </w:pPr>
                  <w:r>
                    <w:rPr>
                      <w:rFonts w:hint="eastAsia"/>
                      <w:color w:val="auto"/>
                      <w:vertAlign w:val="baseline"/>
                      <w:lang w:val="en-US" w:eastAsia="zh-CN"/>
                    </w:rPr>
                    <w:t>距离声源50m处</w:t>
                  </w:r>
                </w:p>
              </w:tc>
            </w:tr>
            <w:tr w14:paraId="05E05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Pr>
                <w:p w14:paraId="58BF30C5">
                  <w:pPr>
                    <w:pStyle w:val="17"/>
                    <w:rPr>
                      <w:rFonts w:hint="default"/>
                      <w:color w:val="auto"/>
                      <w:vertAlign w:val="baseline"/>
                      <w:lang w:val="en-US" w:eastAsia="zh-CN"/>
                    </w:rPr>
                  </w:pPr>
                  <w:r>
                    <w:rPr>
                      <w:rFonts w:hint="eastAsia"/>
                      <w:color w:val="auto"/>
                      <w:vertAlign w:val="baseline"/>
                      <w:lang w:val="en-US" w:eastAsia="zh-CN"/>
                    </w:rPr>
                    <w:t>推土机</w:t>
                  </w:r>
                </w:p>
              </w:tc>
              <w:tc>
                <w:tcPr>
                  <w:tcW w:w="1249" w:type="pct"/>
                </w:tcPr>
                <w:p w14:paraId="0A595AB0">
                  <w:pPr>
                    <w:pStyle w:val="17"/>
                    <w:rPr>
                      <w:rFonts w:hint="default"/>
                      <w:color w:val="auto"/>
                      <w:vertAlign w:val="baseline"/>
                      <w:lang w:val="en-US" w:eastAsia="zh-CN"/>
                    </w:rPr>
                  </w:pPr>
                  <w:r>
                    <w:rPr>
                      <w:rFonts w:hint="eastAsia"/>
                      <w:color w:val="auto"/>
                      <w:vertAlign w:val="baseline"/>
                      <w:lang w:val="en-US" w:eastAsia="zh-CN"/>
                    </w:rPr>
                    <w:t>83</w:t>
                  </w:r>
                </w:p>
              </w:tc>
              <w:tc>
                <w:tcPr>
                  <w:tcW w:w="1250" w:type="pct"/>
                </w:tcPr>
                <w:p w14:paraId="61E3FE48">
                  <w:pPr>
                    <w:pStyle w:val="17"/>
                    <w:rPr>
                      <w:rFonts w:hint="default"/>
                      <w:color w:val="auto"/>
                      <w:vertAlign w:val="baseline"/>
                      <w:lang w:val="en-US" w:eastAsia="zh-CN"/>
                    </w:rPr>
                  </w:pPr>
                  <w:r>
                    <w:rPr>
                      <w:rFonts w:hint="eastAsia"/>
                      <w:color w:val="auto"/>
                      <w:vertAlign w:val="baseline"/>
                      <w:lang w:val="en-US" w:eastAsia="zh-CN"/>
                    </w:rPr>
                    <w:t>74</w:t>
                  </w:r>
                </w:p>
              </w:tc>
              <w:tc>
                <w:tcPr>
                  <w:tcW w:w="1250" w:type="pct"/>
                </w:tcPr>
                <w:p w14:paraId="2727B20B">
                  <w:pPr>
                    <w:pStyle w:val="17"/>
                    <w:rPr>
                      <w:rFonts w:hint="default"/>
                      <w:color w:val="auto"/>
                      <w:vertAlign w:val="baseline"/>
                      <w:lang w:val="en-US" w:eastAsia="zh-CN"/>
                    </w:rPr>
                  </w:pPr>
                  <w:r>
                    <w:rPr>
                      <w:rFonts w:hint="eastAsia"/>
                      <w:color w:val="auto"/>
                      <w:vertAlign w:val="baseline"/>
                      <w:lang w:val="en-US" w:eastAsia="zh-CN"/>
                    </w:rPr>
                    <w:t>64</w:t>
                  </w:r>
                </w:p>
              </w:tc>
            </w:tr>
            <w:tr w14:paraId="0420E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Pr>
                <w:p w14:paraId="135CF834">
                  <w:pPr>
                    <w:pStyle w:val="17"/>
                    <w:rPr>
                      <w:rFonts w:hint="default"/>
                      <w:color w:val="auto"/>
                      <w:vertAlign w:val="baseline"/>
                      <w:lang w:val="en-US" w:eastAsia="zh-CN"/>
                    </w:rPr>
                  </w:pPr>
                  <w:r>
                    <w:rPr>
                      <w:rFonts w:hint="eastAsia"/>
                      <w:color w:val="auto"/>
                      <w:vertAlign w:val="baseline"/>
                      <w:lang w:val="en-US" w:eastAsia="zh-CN"/>
                    </w:rPr>
                    <w:t>挖掘机</w:t>
                  </w:r>
                </w:p>
              </w:tc>
              <w:tc>
                <w:tcPr>
                  <w:tcW w:w="1249" w:type="pct"/>
                </w:tcPr>
                <w:p w14:paraId="48564E52">
                  <w:pPr>
                    <w:pStyle w:val="17"/>
                    <w:rPr>
                      <w:rFonts w:hint="default"/>
                      <w:color w:val="auto"/>
                      <w:vertAlign w:val="baseline"/>
                      <w:lang w:val="en-US" w:eastAsia="zh-CN"/>
                    </w:rPr>
                  </w:pPr>
                  <w:r>
                    <w:rPr>
                      <w:rFonts w:hint="eastAsia"/>
                      <w:color w:val="auto"/>
                      <w:vertAlign w:val="baseline"/>
                      <w:lang w:val="en-US" w:eastAsia="zh-CN"/>
                    </w:rPr>
                    <w:t>82</w:t>
                  </w:r>
                </w:p>
              </w:tc>
              <w:tc>
                <w:tcPr>
                  <w:tcW w:w="1250" w:type="pct"/>
                </w:tcPr>
                <w:p w14:paraId="1F2B6259">
                  <w:pPr>
                    <w:pStyle w:val="17"/>
                    <w:rPr>
                      <w:rFonts w:hint="default"/>
                      <w:color w:val="auto"/>
                      <w:vertAlign w:val="baseline"/>
                      <w:lang w:val="en-US" w:eastAsia="zh-CN"/>
                    </w:rPr>
                  </w:pPr>
                  <w:r>
                    <w:rPr>
                      <w:rFonts w:hint="eastAsia"/>
                      <w:color w:val="auto"/>
                      <w:vertAlign w:val="baseline"/>
                      <w:lang w:val="en-US" w:eastAsia="zh-CN"/>
                    </w:rPr>
                    <w:t>73</w:t>
                  </w:r>
                </w:p>
              </w:tc>
              <w:tc>
                <w:tcPr>
                  <w:tcW w:w="1250" w:type="pct"/>
                </w:tcPr>
                <w:p w14:paraId="46797D93">
                  <w:pPr>
                    <w:pStyle w:val="17"/>
                    <w:rPr>
                      <w:rFonts w:hint="default"/>
                      <w:color w:val="auto"/>
                      <w:vertAlign w:val="baseline"/>
                      <w:lang w:val="en-US" w:eastAsia="zh-CN"/>
                    </w:rPr>
                  </w:pPr>
                  <w:r>
                    <w:rPr>
                      <w:rFonts w:hint="eastAsia"/>
                      <w:color w:val="auto"/>
                      <w:vertAlign w:val="baseline"/>
                      <w:lang w:val="en-US" w:eastAsia="zh-CN"/>
                    </w:rPr>
                    <w:t>63</w:t>
                  </w:r>
                </w:p>
              </w:tc>
            </w:tr>
            <w:tr w14:paraId="7DB07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Pr>
                <w:p w14:paraId="635F4F74">
                  <w:pPr>
                    <w:pStyle w:val="17"/>
                    <w:rPr>
                      <w:rFonts w:hint="default"/>
                      <w:color w:val="auto"/>
                      <w:vertAlign w:val="baseline"/>
                      <w:lang w:val="en-US" w:eastAsia="zh-CN"/>
                    </w:rPr>
                  </w:pPr>
                  <w:r>
                    <w:rPr>
                      <w:rFonts w:hint="eastAsia"/>
                      <w:color w:val="auto"/>
                      <w:vertAlign w:val="baseline"/>
                      <w:lang w:val="en-US" w:eastAsia="zh-CN"/>
                    </w:rPr>
                    <w:t>搅拌机</w:t>
                  </w:r>
                </w:p>
              </w:tc>
              <w:tc>
                <w:tcPr>
                  <w:tcW w:w="1249" w:type="pct"/>
                </w:tcPr>
                <w:p w14:paraId="088842DD">
                  <w:pPr>
                    <w:pStyle w:val="17"/>
                    <w:rPr>
                      <w:rFonts w:hint="default"/>
                      <w:color w:val="auto"/>
                      <w:vertAlign w:val="baseline"/>
                      <w:lang w:val="en-US" w:eastAsia="zh-CN"/>
                    </w:rPr>
                  </w:pPr>
                  <w:r>
                    <w:rPr>
                      <w:rFonts w:hint="eastAsia"/>
                      <w:color w:val="auto"/>
                      <w:vertAlign w:val="baseline"/>
                      <w:lang w:val="en-US" w:eastAsia="zh-CN"/>
                    </w:rPr>
                    <w:t>75</w:t>
                  </w:r>
                </w:p>
              </w:tc>
              <w:tc>
                <w:tcPr>
                  <w:tcW w:w="1250" w:type="pct"/>
                </w:tcPr>
                <w:p w14:paraId="11AB5513">
                  <w:pPr>
                    <w:pStyle w:val="17"/>
                    <w:rPr>
                      <w:rFonts w:hint="default"/>
                      <w:color w:val="auto"/>
                      <w:vertAlign w:val="baseline"/>
                      <w:lang w:val="en-US" w:eastAsia="zh-CN"/>
                    </w:rPr>
                  </w:pPr>
                  <w:r>
                    <w:rPr>
                      <w:rFonts w:hint="eastAsia"/>
                      <w:color w:val="auto"/>
                      <w:vertAlign w:val="baseline"/>
                      <w:lang w:val="en-US" w:eastAsia="zh-CN"/>
                    </w:rPr>
                    <w:t>65</w:t>
                  </w:r>
                </w:p>
              </w:tc>
              <w:tc>
                <w:tcPr>
                  <w:tcW w:w="1250" w:type="pct"/>
                </w:tcPr>
                <w:p w14:paraId="0C9449A4">
                  <w:pPr>
                    <w:pStyle w:val="17"/>
                    <w:rPr>
                      <w:rFonts w:hint="default"/>
                      <w:color w:val="auto"/>
                      <w:vertAlign w:val="baseline"/>
                      <w:lang w:val="en-US" w:eastAsia="zh-CN"/>
                    </w:rPr>
                  </w:pPr>
                  <w:r>
                    <w:rPr>
                      <w:rFonts w:hint="eastAsia"/>
                      <w:color w:val="auto"/>
                      <w:vertAlign w:val="baseline"/>
                      <w:lang w:val="en-US" w:eastAsia="zh-CN"/>
                    </w:rPr>
                    <w:t>55</w:t>
                  </w:r>
                </w:p>
              </w:tc>
            </w:tr>
            <w:tr w14:paraId="03832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Pr>
                <w:p w14:paraId="0D37AC84">
                  <w:pPr>
                    <w:pStyle w:val="17"/>
                    <w:rPr>
                      <w:rFonts w:hint="default"/>
                      <w:color w:val="auto"/>
                      <w:vertAlign w:val="baseline"/>
                      <w:lang w:val="en-US" w:eastAsia="zh-CN"/>
                    </w:rPr>
                  </w:pPr>
                  <w:r>
                    <w:rPr>
                      <w:rFonts w:hint="eastAsia"/>
                      <w:color w:val="auto"/>
                      <w:vertAlign w:val="baseline"/>
                      <w:lang w:val="en-US" w:eastAsia="zh-CN"/>
                    </w:rPr>
                    <w:t>装载机</w:t>
                  </w:r>
                </w:p>
              </w:tc>
              <w:tc>
                <w:tcPr>
                  <w:tcW w:w="1249" w:type="pct"/>
                </w:tcPr>
                <w:p w14:paraId="5C0D0B3A">
                  <w:pPr>
                    <w:pStyle w:val="17"/>
                    <w:rPr>
                      <w:rFonts w:hint="default"/>
                      <w:color w:val="auto"/>
                      <w:vertAlign w:val="baseline"/>
                      <w:lang w:val="en-US" w:eastAsia="zh-CN"/>
                    </w:rPr>
                  </w:pPr>
                  <w:r>
                    <w:rPr>
                      <w:rFonts w:hint="eastAsia"/>
                      <w:color w:val="auto"/>
                      <w:vertAlign w:val="baseline"/>
                      <w:lang w:val="en-US" w:eastAsia="zh-CN"/>
                    </w:rPr>
                    <w:t>70</w:t>
                  </w:r>
                </w:p>
              </w:tc>
              <w:tc>
                <w:tcPr>
                  <w:tcW w:w="1250" w:type="pct"/>
                </w:tcPr>
                <w:p w14:paraId="534AB756">
                  <w:pPr>
                    <w:pStyle w:val="17"/>
                    <w:rPr>
                      <w:rFonts w:hint="default"/>
                      <w:color w:val="auto"/>
                      <w:vertAlign w:val="baseline"/>
                      <w:lang w:val="en-US" w:eastAsia="zh-CN"/>
                    </w:rPr>
                  </w:pPr>
                  <w:r>
                    <w:rPr>
                      <w:rFonts w:hint="eastAsia"/>
                      <w:color w:val="auto"/>
                      <w:vertAlign w:val="baseline"/>
                      <w:lang w:val="en-US" w:eastAsia="zh-CN"/>
                    </w:rPr>
                    <w:t>61</w:t>
                  </w:r>
                </w:p>
              </w:tc>
              <w:tc>
                <w:tcPr>
                  <w:tcW w:w="1250" w:type="pct"/>
                </w:tcPr>
                <w:p w14:paraId="6C7E036A">
                  <w:pPr>
                    <w:pStyle w:val="17"/>
                    <w:rPr>
                      <w:rFonts w:hint="default"/>
                      <w:color w:val="auto"/>
                      <w:vertAlign w:val="baseline"/>
                      <w:lang w:val="en-US" w:eastAsia="zh-CN"/>
                    </w:rPr>
                  </w:pPr>
                  <w:r>
                    <w:rPr>
                      <w:rFonts w:hint="eastAsia"/>
                      <w:color w:val="auto"/>
                      <w:vertAlign w:val="baseline"/>
                      <w:lang w:val="en-US" w:eastAsia="zh-CN"/>
                    </w:rPr>
                    <w:t>52</w:t>
                  </w:r>
                </w:p>
              </w:tc>
            </w:tr>
            <w:tr w14:paraId="2CB17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Pr>
                <w:p w14:paraId="68A76378">
                  <w:pPr>
                    <w:pStyle w:val="17"/>
                    <w:rPr>
                      <w:rFonts w:hint="default"/>
                      <w:color w:val="auto"/>
                      <w:vertAlign w:val="baseline"/>
                      <w:lang w:val="en-US" w:eastAsia="zh-CN"/>
                    </w:rPr>
                  </w:pPr>
                  <w:r>
                    <w:rPr>
                      <w:rFonts w:hint="eastAsia"/>
                      <w:color w:val="auto"/>
                      <w:vertAlign w:val="baseline"/>
                      <w:lang w:val="en-US" w:eastAsia="zh-CN"/>
                    </w:rPr>
                    <w:t>切割机</w:t>
                  </w:r>
                </w:p>
              </w:tc>
              <w:tc>
                <w:tcPr>
                  <w:tcW w:w="1249" w:type="pct"/>
                </w:tcPr>
                <w:p w14:paraId="33984F13">
                  <w:pPr>
                    <w:pStyle w:val="17"/>
                    <w:rPr>
                      <w:rFonts w:hint="default"/>
                      <w:color w:val="auto"/>
                      <w:vertAlign w:val="baseline"/>
                      <w:lang w:val="en-US" w:eastAsia="zh-CN"/>
                    </w:rPr>
                  </w:pPr>
                  <w:r>
                    <w:rPr>
                      <w:rFonts w:hint="eastAsia"/>
                      <w:color w:val="auto"/>
                      <w:vertAlign w:val="baseline"/>
                      <w:lang w:val="en-US" w:eastAsia="zh-CN"/>
                    </w:rPr>
                    <w:t>92</w:t>
                  </w:r>
                </w:p>
              </w:tc>
              <w:tc>
                <w:tcPr>
                  <w:tcW w:w="1250" w:type="pct"/>
                </w:tcPr>
                <w:p w14:paraId="1A85FFC3">
                  <w:pPr>
                    <w:pStyle w:val="17"/>
                    <w:rPr>
                      <w:rFonts w:hint="default"/>
                      <w:color w:val="auto"/>
                      <w:vertAlign w:val="baseline"/>
                      <w:lang w:val="en-US" w:eastAsia="zh-CN"/>
                    </w:rPr>
                  </w:pPr>
                  <w:r>
                    <w:rPr>
                      <w:rFonts w:hint="eastAsia"/>
                      <w:color w:val="auto"/>
                      <w:vertAlign w:val="baseline"/>
                      <w:lang w:val="en-US" w:eastAsia="zh-CN"/>
                    </w:rPr>
                    <w:t>84</w:t>
                  </w:r>
                </w:p>
              </w:tc>
              <w:tc>
                <w:tcPr>
                  <w:tcW w:w="1250" w:type="pct"/>
                </w:tcPr>
                <w:p w14:paraId="2BAEA825">
                  <w:pPr>
                    <w:pStyle w:val="17"/>
                    <w:rPr>
                      <w:rFonts w:hint="default"/>
                      <w:color w:val="auto"/>
                      <w:vertAlign w:val="baseline"/>
                      <w:lang w:val="en-US" w:eastAsia="zh-CN"/>
                    </w:rPr>
                  </w:pPr>
                  <w:r>
                    <w:rPr>
                      <w:rFonts w:hint="eastAsia"/>
                      <w:color w:val="auto"/>
                      <w:vertAlign w:val="baseline"/>
                      <w:lang w:val="en-US" w:eastAsia="zh-CN"/>
                    </w:rPr>
                    <w:t>75</w:t>
                  </w:r>
                </w:p>
              </w:tc>
            </w:tr>
            <w:tr w14:paraId="64DA6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Pr>
                <w:p w14:paraId="5AA93348">
                  <w:pPr>
                    <w:pStyle w:val="17"/>
                    <w:rPr>
                      <w:rFonts w:hint="default"/>
                      <w:color w:val="auto"/>
                      <w:vertAlign w:val="baseline"/>
                      <w:lang w:val="en-US" w:eastAsia="zh-CN"/>
                    </w:rPr>
                  </w:pPr>
                  <w:r>
                    <w:rPr>
                      <w:rFonts w:hint="eastAsia"/>
                      <w:color w:val="auto"/>
                      <w:vertAlign w:val="baseline"/>
                      <w:lang w:val="en-US" w:eastAsia="zh-CN"/>
                    </w:rPr>
                    <w:t>振捣棒</w:t>
                  </w:r>
                </w:p>
              </w:tc>
              <w:tc>
                <w:tcPr>
                  <w:tcW w:w="1249" w:type="pct"/>
                </w:tcPr>
                <w:p w14:paraId="58478BAE">
                  <w:pPr>
                    <w:pStyle w:val="17"/>
                    <w:rPr>
                      <w:rFonts w:hint="default"/>
                      <w:color w:val="auto"/>
                      <w:vertAlign w:val="baseline"/>
                      <w:lang w:val="en-US" w:eastAsia="zh-CN"/>
                    </w:rPr>
                  </w:pPr>
                  <w:r>
                    <w:rPr>
                      <w:rFonts w:hint="eastAsia"/>
                      <w:color w:val="auto"/>
                      <w:vertAlign w:val="baseline"/>
                      <w:lang w:val="en-US" w:eastAsia="zh-CN"/>
                    </w:rPr>
                    <w:t>83</w:t>
                  </w:r>
                </w:p>
              </w:tc>
              <w:tc>
                <w:tcPr>
                  <w:tcW w:w="1250" w:type="pct"/>
                </w:tcPr>
                <w:p w14:paraId="3BAB8C2A">
                  <w:pPr>
                    <w:pStyle w:val="17"/>
                    <w:rPr>
                      <w:rFonts w:hint="default"/>
                      <w:color w:val="auto"/>
                      <w:vertAlign w:val="baseline"/>
                      <w:lang w:val="en-US" w:eastAsia="zh-CN"/>
                    </w:rPr>
                  </w:pPr>
                  <w:r>
                    <w:rPr>
                      <w:rFonts w:hint="eastAsia"/>
                      <w:color w:val="auto"/>
                      <w:vertAlign w:val="baseline"/>
                      <w:lang w:val="en-US" w:eastAsia="zh-CN"/>
                    </w:rPr>
                    <w:t>74</w:t>
                  </w:r>
                </w:p>
              </w:tc>
              <w:tc>
                <w:tcPr>
                  <w:tcW w:w="1250" w:type="pct"/>
                </w:tcPr>
                <w:p w14:paraId="2A51AC9E">
                  <w:pPr>
                    <w:pStyle w:val="17"/>
                    <w:rPr>
                      <w:rFonts w:hint="default"/>
                      <w:color w:val="auto"/>
                      <w:vertAlign w:val="baseline"/>
                      <w:lang w:val="en-US" w:eastAsia="zh-CN"/>
                    </w:rPr>
                  </w:pPr>
                  <w:r>
                    <w:rPr>
                      <w:rFonts w:hint="eastAsia"/>
                      <w:color w:val="auto"/>
                      <w:vertAlign w:val="baseline"/>
                      <w:lang w:val="en-US" w:eastAsia="zh-CN"/>
                    </w:rPr>
                    <w:t>65</w:t>
                  </w:r>
                </w:p>
              </w:tc>
            </w:tr>
          </w:tbl>
          <w:p w14:paraId="460C7D12">
            <w:pPr>
              <w:bidi w:val="0"/>
              <w:rPr>
                <w:rFonts w:hint="eastAsia"/>
                <w:color w:val="auto"/>
                <w:lang w:val="en-US" w:eastAsia="zh-CN"/>
              </w:rPr>
            </w:pPr>
            <w:r>
              <w:rPr>
                <w:rFonts w:hint="eastAsia"/>
                <w:color w:val="auto"/>
                <w:lang w:val="en-US" w:eastAsia="zh-CN"/>
              </w:rPr>
              <w:t>建设方需严格遵守操作规程并执行《建筑施工场界环境噪声排放标准》（GB 12523-2011）的要求，采取以下控制措施防止噪声对周围环境和居民产生影响。</w:t>
            </w:r>
          </w:p>
          <w:p w14:paraId="06DBA5D4">
            <w:pPr>
              <w:bidi w:val="0"/>
              <w:rPr>
                <w:rFonts w:hint="eastAsia"/>
                <w:color w:val="auto"/>
                <w:lang w:val="en-US" w:eastAsia="zh-CN"/>
              </w:rPr>
            </w:pPr>
            <w:r>
              <w:rPr>
                <w:rFonts w:hint="eastAsia"/>
                <w:color w:val="auto"/>
                <w:lang w:val="en-US" w:eastAsia="zh-CN"/>
              </w:rPr>
              <w:t>①合理安排施工计划、施工机械设备组合以及施工时间，避免在中午（</w:t>
            </w:r>
            <w:r>
              <w:rPr>
                <w:rFonts w:hint="default" w:ascii="Times New Roman" w:hAnsi="Times New Roman" w:cs="Times New Roman"/>
                <w:color w:val="auto"/>
                <w:lang w:val="en-US" w:eastAsia="zh-CN"/>
              </w:rPr>
              <w:t>12</w:t>
            </w:r>
            <w:r>
              <w:rPr>
                <w:rFonts w:hint="default" w:ascii="Times New Roman" w:hAnsi="Times New Roman" w:eastAsia="宋体" w:cs="Times New Roman"/>
                <w:color w:val="auto"/>
                <w:lang w:val="en-US" w:eastAsia="zh-CN"/>
              </w:rPr>
              <w:t>:00-14:</w:t>
            </w:r>
            <w:r>
              <w:rPr>
                <w:rFonts w:hint="default" w:ascii="Times New Roman" w:hAnsi="Times New Roman" w:cs="Times New Roman"/>
                <w:color w:val="auto"/>
                <w:lang w:val="en-US" w:eastAsia="zh-CN"/>
              </w:rPr>
              <w:t>00</w:t>
            </w:r>
            <w:r>
              <w:rPr>
                <w:rFonts w:hint="eastAsia"/>
                <w:color w:val="auto"/>
                <w:lang w:val="en-US" w:eastAsia="zh-CN"/>
              </w:rPr>
              <w:t>）和夜间（</w:t>
            </w:r>
            <w:r>
              <w:rPr>
                <w:rFonts w:hint="default" w:ascii="Times New Roman" w:hAnsi="Times New Roman" w:cs="Times New Roman"/>
                <w:color w:val="auto"/>
                <w:lang w:val="en-US" w:eastAsia="zh-CN"/>
              </w:rPr>
              <w:t>23</w:t>
            </w:r>
            <w:r>
              <w:rPr>
                <w:rFonts w:hint="default" w:ascii="Times New Roman" w:hAnsi="Times New Roman" w:eastAsia="宋体" w:cs="Times New Roman"/>
                <w:color w:val="auto"/>
                <w:lang w:val="en-US" w:eastAsia="zh-CN"/>
              </w:rPr>
              <w:t>:</w:t>
            </w:r>
            <w:r>
              <w:rPr>
                <w:rFonts w:hint="default" w:ascii="Times New Roman" w:hAnsi="Times New Roman" w:cs="Times New Roman"/>
                <w:color w:val="auto"/>
                <w:lang w:val="en-US" w:eastAsia="zh-CN"/>
              </w:rPr>
              <w:t>00-次日6</w:t>
            </w:r>
            <w:r>
              <w:rPr>
                <w:rFonts w:hint="default" w:ascii="Times New Roman" w:hAnsi="Times New Roman" w:eastAsia="宋体" w:cs="Times New Roman"/>
                <w:color w:val="auto"/>
                <w:lang w:val="en-US" w:eastAsia="zh-CN"/>
              </w:rPr>
              <w:t>:</w:t>
            </w:r>
            <w:r>
              <w:rPr>
                <w:rFonts w:hint="default" w:ascii="Times New Roman" w:hAnsi="Times New Roman" w:cs="Times New Roman"/>
                <w:color w:val="auto"/>
                <w:lang w:val="en-US" w:eastAsia="zh-CN"/>
              </w:rPr>
              <w:t>00</w:t>
            </w:r>
            <w:r>
              <w:rPr>
                <w:rFonts w:hint="eastAsia"/>
                <w:color w:val="auto"/>
                <w:lang w:val="en-US" w:eastAsia="zh-CN"/>
              </w:rPr>
              <w:t>）施工，同时避免在同一时间集中使用大量的动力机械设备。施工单位严格执行《建筑施工场界环境噪声排放标准》（GB 12523-2011）的要求，在施工过程中尽量减少运行动力机械的数量，尽可能使动力机械设备比较均匀地使用。</w:t>
            </w:r>
          </w:p>
          <w:p w14:paraId="6D4B9DD1">
            <w:pPr>
              <w:bidi w:val="0"/>
              <w:rPr>
                <w:rFonts w:hint="eastAsia"/>
                <w:color w:val="auto"/>
                <w:lang w:val="en-US" w:eastAsia="zh-CN"/>
              </w:rPr>
            </w:pPr>
            <w:r>
              <w:rPr>
                <w:rFonts w:hint="eastAsia"/>
                <w:color w:val="auto"/>
                <w:lang w:val="en-US" w:eastAsia="zh-CN"/>
              </w:rPr>
              <w:t>②合理选择施工方法，避免连续施工；合理布置施工现场，高噪声设备尽量远离敏感目标。</w:t>
            </w:r>
          </w:p>
          <w:p w14:paraId="4097F551">
            <w:pPr>
              <w:bidi w:val="0"/>
              <w:rPr>
                <w:rFonts w:hint="eastAsia"/>
                <w:color w:val="auto"/>
                <w:lang w:val="en-US" w:eastAsia="zh-CN"/>
              </w:rPr>
            </w:pPr>
            <w:r>
              <w:rPr>
                <w:rFonts w:hint="eastAsia"/>
                <w:color w:val="auto"/>
                <w:lang w:val="en-US" w:eastAsia="zh-CN"/>
              </w:rPr>
              <w:t>③合理选择施工机械，尽量选用低噪声设备，加强对施工机械和设备的维护保养，避免由于设备性能减退而使噪声增大。</w:t>
            </w:r>
          </w:p>
          <w:p w14:paraId="2DBF3818">
            <w:pPr>
              <w:bidi w:val="0"/>
              <w:rPr>
                <w:rFonts w:hint="eastAsia"/>
                <w:color w:val="auto"/>
                <w:lang w:val="en-US" w:eastAsia="zh-CN"/>
              </w:rPr>
            </w:pPr>
            <w:r>
              <w:rPr>
                <w:rFonts w:hint="eastAsia"/>
                <w:color w:val="auto"/>
                <w:lang w:val="en-US" w:eastAsia="zh-CN"/>
              </w:rPr>
              <w:t>④打桩施工，应优先使用液压打桩机，夜间禁止打桩。</w:t>
            </w:r>
          </w:p>
          <w:p w14:paraId="27146DEC">
            <w:pPr>
              <w:bidi w:val="0"/>
              <w:rPr>
                <w:rFonts w:hint="eastAsia"/>
                <w:color w:val="auto"/>
                <w:lang w:val="en-US" w:eastAsia="zh-CN"/>
              </w:rPr>
            </w:pPr>
            <w:r>
              <w:rPr>
                <w:rFonts w:hint="eastAsia"/>
                <w:color w:val="auto"/>
                <w:lang w:val="en-US" w:eastAsia="zh-CN"/>
              </w:rPr>
              <w:t>⑤加强与周边居民的沟通，夜间施工除需办理环保审批手续外，还应提前以适当方式告知受影响居民，征得居民谅解。</w:t>
            </w:r>
          </w:p>
          <w:p w14:paraId="212D408B">
            <w:pPr>
              <w:bidi w:val="0"/>
              <w:rPr>
                <w:rFonts w:hint="eastAsia"/>
                <w:color w:val="auto"/>
                <w:lang w:val="en-US" w:eastAsia="zh-CN"/>
              </w:rPr>
            </w:pPr>
            <w:r>
              <w:rPr>
                <w:rFonts w:hint="eastAsia"/>
                <w:color w:val="auto"/>
                <w:lang w:val="en-US" w:eastAsia="zh-CN"/>
              </w:rPr>
              <w:t>⑥对交通车辆造成的噪声影响要加强管理，运输车辆尽量采用较低声级的喇叭，并在环境敏感点限制车辆鸣笛。另外，尽量避免在周围居民休息期间作业。</w:t>
            </w:r>
          </w:p>
          <w:p w14:paraId="4368F221">
            <w:pPr>
              <w:bidi w:val="0"/>
              <w:rPr>
                <w:rFonts w:hint="eastAsia"/>
                <w:color w:val="auto"/>
                <w:lang w:val="en-US" w:eastAsia="zh-CN"/>
              </w:rPr>
            </w:pPr>
            <w:r>
              <w:rPr>
                <w:rFonts w:hint="eastAsia"/>
                <w:color w:val="auto"/>
                <w:lang w:val="en-US" w:eastAsia="zh-CN"/>
              </w:rPr>
              <w:t>本工程施工时施工噪声对环境会产生一定的不利影响，但是施工期影响具有阶段性、临时性和不固定性，一旦施工活动结束，施工噪声和振动也就随之结束。</w:t>
            </w:r>
          </w:p>
          <w:p w14:paraId="0EB13320">
            <w:pPr>
              <w:bidi w:val="0"/>
              <w:rPr>
                <w:rFonts w:hint="eastAsia"/>
                <w:color w:val="auto"/>
                <w:lang w:val="en-US" w:eastAsia="zh-CN"/>
              </w:rPr>
            </w:pPr>
            <w:r>
              <w:rPr>
                <w:rFonts w:hint="eastAsia"/>
                <w:color w:val="auto"/>
                <w:lang w:val="en-US" w:eastAsia="zh-CN"/>
              </w:rPr>
              <w:t>类比同类工程，本工程施工期采取上述措施后可有效降低施工噪声对周边环境的影响。</w:t>
            </w:r>
          </w:p>
          <w:p w14:paraId="461CA01A">
            <w:pPr>
              <w:pStyle w:val="5"/>
              <w:bidi w:val="0"/>
              <w:rPr>
                <w:rFonts w:hint="eastAsia"/>
                <w:color w:val="auto"/>
                <w:lang w:val="en-US" w:eastAsia="zh-CN"/>
              </w:rPr>
            </w:pPr>
            <w:bookmarkStart w:id="357" w:name="_Toc15488"/>
            <w:bookmarkStart w:id="358" w:name="_Toc29368"/>
            <w:bookmarkStart w:id="359" w:name="_Toc30089"/>
            <w:bookmarkStart w:id="360" w:name="_Toc3256"/>
            <w:bookmarkStart w:id="361" w:name="_Toc23503"/>
            <w:r>
              <w:rPr>
                <w:rFonts w:hint="eastAsia"/>
                <w:color w:val="auto"/>
                <w:lang w:val="en-US" w:eastAsia="zh-CN"/>
              </w:rPr>
              <w:t>2.4 施工期固废影响分析</w:t>
            </w:r>
            <w:bookmarkEnd w:id="357"/>
            <w:bookmarkEnd w:id="358"/>
            <w:bookmarkEnd w:id="359"/>
            <w:bookmarkEnd w:id="360"/>
            <w:bookmarkEnd w:id="361"/>
          </w:p>
          <w:p w14:paraId="1202D49A">
            <w:pPr>
              <w:rPr>
                <w:rFonts w:hint="eastAsia"/>
                <w:color w:val="auto"/>
                <w:lang w:val="en-US" w:eastAsia="zh-CN"/>
              </w:rPr>
            </w:pPr>
            <w:r>
              <w:rPr>
                <w:rFonts w:hint="eastAsia"/>
                <w:color w:val="auto"/>
                <w:lang w:val="en-US" w:eastAsia="zh-CN"/>
              </w:rPr>
              <w:t>本工程挖填基本平衡，无弃方。施工期固废主要有施工期产生的建筑垃圾以及施工人员的生活垃圾。</w:t>
            </w:r>
          </w:p>
          <w:p w14:paraId="7967A014">
            <w:pPr>
              <w:rPr>
                <w:rFonts w:hint="eastAsia"/>
                <w:color w:val="auto"/>
                <w:vertAlign w:val="baseline"/>
                <w:lang w:val="en-US" w:eastAsia="zh-CN"/>
              </w:rPr>
            </w:pPr>
            <w:r>
              <w:rPr>
                <w:rFonts w:hint="eastAsia"/>
                <w:color w:val="auto"/>
                <w:lang w:val="en-US" w:eastAsia="zh-CN"/>
              </w:rPr>
              <w:t>建筑垃圾包括砂土、石块、水泥、碎木料、锯木屑、废金属、钢筋、铁丝等，项目新建建筑面积为1900m</w:t>
            </w:r>
            <w:r>
              <w:rPr>
                <w:rFonts w:hint="eastAsia"/>
                <w:color w:val="auto"/>
                <w:vertAlign w:val="superscript"/>
                <w:lang w:val="en-US" w:eastAsia="zh-CN"/>
              </w:rPr>
              <w:t>2</w:t>
            </w:r>
            <w:r>
              <w:rPr>
                <w:rFonts w:hint="eastAsia"/>
                <w:color w:val="auto"/>
                <w:vertAlign w:val="baseline"/>
                <w:lang w:val="en-US" w:eastAsia="zh-CN"/>
              </w:rPr>
              <w:t>，据类比调查，一般建筑垃圾产生量约为20kg/m</w:t>
            </w:r>
            <w:r>
              <w:rPr>
                <w:rFonts w:hint="eastAsia"/>
                <w:color w:val="auto"/>
                <w:vertAlign w:val="superscript"/>
                <w:lang w:val="en-US" w:eastAsia="zh-CN"/>
              </w:rPr>
              <w:t>2</w:t>
            </w:r>
            <w:r>
              <w:rPr>
                <w:rFonts w:hint="eastAsia"/>
                <w:color w:val="auto"/>
                <w:vertAlign w:val="baseline"/>
                <w:lang w:val="en-US" w:eastAsia="zh-CN"/>
              </w:rPr>
              <w:t>，即单位建筑面积的产生量为20kg。本项目施工期间建筑垃圾产生量约38t。如处理不当，会影响景观和周边环境质量。因此，本环评要求：</w:t>
            </w:r>
          </w:p>
          <w:p w14:paraId="5310A149">
            <w:pPr>
              <w:rPr>
                <w:rFonts w:hint="eastAsia"/>
                <w:color w:val="auto"/>
                <w:vertAlign w:val="baseline"/>
                <w:lang w:val="en-US" w:eastAsia="zh-CN"/>
              </w:rPr>
            </w:pPr>
            <w:r>
              <w:rPr>
                <w:rFonts w:hint="eastAsia"/>
                <w:color w:val="auto"/>
                <w:vertAlign w:val="baseline"/>
                <w:lang w:val="en-US" w:eastAsia="zh-CN"/>
              </w:rPr>
              <w:t>建设方对其产生的建筑垃圾进行集中处理，分类收集并尽可能地回收再利用，不能回收利用的则应及时清理出施工现场，由专业的渣土运输车辆运往园区指定的建筑垃圾堆放场。同时，在建筑材料的运输途中所用的车辆和装运容器必须保证其良好的密封性，防止沿途的散落带来环境污染。</w:t>
            </w:r>
          </w:p>
          <w:p w14:paraId="245A1A25">
            <w:pPr>
              <w:rPr>
                <w:rFonts w:hint="eastAsia"/>
                <w:color w:val="auto"/>
                <w:vertAlign w:val="baseline"/>
                <w:lang w:val="en-US" w:eastAsia="zh-CN"/>
              </w:rPr>
            </w:pPr>
            <w:r>
              <w:rPr>
                <w:rFonts w:hint="eastAsia"/>
                <w:color w:val="auto"/>
                <w:vertAlign w:val="baseline"/>
                <w:lang w:val="en-US" w:eastAsia="zh-CN"/>
              </w:rPr>
              <w:t>生活垃圾按0.5kg/（人</w:t>
            </w:r>
            <w:r>
              <w:rPr>
                <w:rFonts w:hint="default" w:ascii="Times New Roman" w:hAnsi="Times New Roman" w:cs="Times New Roman"/>
                <w:color w:val="auto"/>
                <w:vertAlign w:val="baseline"/>
                <w:lang w:val="en-US" w:eastAsia="zh-CN"/>
              </w:rPr>
              <w:t>·</w:t>
            </w:r>
            <w:r>
              <w:rPr>
                <w:rFonts w:hint="eastAsia"/>
                <w:color w:val="auto"/>
                <w:vertAlign w:val="baseline"/>
                <w:lang w:val="en-US" w:eastAsia="zh-CN"/>
              </w:rPr>
              <w:t>d）计，项目施工人员每日平均6人，施工总工期按60天计，则生活垃圾产生量为3kg/d，共计0.18t。施工期生活垃圾若不对其采取有效的处理措施，则可能造成生活垃圾腐烂，滋生蚊蝇鼠虫及散发臭气等，影响景观和区域大气环境。因此，建设方应在施工临时生活区设置垃圾桶收集生活垃圾，由当地环卫部门定期进行收集、清扫，及时清运。</w:t>
            </w:r>
          </w:p>
          <w:p w14:paraId="0CE7FCA8">
            <w:pPr>
              <w:adjustRightInd w:val="0"/>
              <w:snapToGrid w:val="0"/>
              <w:rPr>
                <w:rFonts w:hint="eastAsia"/>
                <w:color w:val="auto"/>
                <w:vertAlign w:val="baseline"/>
                <w:lang w:val="en-US" w:eastAsia="zh-CN"/>
              </w:rPr>
            </w:pPr>
            <w:r>
              <w:rPr>
                <w:rFonts w:hint="eastAsia"/>
                <w:color w:val="auto"/>
                <w:vertAlign w:val="baseline"/>
                <w:lang w:val="en-US" w:eastAsia="zh-CN"/>
              </w:rPr>
              <w:t>通过采取以上措施后，本工程施工固废对周围环境的影响可降至最低。</w:t>
            </w:r>
          </w:p>
          <w:p w14:paraId="0143C008">
            <w:pPr>
              <w:pStyle w:val="5"/>
              <w:bidi w:val="0"/>
              <w:rPr>
                <w:rFonts w:hint="eastAsia"/>
                <w:color w:val="auto"/>
                <w:lang w:val="en-US" w:eastAsia="zh-CN"/>
              </w:rPr>
            </w:pPr>
            <w:bookmarkStart w:id="362" w:name="_Toc25361"/>
            <w:bookmarkStart w:id="363" w:name="_Toc3917"/>
            <w:bookmarkStart w:id="364" w:name="_Toc17329"/>
            <w:bookmarkStart w:id="365" w:name="_Toc24043"/>
            <w:bookmarkStart w:id="366" w:name="_Toc23892"/>
            <w:r>
              <w:rPr>
                <w:rFonts w:hint="eastAsia"/>
                <w:color w:val="auto"/>
                <w:lang w:val="en-US" w:eastAsia="zh-CN"/>
              </w:rPr>
              <w:t>2.5 施工期生态环境影响分析</w:t>
            </w:r>
            <w:bookmarkEnd w:id="362"/>
            <w:bookmarkEnd w:id="363"/>
            <w:bookmarkEnd w:id="364"/>
            <w:bookmarkEnd w:id="365"/>
            <w:bookmarkEnd w:id="366"/>
          </w:p>
          <w:p w14:paraId="093CDFCE">
            <w:pPr>
              <w:rPr>
                <w:rFonts w:hint="eastAsia"/>
                <w:color w:val="auto"/>
                <w:lang w:val="en-US" w:eastAsia="zh-CN"/>
              </w:rPr>
            </w:pPr>
            <w:r>
              <w:rPr>
                <w:rFonts w:hint="eastAsia"/>
                <w:color w:val="auto"/>
                <w:lang w:val="en-US" w:eastAsia="zh-CN"/>
              </w:rPr>
              <w:t>本工程施工期对生态环境的影响主要是对区域内植被的影响及水土流失产生的影响。</w:t>
            </w:r>
          </w:p>
          <w:p w14:paraId="78962C01">
            <w:pPr>
              <w:rPr>
                <w:rFonts w:hint="eastAsia"/>
                <w:color w:val="auto"/>
                <w:lang w:val="en-US" w:eastAsia="zh-CN"/>
              </w:rPr>
            </w:pPr>
            <w:r>
              <w:rPr>
                <w:rFonts w:hint="eastAsia"/>
                <w:color w:val="auto"/>
                <w:lang w:val="en-US" w:eastAsia="zh-CN"/>
              </w:rPr>
              <w:t>（1）项目施工期水土流失影响分析</w:t>
            </w:r>
          </w:p>
          <w:p w14:paraId="5876FBA2">
            <w:pPr>
              <w:rPr>
                <w:rFonts w:hint="eastAsia"/>
                <w:color w:val="auto"/>
                <w:lang w:val="en-US" w:eastAsia="zh-CN"/>
              </w:rPr>
            </w:pPr>
            <w:r>
              <w:rPr>
                <w:rFonts w:hint="eastAsia"/>
                <w:color w:val="auto"/>
                <w:lang w:val="en-US" w:eastAsia="zh-CN"/>
              </w:rPr>
              <w:t>水土流失是指土壤在降水侵蚀力作用下的分散、迁移和沉积的过程。影响水土流失的因素较多，主要包括降雨、土壤、植被、地形地貌以及工程施工等因素。就本工程而言，影响施工期水土流失的主要因素是降雨和工程施工。</w:t>
            </w:r>
          </w:p>
          <w:p w14:paraId="4A8B8F3F">
            <w:pPr>
              <w:rPr>
                <w:rFonts w:hint="eastAsia"/>
                <w:color w:val="auto"/>
                <w:lang w:val="en-US" w:eastAsia="zh-CN"/>
              </w:rPr>
            </w:pPr>
            <w:r>
              <w:rPr>
                <w:rFonts w:hint="eastAsia"/>
                <w:color w:val="auto"/>
                <w:lang w:val="en-US" w:eastAsia="zh-CN"/>
              </w:rPr>
              <w:t>本工程施工期由于开挖、弃土、堆置等活动将扰动地表、占压土地和损坏植被等，如果遇上暴水、雨水集中、径流汇集等情况，在无水土保持措施的情况下，易产生水土流失。因此，施工期为本工程水土流失防治重点阶段。</w:t>
            </w:r>
          </w:p>
          <w:p w14:paraId="744467A9">
            <w:pPr>
              <w:rPr>
                <w:rFonts w:hint="eastAsia"/>
                <w:color w:val="auto"/>
                <w:lang w:val="en-US" w:eastAsia="zh-CN"/>
              </w:rPr>
            </w:pPr>
            <w:r>
              <w:rPr>
                <w:rFonts w:hint="eastAsia"/>
                <w:color w:val="auto"/>
                <w:lang w:val="en-US" w:eastAsia="zh-CN"/>
              </w:rPr>
              <w:t>施工期在一定程度上破坏了施工区原有地貌、地表植被，使表层松散，抗水力侵蚀能力减弱，使土壤失去了原有的固土防风能力，从而增加了一定量的水土流失。项目施工期采取平整、压实、设置沉砂池和挡土墙等工程措施，并尽可能地在裸露地表铺设人工覆盖物，水土流失强度和年均水土流失总量均有极大的下降。</w:t>
            </w:r>
          </w:p>
          <w:p w14:paraId="3AB8FF73">
            <w:pPr>
              <w:rPr>
                <w:rFonts w:hint="eastAsia"/>
                <w:color w:val="auto"/>
                <w:lang w:val="en-US" w:eastAsia="zh-CN"/>
              </w:rPr>
            </w:pPr>
            <w:r>
              <w:rPr>
                <w:rFonts w:hint="eastAsia"/>
                <w:color w:val="auto"/>
                <w:lang w:val="en-US" w:eastAsia="zh-CN"/>
              </w:rPr>
              <w:t>（2）景观格局影响分析</w:t>
            </w:r>
          </w:p>
          <w:p w14:paraId="4DE3B54D">
            <w:pPr>
              <w:rPr>
                <w:rFonts w:hint="eastAsia"/>
                <w:color w:val="auto"/>
                <w:lang w:val="en-US" w:eastAsia="zh-CN"/>
              </w:rPr>
            </w:pPr>
            <w:r>
              <w:rPr>
                <w:rFonts w:hint="eastAsia"/>
                <w:color w:val="auto"/>
                <w:lang w:val="en-US" w:eastAsia="zh-CN"/>
              </w:rPr>
              <w:t>本工程施工期对生态景观格局的改变，主要体现在各厂房等基础设施建设占地破坏了区域局部景观格局；施工期的建筑垃圾、废弃的土石方、生活垃圾等若随意倾倒，也将会破坏评价区的景观。</w:t>
            </w:r>
          </w:p>
          <w:p w14:paraId="079E56ED">
            <w:pPr>
              <w:rPr>
                <w:rFonts w:hint="eastAsia"/>
                <w:color w:val="auto"/>
                <w:lang w:val="en-US" w:eastAsia="zh-CN"/>
              </w:rPr>
            </w:pPr>
            <w:r>
              <w:rPr>
                <w:rFonts w:hint="eastAsia"/>
                <w:color w:val="auto"/>
                <w:lang w:val="en-US" w:eastAsia="zh-CN"/>
              </w:rPr>
              <w:t>因此，建设方必须在施工中采取适当措施降低施工期对景观的影响，如：施工区域采取高围挡作业，施工现场洒水作业，施工单位对附近道路实行保洁制度；制定切实可行的建筑垃圾处置和运输计划，避免在交通高峰期时清运建筑垃圾，按规定路线运输等。</w:t>
            </w:r>
          </w:p>
          <w:p w14:paraId="06BDB86F">
            <w:pPr>
              <w:pStyle w:val="5"/>
              <w:bidi w:val="0"/>
              <w:rPr>
                <w:rFonts w:hint="eastAsia"/>
                <w:color w:val="auto"/>
                <w:lang w:val="en-US" w:eastAsia="zh-CN"/>
              </w:rPr>
            </w:pPr>
            <w:bookmarkStart w:id="367" w:name="_Toc24724"/>
            <w:bookmarkStart w:id="368" w:name="_Toc9663"/>
            <w:bookmarkStart w:id="369" w:name="_Toc8209"/>
            <w:bookmarkStart w:id="370" w:name="_Toc590"/>
            <w:bookmarkStart w:id="371" w:name="_Toc28220"/>
            <w:r>
              <w:rPr>
                <w:rFonts w:hint="eastAsia"/>
                <w:color w:val="auto"/>
                <w:lang w:val="en-US" w:eastAsia="zh-CN"/>
              </w:rPr>
              <w:t>2.6 施工期环境管理</w:t>
            </w:r>
            <w:bookmarkEnd w:id="367"/>
            <w:bookmarkEnd w:id="368"/>
            <w:bookmarkEnd w:id="369"/>
            <w:bookmarkEnd w:id="370"/>
            <w:bookmarkEnd w:id="371"/>
          </w:p>
          <w:p w14:paraId="37F922CC">
            <w:pPr>
              <w:adjustRightInd w:val="0"/>
              <w:snapToGrid w:val="0"/>
              <w:rPr>
                <w:rFonts w:hint="eastAsia"/>
                <w:color w:val="auto"/>
                <w:vertAlign w:val="baseline"/>
                <w:lang w:val="en-US" w:eastAsia="zh-CN"/>
              </w:rPr>
            </w:pPr>
            <w:r>
              <w:rPr>
                <w:rFonts w:hint="eastAsia"/>
                <w:color w:val="auto"/>
                <w:lang w:val="en-US" w:eastAsia="zh-CN"/>
              </w:rPr>
              <w:t>施工单位应详细编制施工组织计划并建立环境管理制度，要有专人负责施工期间的环境保护工作，对施工中产生的“三废”应按本环评提出的防治措施及处置方式实施和管理。建设单位要认真贯彻国家的环保法规标准，加强施工期间的环境管理，督促施工单位建立相应的环保管理制度，做到有章可循，科学管理，文明施工。</w:t>
            </w:r>
          </w:p>
        </w:tc>
      </w:tr>
      <w:tr w14:paraId="32927A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8" w:type="pct"/>
            <w:noWrap w:val="0"/>
            <w:tcMar>
              <w:left w:w="28" w:type="dxa"/>
              <w:right w:w="28" w:type="dxa"/>
            </w:tcMar>
            <w:vAlign w:val="center"/>
          </w:tcPr>
          <w:p w14:paraId="73A6B07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color w:val="auto"/>
              </w:rPr>
            </w:pPr>
            <w:r>
              <w:rPr>
                <w:rFonts w:hint="eastAsia"/>
                <w:color w:val="auto"/>
              </w:rPr>
              <w:t>运营</w:t>
            </w:r>
          </w:p>
          <w:p w14:paraId="14D4B6F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color w:val="auto"/>
              </w:rPr>
            </w:pPr>
            <w:r>
              <w:rPr>
                <w:rFonts w:hint="eastAsia"/>
                <w:color w:val="auto"/>
              </w:rPr>
              <w:t>期环</w:t>
            </w:r>
          </w:p>
          <w:p w14:paraId="5B99D01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color w:val="auto"/>
              </w:rPr>
            </w:pPr>
            <w:r>
              <w:rPr>
                <w:rFonts w:hint="eastAsia"/>
                <w:color w:val="auto"/>
              </w:rPr>
              <w:t>境影</w:t>
            </w:r>
          </w:p>
          <w:p w14:paraId="2CF7611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color w:val="auto"/>
              </w:rPr>
            </w:pPr>
            <w:r>
              <w:rPr>
                <w:rFonts w:hint="eastAsia"/>
                <w:color w:val="auto"/>
              </w:rPr>
              <w:t>响和</w:t>
            </w:r>
          </w:p>
          <w:p w14:paraId="4392F12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color w:val="auto"/>
              </w:rPr>
            </w:pPr>
            <w:r>
              <w:rPr>
                <w:rFonts w:hint="eastAsia"/>
                <w:color w:val="auto"/>
              </w:rPr>
              <w:t>保护</w:t>
            </w:r>
          </w:p>
          <w:p w14:paraId="40C5242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color w:val="auto"/>
              </w:rPr>
            </w:pPr>
            <w:r>
              <w:rPr>
                <w:rFonts w:hint="eastAsia"/>
                <w:color w:val="auto"/>
              </w:rPr>
              <w:t>措施</w:t>
            </w:r>
          </w:p>
        </w:tc>
        <w:tc>
          <w:tcPr>
            <w:tcW w:w="4581" w:type="pct"/>
            <w:noWrap w:val="0"/>
            <w:vAlign w:val="center"/>
          </w:tcPr>
          <w:p w14:paraId="3C2D4A0E">
            <w:pPr>
              <w:pStyle w:val="4"/>
              <w:bidi w:val="0"/>
              <w:rPr>
                <w:rFonts w:hint="eastAsia"/>
                <w:color w:val="auto"/>
                <w:lang w:val="en-US" w:eastAsia="zh-CN"/>
              </w:rPr>
            </w:pPr>
            <w:bookmarkStart w:id="372" w:name="_Toc31737"/>
            <w:bookmarkStart w:id="373" w:name="_Toc12647"/>
            <w:bookmarkStart w:id="374" w:name="_Toc19241"/>
            <w:bookmarkStart w:id="375" w:name="_Toc2712"/>
            <w:bookmarkStart w:id="376" w:name="_Toc21562"/>
            <w:r>
              <w:rPr>
                <w:rFonts w:hint="eastAsia"/>
                <w:color w:val="auto"/>
                <w:lang w:val="en-US" w:eastAsia="zh-CN"/>
              </w:rPr>
              <w:t>1、运营期主要产排污环节</w:t>
            </w:r>
            <w:bookmarkEnd w:id="372"/>
            <w:bookmarkEnd w:id="373"/>
            <w:bookmarkEnd w:id="374"/>
            <w:bookmarkEnd w:id="375"/>
            <w:bookmarkEnd w:id="376"/>
          </w:p>
          <w:p w14:paraId="395B5DB7">
            <w:pPr>
              <w:bidi w:val="0"/>
              <w:rPr>
                <w:rFonts w:hint="eastAsia"/>
                <w:color w:val="auto"/>
                <w:lang w:val="en-US" w:eastAsia="zh-CN"/>
              </w:rPr>
            </w:pPr>
            <w:r>
              <w:rPr>
                <w:rFonts w:hint="eastAsia"/>
                <w:color w:val="auto"/>
                <w:lang w:val="en-US" w:eastAsia="zh-CN"/>
              </w:rPr>
              <w:t>项目建成后运营期主要污染物及产污环节如下：</w:t>
            </w:r>
          </w:p>
          <w:p w14:paraId="43E476B2">
            <w:pPr>
              <w:bidi w:val="0"/>
              <w:rPr>
                <w:rFonts w:hint="default"/>
                <w:color w:val="auto"/>
                <w:lang w:val="en-US" w:eastAsia="zh-CN"/>
              </w:rPr>
            </w:pPr>
            <w:r>
              <w:rPr>
                <w:rFonts w:hint="eastAsia"/>
                <w:color w:val="auto"/>
                <w:lang w:val="en-US" w:eastAsia="zh-CN"/>
              </w:rPr>
              <w:t>废气：主要为物料装卸粉尘、堆场扬尘、破碎/筛分粉尘、投料粉尘、输送粉尘、道路扬尘、搅拌粉尘、水泥装卸/储存粉尘、运输车辆尾气及食堂油烟。</w:t>
            </w:r>
          </w:p>
          <w:p w14:paraId="691C0DE3">
            <w:pPr>
              <w:bidi w:val="0"/>
              <w:rPr>
                <w:rFonts w:hint="eastAsia"/>
                <w:color w:val="auto"/>
                <w:lang w:val="en-US" w:eastAsia="zh-CN"/>
              </w:rPr>
            </w:pPr>
            <w:r>
              <w:rPr>
                <w:rFonts w:hint="eastAsia"/>
                <w:color w:val="auto"/>
                <w:lang w:val="en-US" w:eastAsia="zh-CN"/>
              </w:rPr>
              <w:t>废水：主要为员工生活污水、洒水降尘废水、车辆冲洗废水和堆场抑尘废水。</w:t>
            </w:r>
          </w:p>
          <w:p w14:paraId="50D54D5C">
            <w:pPr>
              <w:bidi w:val="0"/>
              <w:rPr>
                <w:rFonts w:hint="eastAsia"/>
                <w:color w:val="auto"/>
                <w:lang w:val="en-US" w:eastAsia="zh-CN"/>
              </w:rPr>
            </w:pPr>
            <w:r>
              <w:rPr>
                <w:rFonts w:hint="eastAsia"/>
                <w:color w:val="auto"/>
                <w:lang w:val="en-US" w:eastAsia="zh-CN"/>
              </w:rPr>
              <w:t>噪声：主要为生产设备噪声，包括环保渣土车、颚式破碎机、冲击破碎机、反冲破碎机和振动筛产生的噪声。</w:t>
            </w:r>
          </w:p>
          <w:p w14:paraId="1BE99CA9">
            <w:pPr>
              <w:bidi w:val="0"/>
              <w:rPr>
                <w:rFonts w:hint="eastAsia"/>
                <w:color w:val="auto"/>
                <w:lang w:val="en-US" w:eastAsia="zh-CN"/>
              </w:rPr>
            </w:pPr>
            <w:r>
              <w:rPr>
                <w:rFonts w:hint="eastAsia"/>
                <w:color w:val="auto"/>
                <w:lang w:val="en-US" w:eastAsia="zh-CN"/>
              </w:rPr>
              <w:t>一般固废：主要为建筑垃圾、装修垃圾和一般工业固体废物分拣时产生的废铁、废木块、废塑料以及初期雨水池沉渣、除尘器粉尘、除尘器废布袋等。</w:t>
            </w:r>
          </w:p>
          <w:p w14:paraId="3A972CBB">
            <w:pPr>
              <w:bidi w:val="0"/>
              <w:rPr>
                <w:rFonts w:hint="eastAsia"/>
                <w:color w:val="auto"/>
                <w:lang w:val="en-US" w:eastAsia="zh-CN"/>
              </w:rPr>
            </w:pPr>
            <w:r>
              <w:rPr>
                <w:rFonts w:hint="eastAsia"/>
                <w:color w:val="auto"/>
                <w:lang w:val="en-US" w:eastAsia="zh-CN"/>
              </w:rPr>
              <w:t>危险废物：主要为隔油渣、废机油及油桶。</w:t>
            </w:r>
          </w:p>
          <w:p w14:paraId="74BDD47F">
            <w:pPr>
              <w:pStyle w:val="4"/>
              <w:bidi w:val="0"/>
              <w:rPr>
                <w:rFonts w:hint="eastAsia"/>
                <w:color w:val="auto"/>
                <w:lang w:val="en-US" w:eastAsia="zh-CN"/>
              </w:rPr>
            </w:pPr>
            <w:bookmarkStart w:id="377" w:name="_Toc26518"/>
            <w:bookmarkStart w:id="378" w:name="_Toc32230"/>
            <w:bookmarkStart w:id="379" w:name="_Toc23065"/>
            <w:bookmarkStart w:id="380" w:name="_Toc14899"/>
            <w:bookmarkStart w:id="381" w:name="_Toc21782"/>
            <w:r>
              <w:rPr>
                <w:rFonts w:hint="eastAsia"/>
                <w:color w:val="auto"/>
                <w:lang w:val="en-US" w:eastAsia="zh-CN"/>
              </w:rPr>
              <w:t>2、运营期大气环境影响分析</w:t>
            </w:r>
            <w:bookmarkEnd w:id="377"/>
            <w:bookmarkEnd w:id="378"/>
            <w:bookmarkEnd w:id="379"/>
            <w:bookmarkEnd w:id="380"/>
            <w:bookmarkEnd w:id="381"/>
          </w:p>
          <w:p w14:paraId="1C1A33F3">
            <w:pPr>
              <w:pStyle w:val="5"/>
              <w:bidi w:val="0"/>
              <w:rPr>
                <w:rFonts w:hint="default"/>
                <w:color w:val="auto"/>
                <w:lang w:val="en-US" w:eastAsia="zh-CN"/>
              </w:rPr>
            </w:pPr>
            <w:bookmarkStart w:id="382" w:name="_Toc23301"/>
            <w:bookmarkStart w:id="383" w:name="_Toc19674"/>
            <w:bookmarkStart w:id="384" w:name="_Toc11149"/>
            <w:bookmarkStart w:id="385" w:name="_Toc4320"/>
            <w:bookmarkStart w:id="386" w:name="_Toc13199"/>
            <w:r>
              <w:rPr>
                <w:rFonts w:hint="eastAsia"/>
                <w:color w:val="auto"/>
                <w:lang w:val="en-US" w:eastAsia="zh-CN"/>
              </w:rPr>
              <w:t>2.1 大气污染物源强及污染防治措施</w:t>
            </w:r>
            <w:bookmarkEnd w:id="382"/>
            <w:bookmarkEnd w:id="383"/>
            <w:bookmarkEnd w:id="384"/>
            <w:bookmarkEnd w:id="385"/>
            <w:bookmarkEnd w:id="386"/>
          </w:p>
          <w:p w14:paraId="0BD04988">
            <w:pPr>
              <w:bidi w:val="0"/>
              <w:rPr>
                <w:rFonts w:hint="default"/>
                <w:color w:val="auto"/>
                <w:lang w:val="en-US" w:eastAsia="zh-CN"/>
              </w:rPr>
            </w:pPr>
            <w:r>
              <w:rPr>
                <w:rFonts w:hint="eastAsia"/>
                <w:color w:val="auto"/>
                <w:lang w:val="en-US" w:eastAsia="zh-CN"/>
              </w:rPr>
              <w:t>（1）物料装卸粉尘</w:t>
            </w:r>
          </w:p>
          <w:p w14:paraId="1482605D">
            <w:pPr>
              <w:rPr>
                <w:rFonts w:hint="eastAsia"/>
                <w:color w:val="auto"/>
                <w:lang w:val="en-US" w:eastAsia="zh-CN"/>
              </w:rPr>
            </w:pPr>
            <w:r>
              <w:rPr>
                <w:rFonts w:hint="eastAsia"/>
                <w:color w:val="auto"/>
                <w:lang w:val="en-US" w:eastAsia="zh-CN"/>
              </w:rPr>
              <w:t>项目建成后年最大处理建筑垃圾、装修垃圾和一般工业固体废物24万t/a，年最大生产粗骨料2万t/a，细骨料2万t/a，粉料1万t/a，砖3.675万t/a（含5%水泥），水稳砂14.7万t/a（含5%水泥）。装载车载重按30t计，则年装载车运输次数约15792次。采用山西环保科研所、武汉水运工程学院提出的经验公式估算：</w:t>
            </w:r>
          </w:p>
          <w:p w14:paraId="71EB263E">
            <w:pPr>
              <w:pStyle w:val="17"/>
              <w:bidi w:val="0"/>
              <w:rPr>
                <w:rFonts w:hint="default"/>
                <w:color w:val="auto"/>
                <w:lang w:val="en-US" w:eastAsia="zh-CN"/>
              </w:rPr>
            </w:pPr>
            <w:r>
              <w:rPr>
                <w:rFonts w:hint="default"/>
                <w:color w:val="auto"/>
                <w:position w:val="-24"/>
                <w:lang w:val="en-US" w:eastAsia="zh-CN"/>
              </w:rPr>
              <w:object>
                <v:shape id="_x0000_i1040" o:spt="75" type="#_x0000_t75" style="height:31pt;width:70pt;" o:ole="t" filled="f" o:preferrelative="t" stroked="f" coordsize="21600,21600">
                  <v:path/>
                  <v:fill on="f" focussize="0,0"/>
                  <v:stroke on="f"/>
                  <v:imagedata r:id="rId28" o:title=""/>
                  <o:lock v:ext="edit" aspectratio="t"/>
                  <w10:wrap type="none"/>
                  <w10:anchorlock/>
                </v:shape>
                <o:OLEObject Type="Embed" ProgID="Equation.KSEE3" ShapeID="_x0000_i1040" DrawAspect="Content" ObjectID="_1468075740" r:id="rId41">
                  <o:LockedField>false</o:LockedField>
                </o:OLEObject>
              </w:object>
            </w:r>
          </w:p>
          <w:p w14:paraId="2FA65F43">
            <w:pPr>
              <w:bidi w:val="0"/>
              <w:rPr>
                <w:rFonts w:hint="eastAsia"/>
                <w:color w:val="auto"/>
                <w:lang w:val="en-US" w:eastAsia="zh-CN"/>
              </w:rPr>
            </w:pPr>
            <w:r>
              <w:rPr>
                <w:rFonts w:hint="eastAsia"/>
                <w:color w:val="auto"/>
                <w:lang w:val="en-US" w:eastAsia="zh-CN"/>
              </w:rPr>
              <w:t>式中：Q——自卸汽车装卸起尘量，g/次；</w:t>
            </w:r>
          </w:p>
          <w:p w14:paraId="07084F02">
            <w:pPr>
              <w:keepNext w:val="0"/>
              <w:keepLines w:val="0"/>
              <w:pageBreakBefore w:val="0"/>
              <w:widowControl w:val="0"/>
              <w:kinsoku/>
              <w:wordWrap/>
              <w:overflowPunct/>
              <w:topLinePunct w:val="0"/>
              <w:autoSpaceDE/>
              <w:autoSpaceDN/>
              <w:bidi w:val="0"/>
              <w:adjustRightInd w:val="0"/>
              <w:snapToGrid w:val="0"/>
              <w:ind w:firstLine="1200" w:firstLineChars="500"/>
              <w:textAlignment w:val="auto"/>
              <w:rPr>
                <w:rFonts w:hint="default"/>
                <w:color w:val="auto"/>
                <w:lang w:val="en-US" w:eastAsia="zh-CN"/>
              </w:rPr>
            </w:pPr>
            <w:r>
              <w:rPr>
                <w:rFonts w:hint="eastAsia"/>
                <w:color w:val="auto"/>
                <w:lang w:val="en-US" w:eastAsia="zh-CN"/>
              </w:rPr>
              <w:t>u——平均风速，湖南省累年平均风速平均值取1.63m/s；</w:t>
            </w:r>
          </w:p>
          <w:p w14:paraId="6195D7D3">
            <w:pPr>
              <w:keepNext w:val="0"/>
              <w:keepLines w:val="0"/>
              <w:pageBreakBefore w:val="0"/>
              <w:widowControl w:val="0"/>
              <w:kinsoku/>
              <w:wordWrap/>
              <w:overflowPunct/>
              <w:topLinePunct w:val="0"/>
              <w:autoSpaceDE/>
              <w:autoSpaceDN/>
              <w:bidi w:val="0"/>
              <w:adjustRightInd w:val="0"/>
              <w:snapToGrid w:val="0"/>
              <w:ind w:firstLine="1200" w:firstLineChars="500"/>
              <w:textAlignment w:val="auto"/>
              <w:rPr>
                <w:rFonts w:hint="eastAsia"/>
                <w:color w:val="auto"/>
                <w:lang w:val="en-US" w:eastAsia="zh-CN"/>
              </w:rPr>
            </w:pPr>
            <w:r>
              <w:rPr>
                <w:rFonts w:hint="eastAsia"/>
                <w:color w:val="auto"/>
                <w:lang w:val="en-US" w:eastAsia="zh-CN"/>
              </w:rPr>
              <w:t>M——汽车卸料量。</w:t>
            </w:r>
          </w:p>
          <w:p w14:paraId="6D3496A3">
            <w:pPr>
              <w:bidi w:val="0"/>
              <w:rPr>
                <w:rFonts w:hint="eastAsia"/>
                <w:color w:val="auto"/>
                <w:lang w:val="en-US" w:eastAsia="zh-CN"/>
              </w:rPr>
            </w:pPr>
            <w:r>
              <w:rPr>
                <w:rFonts w:hint="eastAsia"/>
                <w:color w:val="auto"/>
                <w:lang w:val="en-US" w:eastAsia="zh-CN"/>
              </w:rPr>
              <w:t>根据上式可知，卸料过程中粉尘产生量为0.0949t/a（0.0395kg/h），无组织排放。项目堆场已采取以下措施降低扬尘：</w:t>
            </w:r>
          </w:p>
          <w:p w14:paraId="0FB30FB7">
            <w:pPr>
              <w:bidi w:val="0"/>
              <w:rPr>
                <w:rFonts w:hint="eastAsia"/>
                <w:color w:val="auto"/>
                <w:lang w:val="en-US" w:eastAsia="zh-CN"/>
              </w:rPr>
            </w:pPr>
            <w:r>
              <w:rPr>
                <w:rFonts w:hint="eastAsia"/>
                <w:color w:val="auto"/>
                <w:lang w:val="en-US" w:eastAsia="zh-CN"/>
              </w:rPr>
              <w:t>①堆场设置三面围挡，围挡高度高于堆场高度；</w:t>
            </w:r>
          </w:p>
          <w:p w14:paraId="3090B508">
            <w:pPr>
              <w:bidi w:val="0"/>
              <w:rPr>
                <w:rFonts w:hint="eastAsia"/>
                <w:color w:val="auto"/>
                <w:lang w:val="en-US" w:eastAsia="zh-CN"/>
              </w:rPr>
            </w:pPr>
            <w:r>
              <w:rPr>
                <w:rFonts w:hint="eastAsia"/>
                <w:color w:val="auto"/>
                <w:lang w:val="en-US" w:eastAsia="zh-CN"/>
              </w:rPr>
              <w:t>②设置喷淋降尘，进行湿法抑尘；</w:t>
            </w:r>
          </w:p>
          <w:p w14:paraId="680793D9">
            <w:pPr>
              <w:bidi w:val="0"/>
              <w:rPr>
                <w:rFonts w:hint="eastAsia"/>
                <w:color w:val="auto"/>
                <w:lang w:val="en-US" w:eastAsia="zh-CN"/>
              </w:rPr>
            </w:pPr>
            <w:r>
              <w:rPr>
                <w:rFonts w:hint="eastAsia"/>
                <w:color w:val="auto"/>
                <w:lang w:val="en-US" w:eastAsia="zh-CN"/>
              </w:rPr>
              <w:t>③加盖棚罩并在堆场硬化，减少扬尘产生。</w:t>
            </w:r>
          </w:p>
          <w:p w14:paraId="5046ABFF">
            <w:pPr>
              <w:bidi w:val="0"/>
              <w:rPr>
                <w:rFonts w:hint="eastAsia"/>
                <w:color w:val="auto"/>
                <w:lang w:val="en-US" w:eastAsia="zh-CN"/>
              </w:rPr>
            </w:pPr>
            <w:r>
              <w:rPr>
                <w:rFonts w:hint="eastAsia"/>
                <w:color w:val="auto"/>
                <w:lang w:val="en-US" w:eastAsia="zh-CN"/>
              </w:rPr>
              <w:t>在采取以上措施后，物料装卸扬尘可以降低50%，则物料装卸粉尘排放量合计为0.0474t/a（0.0198kg/h）。</w:t>
            </w:r>
          </w:p>
          <w:p w14:paraId="07DC61BD">
            <w:pPr>
              <w:bidi w:val="0"/>
              <w:rPr>
                <w:rFonts w:hint="default"/>
                <w:color w:val="auto"/>
                <w:lang w:val="en-US" w:eastAsia="zh-CN"/>
              </w:rPr>
            </w:pPr>
            <w:r>
              <w:rPr>
                <w:rFonts w:hint="eastAsia"/>
                <w:color w:val="auto"/>
                <w:lang w:val="en-US" w:eastAsia="zh-CN"/>
              </w:rPr>
              <w:t>（2）堆场扬尘</w:t>
            </w:r>
          </w:p>
          <w:p w14:paraId="2DEE0777">
            <w:pPr>
              <w:bidi w:val="0"/>
              <w:rPr>
                <w:rFonts w:hint="eastAsia"/>
                <w:color w:val="auto"/>
                <w:lang w:val="en-US" w:eastAsia="zh-CN"/>
              </w:rPr>
            </w:pPr>
            <w:r>
              <w:rPr>
                <w:rFonts w:hint="eastAsia"/>
                <w:color w:val="auto"/>
                <w:lang w:val="en-US" w:eastAsia="zh-CN"/>
              </w:rPr>
              <w:t>根据同类项目建设经验，堆场扬尘可分为风力扬尘以及动力扬尘两种，主要以风力扬尘为主，本次评价主要分析风力扬尘量。项目堆场扬尘产生量采取西安冶金建筑学院的对扬尘计算公式估算：</w:t>
            </w:r>
          </w:p>
          <w:p w14:paraId="51CB1E5D">
            <w:pPr>
              <w:pStyle w:val="17"/>
              <w:bidi w:val="0"/>
              <w:rPr>
                <w:rFonts w:hint="default"/>
                <w:color w:val="auto"/>
                <w:lang w:val="en-US" w:eastAsia="zh-CN"/>
              </w:rPr>
            </w:pPr>
            <w:r>
              <w:rPr>
                <w:rFonts w:hint="default"/>
                <w:color w:val="auto"/>
                <w:position w:val="-10"/>
                <w:lang w:val="en-US" w:eastAsia="zh-CN"/>
              </w:rPr>
              <w:object>
                <v:shape id="_x0000_i1041" o:spt="75" type="#_x0000_t75" style="height:18pt;width:100pt;" o:ole="t" filled="f" o:preferrelative="t" stroked="f" coordsize="21600,21600">
                  <v:path/>
                  <v:fill on="f" focussize="0,0"/>
                  <v:stroke on="f"/>
                  <v:imagedata r:id="rId30" o:title=""/>
                  <o:lock v:ext="edit" aspectratio="t"/>
                  <w10:wrap type="none"/>
                  <w10:anchorlock/>
                </v:shape>
                <o:OLEObject Type="Embed" ProgID="Equation.KSEE3" ShapeID="_x0000_i1041" DrawAspect="Content" ObjectID="_1468075741" r:id="rId42">
                  <o:LockedField>false</o:LockedField>
                </o:OLEObject>
              </w:object>
            </w:r>
          </w:p>
          <w:p w14:paraId="3A46A590">
            <w:pPr>
              <w:bidi w:val="0"/>
              <w:rPr>
                <w:rFonts w:hint="eastAsia"/>
                <w:color w:val="auto"/>
                <w:lang w:val="en-US" w:eastAsia="zh-CN"/>
              </w:rPr>
            </w:pPr>
            <w:r>
              <w:rPr>
                <w:rFonts w:hint="eastAsia"/>
                <w:color w:val="auto"/>
                <w:lang w:val="en-US" w:eastAsia="zh-CN"/>
              </w:rPr>
              <w:t>式中：Q——扬尘量，mg/s；</w:t>
            </w:r>
          </w:p>
          <w:p w14:paraId="465D064C">
            <w:pPr>
              <w:keepNext w:val="0"/>
              <w:keepLines w:val="0"/>
              <w:pageBreakBefore w:val="0"/>
              <w:widowControl w:val="0"/>
              <w:kinsoku/>
              <w:wordWrap/>
              <w:overflowPunct/>
              <w:topLinePunct w:val="0"/>
              <w:autoSpaceDE/>
              <w:autoSpaceDN/>
              <w:bidi w:val="0"/>
              <w:adjustRightInd w:val="0"/>
              <w:snapToGrid w:val="0"/>
              <w:ind w:firstLine="1200" w:firstLineChars="500"/>
              <w:textAlignment w:val="auto"/>
              <w:rPr>
                <w:rFonts w:hint="default"/>
                <w:color w:val="auto"/>
                <w:lang w:val="en-US" w:eastAsia="zh-CN"/>
              </w:rPr>
            </w:pPr>
            <w:r>
              <w:rPr>
                <w:rFonts w:hint="eastAsia"/>
                <w:color w:val="auto"/>
                <w:lang w:val="en-US" w:eastAsia="zh-CN"/>
              </w:rPr>
              <w:t>S——起尘面积，m</w:t>
            </w:r>
            <w:r>
              <w:rPr>
                <w:rFonts w:hint="eastAsia"/>
                <w:color w:val="auto"/>
                <w:vertAlign w:val="superscript"/>
                <w:lang w:val="en-US" w:eastAsia="zh-CN"/>
              </w:rPr>
              <w:t>2</w:t>
            </w:r>
            <w:r>
              <w:rPr>
                <w:rFonts w:hint="eastAsia"/>
                <w:color w:val="auto"/>
                <w:lang w:val="en-US" w:eastAsia="zh-CN"/>
              </w:rPr>
              <w:t>，项目建成后原料堆场1#1050m</w:t>
            </w:r>
            <w:r>
              <w:rPr>
                <w:rFonts w:hint="eastAsia"/>
                <w:color w:val="auto"/>
                <w:vertAlign w:val="superscript"/>
                <w:lang w:val="en-US" w:eastAsia="zh-CN"/>
              </w:rPr>
              <w:t>2</w:t>
            </w:r>
            <w:r>
              <w:rPr>
                <w:rFonts w:hint="eastAsia"/>
                <w:color w:val="auto"/>
                <w:vertAlign w:val="baseline"/>
                <w:lang w:val="en-US" w:eastAsia="zh-CN"/>
              </w:rPr>
              <w:t>，</w:t>
            </w:r>
            <w:r>
              <w:rPr>
                <w:rFonts w:hint="eastAsia"/>
                <w:color w:val="auto"/>
                <w:lang w:val="en-US" w:eastAsia="zh-CN"/>
              </w:rPr>
              <w:t>产品堆场1200m</w:t>
            </w:r>
            <w:r>
              <w:rPr>
                <w:rFonts w:hint="eastAsia"/>
                <w:color w:val="auto"/>
                <w:vertAlign w:val="superscript"/>
                <w:lang w:val="en-US" w:eastAsia="zh-CN"/>
              </w:rPr>
              <w:t>2</w:t>
            </w:r>
            <w:r>
              <w:rPr>
                <w:rFonts w:hint="eastAsia"/>
                <w:color w:val="auto"/>
                <w:vertAlign w:val="baseline"/>
                <w:lang w:val="en-US" w:eastAsia="zh-CN"/>
              </w:rPr>
              <w:t>，原料堆场2#400m</w:t>
            </w:r>
            <w:r>
              <w:rPr>
                <w:rFonts w:hint="eastAsia"/>
                <w:color w:val="auto"/>
                <w:vertAlign w:val="superscript"/>
                <w:lang w:val="en-US" w:eastAsia="zh-CN"/>
              </w:rPr>
              <w:t>2</w:t>
            </w:r>
            <w:r>
              <w:rPr>
                <w:rFonts w:hint="eastAsia"/>
                <w:color w:val="auto"/>
                <w:lang w:val="en-US" w:eastAsia="zh-CN"/>
              </w:rPr>
              <w:t>；</w:t>
            </w:r>
          </w:p>
          <w:p w14:paraId="3452CDFA">
            <w:pPr>
              <w:keepNext w:val="0"/>
              <w:keepLines w:val="0"/>
              <w:pageBreakBefore w:val="0"/>
              <w:widowControl w:val="0"/>
              <w:kinsoku/>
              <w:wordWrap/>
              <w:overflowPunct/>
              <w:topLinePunct w:val="0"/>
              <w:autoSpaceDE/>
              <w:autoSpaceDN/>
              <w:bidi w:val="0"/>
              <w:adjustRightInd w:val="0"/>
              <w:snapToGrid w:val="0"/>
              <w:ind w:firstLine="1200" w:firstLineChars="500"/>
              <w:textAlignment w:val="auto"/>
              <w:rPr>
                <w:rFonts w:hint="eastAsia"/>
                <w:color w:val="auto"/>
                <w:lang w:val="en-US" w:eastAsia="zh-CN"/>
              </w:rPr>
            </w:pPr>
            <w:r>
              <w:rPr>
                <w:rFonts w:hint="eastAsia"/>
                <w:color w:val="auto"/>
                <w:lang w:val="en-US" w:eastAsia="zh-CN"/>
              </w:rPr>
              <w:t>V——平均风速，m/s，湖南省累年平均风速平均值取1.63m/s。</w:t>
            </w:r>
          </w:p>
          <w:p w14:paraId="4AC5AC31">
            <w:pPr>
              <w:bidi w:val="0"/>
              <w:rPr>
                <w:rFonts w:hint="eastAsia"/>
                <w:color w:val="auto"/>
                <w:lang w:val="en-US" w:eastAsia="zh-CN"/>
              </w:rPr>
            </w:pPr>
            <w:r>
              <w:rPr>
                <w:rFonts w:hint="eastAsia"/>
                <w:color w:val="auto"/>
                <w:lang w:val="en-US" w:eastAsia="zh-CN"/>
              </w:rPr>
              <w:t>根据上式可知，项目堆场扬尘量为12.283mg/s（0.3874t/a），无组织排放。项目堆场已采取以下措施降低扬尘：</w:t>
            </w:r>
          </w:p>
          <w:p w14:paraId="3D9B0912">
            <w:pPr>
              <w:bidi w:val="0"/>
              <w:rPr>
                <w:rFonts w:hint="eastAsia"/>
                <w:color w:val="auto"/>
                <w:lang w:val="en-US" w:eastAsia="zh-CN"/>
              </w:rPr>
            </w:pPr>
            <w:r>
              <w:rPr>
                <w:rFonts w:hint="eastAsia"/>
                <w:color w:val="auto"/>
                <w:lang w:val="en-US" w:eastAsia="zh-CN"/>
              </w:rPr>
              <w:t>①堆场设置三面围挡，围挡高度高于堆场高度；</w:t>
            </w:r>
          </w:p>
          <w:p w14:paraId="76EC1808">
            <w:pPr>
              <w:bidi w:val="0"/>
              <w:rPr>
                <w:rFonts w:hint="eastAsia"/>
                <w:color w:val="auto"/>
                <w:lang w:val="en-US" w:eastAsia="zh-CN"/>
              </w:rPr>
            </w:pPr>
            <w:r>
              <w:rPr>
                <w:rFonts w:hint="eastAsia"/>
                <w:color w:val="auto"/>
                <w:lang w:val="en-US" w:eastAsia="zh-CN"/>
              </w:rPr>
              <w:t>②设置喷淋降尘，进行湿法抑尘；</w:t>
            </w:r>
          </w:p>
          <w:p w14:paraId="2B4116D0">
            <w:pPr>
              <w:bidi w:val="0"/>
              <w:rPr>
                <w:rFonts w:hint="eastAsia"/>
                <w:color w:val="auto"/>
                <w:lang w:val="en-US" w:eastAsia="zh-CN"/>
              </w:rPr>
            </w:pPr>
            <w:r>
              <w:rPr>
                <w:rFonts w:hint="eastAsia"/>
                <w:color w:val="auto"/>
                <w:lang w:val="en-US" w:eastAsia="zh-CN"/>
              </w:rPr>
              <w:t>③加盖棚罩并在堆场硬化，减少扬尘产生。</w:t>
            </w:r>
          </w:p>
          <w:p w14:paraId="3A0B1CFE">
            <w:pPr>
              <w:bidi w:val="0"/>
              <w:rPr>
                <w:rFonts w:hint="eastAsia"/>
                <w:color w:val="auto"/>
                <w:lang w:val="en-US" w:eastAsia="zh-CN"/>
              </w:rPr>
            </w:pPr>
            <w:r>
              <w:rPr>
                <w:rFonts w:hint="eastAsia"/>
                <w:color w:val="auto"/>
                <w:lang w:val="en-US" w:eastAsia="zh-CN"/>
              </w:rPr>
              <w:t>在采取以上措施后，堆场扬尘可以降低50%，则项目堆场扬尘排放量为0.1937t/a（0.02211kg/h）。</w:t>
            </w:r>
          </w:p>
          <w:p w14:paraId="35D513E9">
            <w:pPr>
              <w:bidi w:val="0"/>
              <w:rPr>
                <w:rFonts w:hint="eastAsia"/>
                <w:color w:val="auto"/>
                <w:lang w:val="en-US" w:eastAsia="zh-CN"/>
              </w:rPr>
            </w:pPr>
            <w:r>
              <w:rPr>
                <w:rFonts w:hint="eastAsia"/>
                <w:color w:val="auto"/>
                <w:lang w:val="en-US" w:eastAsia="zh-CN"/>
              </w:rPr>
              <w:t>（3）破碎、筛分粉尘</w:t>
            </w:r>
          </w:p>
          <w:p w14:paraId="1383F671">
            <w:pPr>
              <w:bidi w:val="0"/>
              <w:rPr>
                <w:rFonts w:hint="default"/>
                <w:color w:val="auto"/>
                <w:lang w:val="en-US" w:eastAsia="zh-CN"/>
              </w:rPr>
            </w:pPr>
            <w:r>
              <w:rPr>
                <w:rFonts w:hint="eastAsia"/>
                <w:color w:val="auto"/>
                <w:lang w:val="en-US" w:eastAsia="zh-CN"/>
              </w:rPr>
              <w:t>本项目在破碎、筛分工序过程中会产生粉尘。项目共设有1条破碎生产线，参照《逸散性工业粉尘控制技术》等资料，二级破碎筛分粉尘产污系数为0.75kg/t（破碎料）。项目建成后年最大处理建筑垃圾、装修垃圾和一般工业固体废物24万t/a，则二级破碎筛分粉尘产生量为180t/a。</w:t>
            </w:r>
          </w:p>
          <w:p w14:paraId="1CE0914D">
            <w:pPr>
              <w:bidi w:val="0"/>
              <w:rPr>
                <w:rFonts w:hint="eastAsia"/>
                <w:color w:val="auto"/>
                <w:lang w:val="en-US" w:eastAsia="zh-CN"/>
              </w:rPr>
            </w:pPr>
            <w:r>
              <w:rPr>
                <w:rFonts w:hint="eastAsia"/>
                <w:color w:val="auto"/>
                <w:lang w:val="en-US" w:eastAsia="zh-CN"/>
              </w:rPr>
              <w:t>为了控制粉尘的无组织排放，项目针对皮带装载点均进行密闭，在破碎区域设置环保除尘雾炮对集气罩未收集的外溢无组织粉尘进行抑尘；项目破碎、筛分工序设有旋风除尘器和脉冲布袋除尘器对产生的粉尘进行处理，风机风量均为3000m</w:t>
            </w:r>
            <w:r>
              <w:rPr>
                <w:rFonts w:hint="eastAsia"/>
                <w:color w:val="auto"/>
                <w:vertAlign w:val="superscript"/>
                <w:lang w:val="en-US" w:eastAsia="zh-CN"/>
              </w:rPr>
              <w:t>3</w:t>
            </w:r>
            <w:r>
              <w:rPr>
                <w:rFonts w:hint="eastAsia"/>
                <w:color w:val="auto"/>
                <w:lang w:val="en-US" w:eastAsia="zh-CN"/>
              </w:rPr>
              <w:t>/h；在引风机的负压作用下，经集气罩收集（收集效率按90%计）、旋风除尘器（治理效率按65%计）、脉冲反吹袋式除尘器（治理效率按99%计）后经15m高排气筒（DA001）有组织排放。有组织排放量为0.567t/a（0.2363kg/h），风机风量合计为6000m</w:t>
            </w:r>
            <w:r>
              <w:rPr>
                <w:rFonts w:hint="eastAsia"/>
                <w:color w:val="auto"/>
                <w:vertAlign w:val="superscript"/>
                <w:lang w:val="en-US" w:eastAsia="zh-CN"/>
              </w:rPr>
              <w:t>3</w:t>
            </w:r>
            <w:r>
              <w:rPr>
                <w:rFonts w:hint="eastAsia"/>
                <w:color w:val="auto"/>
                <w:lang w:val="en-US" w:eastAsia="zh-CN"/>
              </w:rPr>
              <w:t>/h，则排放浓度为39.375mg/m</w:t>
            </w:r>
            <w:r>
              <w:rPr>
                <w:rFonts w:hint="eastAsia"/>
                <w:color w:val="auto"/>
                <w:vertAlign w:val="superscript"/>
                <w:lang w:val="en-US" w:eastAsia="zh-CN"/>
              </w:rPr>
              <w:t>3</w:t>
            </w:r>
            <w:r>
              <w:rPr>
                <w:rFonts w:hint="eastAsia"/>
                <w:color w:val="auto"/>
                <w:lang w:val="en-US" w:eastAsia="zh-CN"/>
              </w:rPr>
              <w:t>。未被集气罩收集的粉尘量为18t/a，经全封闭车间沉降以及环保除尘雾炮机处理（治理效率按95%计）后，无组织粉尘排放量为0.9t/a（0.375kg/h）。</w:t>
            </w:r>
          </w:p>
          <w:p w14:paraId="78E0E9B9">
            <w:pPr>
              <w:bidi w:val="0"/>
              <w:rPr>
                <w:rFonts w:hint="eastAsia"/>
                <w:color w:val="auto"/>
                <w:lang w:val="en-US" w:eastAsia="zh-CN"/>
              </w:rPr>
            </w:pPr>
            <w:r>
              <w:rPr>
                <w:rFonts w:hint="eastAsia"/>
                <w:color w:val="auto"/>
                <w:lang w:val="en-US" w:eastAsia="zh-CN"/>
              </w:rPr>
              <w:t>（4）投料粉尘</w:t>
            </w:r>
          </w:p>
          <w:p w14:paraId="0C8C5AA0">
            <w:pPr>
              <w:bidi w:val="0"/>
              <w:rPr>
                <w:rFonts w:hint="default"/>
                <w:color w:val="auto"/>
                <w:lang w:val="en-US" w:eastAsia="zh-CN"/>
              </w:rPr>
            </w:pPr>
            <w:r>
              <w:rPr>
                <w:rFonts w:hint="eastAsia"/>
                <w:color w:val="auto"/>
                <w:lang w:val="en-US" w:eastAsia="zh-CN"/>
              </w:rPr>
              <w:t>本项目制砖和水稳砂生产线在骨料、粉料投加时会产生一定量的投料粉尘，本项目投料粉尘产生系数参考《逸散性工业粉尘控制技术》中的投料粉尘排放因子产生系数0.0006kg/t，项目建成后预计年产砖3.675万t/a，水稳砂14.7万t/a，则投料粉尘产生量为0.1103t/a（0.0459kg/h），经洒水降尘后可抑尘50%，无组织排放量为0.0551t/a（0.023kg/h）。</w:t>
            </w:r>
          </w:p>
          <w:p w14:paraId="68650BEB">
            <w:pPr>
              <w:bidi w:val="0"/>
              <w:rPr>
                <w:rFonts w:hint="eastAsia"/>
                <w:color w:val="auto"/>
                <w:lang w:val="en-US" w:eastAsia="zh-CN"/>
              </w:rPr>
            </w:pPr>
            <w:r>
              <w:rPr>
                <w:rFonts w:hint="eastAsia"/>
                <w:color w:val="auto"/>
                <w:lang w:val="en-US" w:eastAsia="zh-CN"/>
              </w:rPr>
              <w:t>（5）输送粉尘</w:t>
            </w:r>
          </w:p>
          <w:p w14:paraId="55522C9E">
            <w:pPr>
              <w:bidi w:val="0"/>
              <w:rPr>
                <w:rFonts w:hint="eastAsia"/>
                <w:color w:val="auto"/>
                <w:lang w:val="en-US" w:eastAsia="zh-CN"/>
              </w:rPr>
            </w:pPr>
            <w:r>
              <w:rPr>
                <w:rFonts w:hint="eastAsia"/>
                <w:color w:val="auto"/>
                <w:lang w:val="en-US" w:eastAsia="zh-CN"/>
              </w:rPr>
              <w:t>原料破碎筛分过程中在各个工段转运通过输送带完成，输送过程中会产生少量扬尘。</w:t>
            </w:r>
          </w:p>
          <w:p w14:paraId="0BD05BC9">
            <w:pPr>
              <w:bidi w:val="0"/>
              <w:rPr>
                <w:rFonts w:hint="eastAsia"/>
                <w:color w:val="auto"/>
                <w:lang w:val="en-US" w:eastAsia="zh-CN"/>
              </w:rPr>
            </w:pPr>
            <w:r>
              <w:rPr>
                <w:rFonts w:hint="eastAsia"/>
                <w:color w:val="auto"/>
                <w:lang w:val="en-US" w:eastAsia="zh-CN"/>
              </w:rPr>
              <w:t>输送过程为平稳输送，项目采用密封廊道，粉尘产生量较小。类比同类工程，并考虑到本项目采用密闭输送措施预计相比一般敞开输送工程可以有效减少输送过程中产生的粉尘，且输送产生粉尘经喷淋装置处理后无组织排放，产尘系数取0.00005%，本项目年最大处理建筑垃圾、装修垃圾和一般工业固体废物24万t/a，则输送粉尘产生量为0.12t/a（0.05kg/h），无组织排放。</w:t>
            </w:r>
          </w:p>
          <w:p w14:paraId="75679939">
            <w:pPr>
              <w:bidi w:val="0"/>
              <w:rPr>
                <w:rFonts w:hint="eastAsia"/>
                <w:color w:val="auto"/>
                <w:lang w:val="en-US" w:eastAsia="zh-CN"/>
              </w:rPr>
            </w:pPr>
            <w:r>
              <w:rPr>
                <w:rFonts w:hint="eastAsia"/>
                <w:color w:val="auto"/>
                <w:lang w:val="en-US" w:eastAsia="zh-CN"/>
              </w:rPr>
              <w:t>（6）道路扬尘</w:t>
            </w:r>
          </w:p>
          <w:p w14:paraId="311ECEA1">
            <w:pPr>
              <w:bidi w:val="0"/>
              <w:rPr>
                <w:rFonts w:hint="eastAsia"/>
                <w:color w:val="auto"/>
                <w:lang w:val="en-US" w:eastAsia="zh-CN"/>
              </w:rPr>
            </w:pPr>
            <w:r>
              <w:rPr>
                <w:rFonts w:hint="eastAsia"/>
                <w:color w:val="auto"/>
                <w:lang w:val="en-US" w:eastAsia="zh-CN"/>
              </w:rPr>
              <w:t>项目产品及原料厂区内的运输过程由于外力会产生运输扬尘。根据相关文献资料，车辆行驶产生的扬尘量占总扬尘量60%以上，车辆行驶过程中产生的扬尘，在道路完全干燥的情况下，可按以下经验公式进行计算：</w:t>
            </w:r>
          </w:p>
          <w:p w14:paraId="1D826BA3">
            <w:pPr>
              <w:pStyle w:val="17"/>
              <w:bidi w:val="0"/>
              <w:rPr>
                <w:rFonts w:hint="default"/>
                <w:color w:val="auto"/>
                <w:lang w:val="en-US" w:eastAsia="zh-CN"/>
              </w:rPr>
            </w:pPr>
            <w:r>
              <w:rPr>
                <w:rFonts w:hint="default"/>
                <w:color w:val="auto"/>
                <w:position w:val="-28"/>
                <w:lang w:val="en-US" w:eastAsia="zh-CN"/>
              </w:rPr>
              <w:object>
                <v:shape id="_x0000_i1042" o:spt="75" type="#_x0000_t75" style="height:37pt;width:155pt;" o:ole="t" filled="f" o:preferrelative="t" stroked="f" coordsize="21600,21600">
                  <v:path/>
                  <v:fill on="f" focussize="0,0"/>
                  <v:stroke on="f"/>
                  <v:imagedata r:id="rId32" o:title=""/>
                  <o:lock v:ext="edit" aspectratio="t"/>
                  <w10:wrap type="none"/>
                  <w10:anchorlock/>
                </v:shape>
                <o:OLEObject Type="Embed" ProgID="Equation.KSEE3" ShapeID="_x0000_i1042" DrawAspect="Content" ObjectID="_1468075742" r:id="rId43">
                  <o:LockedField>false</o:LockedField>
                </o:OLEObject>
              </w:object>
            </w:r>
          </w:p>
          <w:p w14:paraId="0A800456">
            <w:pPr>
              <w:bidi w:val="0"/>
              <w:rPr>
                <w:rFonts w:hint="eastAsia"/>
                <w:color w:val="auto"/>
                <w:lang w:val="en-US" w:eastAsia="zh-CN"/>
              </w:rPr>
            </w:pPr>
            <w:r>
              <w:rPr>
                <w:rFonts w:hint="eastAsia"/>
                <w:color w:val="auto"/>
                <w:lang w:val="en-US" w:eastAsia="zh-CN"/>
              </w:rPr>
              <w:t>式中：Q——汽车行驶时的扬尘，kg/km·辆；</w:t>
            </w:r>
          </w:p>
          <w:p w14:paraId="0462EB20">
            <w:pPr>
              <w:keepNext w:val="0"/>
              <w:keepLines w:val="0"/>
              <w:pageBreakBefore w:val="0"/>
              <w:widowControl w:val="0"/>
              <w:kinsoku/>
              <w:wordWrap/>
              <w:overflowPunct/>
              <w:topLinePunct w:val="0"/>
              <w:autoSpaceDE/>
              <w:autoSpaceDN/>
              <w:bidi w:val="0"/>
              <w:adjustRightInd w:val="0"/>
              <w:snapToGrid w:val="0"/>
              <w:ind w:firstLine="1200" w:firstLineChars="500"/>
              <w:textAlignment w:val="auto"/>
              <w:rPr>
                <w:rFonts w:hint="eastAsia"/>
                <w:color w:val="auto"/>
                <w:lang w:val="en-US" w:eastAsia="zh-CN"/>
              </w:rPr>
            </w:pPr>
            <w:r>
              <w:rPr>
                <w:rFonts w:hint="eastAsia"/>
                <w:color w:val="auto"/>
                <w:lang w:val="en-US" w:eastAsia="zh-CN"/>
              </w:rPr>
              <w:t>V——汽车速度，km/h，本次评价取10km/h；</w:t>
            </w:r>
          </w:p>
          <w:p w14:paraId="14555241">
            <w:pPr>
              <w:keepNext w:val="0"/>
              <w:keepLines w:val="0"/>
              <w:pageBreakBefore w:val="0"/>
              <w:widowControl w:val="0"/>
              <w:kinsoku/>
              <w:wordWrap/>
              <w:overflowPunct/>
              <w:topLinePunct w:val="0"/>
              <w:autoSpaceDE/>
              <w:autoSpaceDN/>
              <w:bidi w:val="0"/>
              <w:adjustRightInd w:val="0"/>
              <w:snapToGrid w:val="0"/>
              <w:ind w:firstLine="1200" w:firstLineChars="500"/>
              <w:textAlignment w:val="auto"/>
              <w:rPr>
                <w:rFonts w:hint="eastAsia"/>
                <w:color w:val="auto"/>
                <w:lang w:val="en-US" w:eastAsia="zh-CN"/>
              </w:rPr>
            </w:pPr>
            <w:r>
              <w:rPr>
                <w:rFonts w:hint="eastAsia"/>
                <w:color w:val="auto"/>
                <w:lang w:val="en-US" w:eastAsia="zh-CN"/>
              </w:rPr>
              <w:t>W——汽车载重量，t；</w:t>
            </w:r>
          </w:p>
          <w:p w14:paraId="78F0DA45">
            <w:pPr>
              <w:keepNext w:val="0"/>
              <w:keepLines w:val="0"/>
              <w:pageBreakBefore w:val="0"/>
              <w:widowControl w:val="0"/>
              <w:kinsoku/>
              <w:wordWrap/>
              <w:overflowPunct/>
              <w:topLinePunct w:val="0"/>
              <w:autoSpaceDE/>
              <w:autoSpaceDN/>
              <w:bidi w:val="0"/>
              <w:adjustRightInd w:val="0"/>
              <w:snapToGrid w:val="0"/>
              <w:ind w:firstLine="1200" w:firstLineChars="500"/>
              <w:textAlignment w:val="auto"/>
              <w:rPr>
                <w:rFonts w:hint="eastAsia"/>
                <w:color w:val="auto"/>
                <w:lang w:val="en-US" w:eastAsia="zh-CN"/>
              </w:rPr>
            </w:pPr>
            <w:r>
              <w:rPr>
                <w:rFonts w:hint="eastAsia"/>
                <w:color w:val="auto"/>
                <w:lang w:val="en-US" w:eastAsia="zh-CN"/>
              </w:rPr>
              <w:t>P——道路表面粉尘量，kg/m</w:t>
            </w:r>
            <w:r>
              <w:rPr>
                <w:rFonts w:hint="eastAsia"/>
                <w:color w:val="auto"/>
                <w:vertAlign w:val="superscript"/>
                <w:lang w:val="en-US" w:eastAsia="zh-CN"/>
              </w:rPr>
              <w:t>2</w:t>
            </w:r>
            <w:r>
              <w:rPr>
                <w:rFonts w:hint="eastAsia"/>
                <w:color w:val="auto"/>
                <w:lang w:val="en-US" w:eastAsia="zh-CN"/>
              </w:rPr>
              <w:t>。</w:t>
            </w:r>
          </w:p>
          <w:p w14:paraId="380F4B8D">
            <w:pPr>
              <w:bidi w:val="0"/>
              <w:rPr>
                <w:rFonts w:hint="eastAsia"/>
                <w:color w:val="auto"/>
                <w:lang w:val="en-US" w:eastAsia="zh-CN"/>
              </w:rPr>
            </w:pPr>
            <w:r>
              <w:rPr>
                <w:rFonts w:hint="eastAsia"/>
                <w:color w:val="auto"/>
                <w:lang w:val="en-US" w:eastAsia="zh-CN"/>
              </w:rPr>
              <w:t>项目车辆在厂区行驶距离按200米计，每年发车空、重载各15792辆·次，由于道路扬尘只在晴天时路面干燥的情况下发生，根据衡阳市气象局发布的《2022衡阳气候概况》，全市年平均雨日为135.8天，占比37.21%，则引发道路扬尘的发车空、重载约为9916辆/a。空车重约10t，重载车重约40t。以行驶速度10km/h计，在不同路面清洁度情况下的扬尘量详见表4-4。</w:t>
            </w:r>
          </w:p>
          <w:p w14:paraId="61FB22BB">
            <w:pPr>
              <w:pStyle w:val="18"/>
              <w:bidi w:val="0"/>
              <w:rPr>
                <w:rFonts w:hint="eastAsia"/>
                <w:color w:val="auto"/>
                <w:lang w:val="en-US" w:eastAsia="zh-CN"/>
              </w:rPr>
            </w:pPr>
            <w:r>
              <w:rPr>
                <w:rFonts w:hint="eastAsia"/>
                <w:color w:val="auto"/>
                <w:lang w:val="en-US" w:eastAsia="zh-CN"/>
              </w:rPr>
              <w:t>表4-4 不同路面清洁程度情况下的扬尘量统计表（单位：kg/辆·次）</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1157"/>
              <w:gridCol w:w="1157"/>
              <w:gridCol w:w="1157"/>
              <w:gridCol w:w="1158"/>
              <w:gridCol w:w="1158"/>
              <w:gridCol w:w="1158"/>
            </w:tblGrid>
            <w:tr w14:paraId="27257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96"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66FB73B">
                  <w:pPr>
                    <w:pStyle w:val="17"/>
                    <w:snapToGrid w:val="0"/>
                    <w:jc w:val="center"/>
                    <w:rPr>
                      <w:rFonts w:hint="eastAsia"/>
                      <w:color w:val="auto"/>
                      <w:vertAlign w:val="baseline"/>
                      <w:lang w:val="en-US" w:eastAsia="zh-CN"/>
                    </w:rPr>
                  </w:pPr>
                </w:p>
                <w:p w14:paraId="3E82F089">
                  <w:pPr>
                    <w:pStyle w:val="17"/>
                    <w:snapToGrid w:val="0"/>
                    <w:jc w:val="center"/>
                    <w:rPr>
                      <w:rFonts w:hint="eastAsia"/>
                      <w:color w:val="auto"/>
                      <w:vertAlign w:val="baseline"/>
                      <w:lang w:val="en-US" w:eastAsia="zh-CN"/>
                    </w:rPr>
                  </w:pPr>
                </w:p>
                <w:p w14:paraId="3C6285D3">
                  <w:pPr>
                    <w:pStyle w:val="17"/>
                    <w:snapToGrid w:val="0"/>
                    <w:jc w:val="center"/>
                    <mc:AlternateContent>
                      <mc:Choice Requires="wpsCustomData">
                        <wpsCustomData:diagonalParaType/>
                      </mc:Choice>
                    </mc:AlternateContent>
                    <w:rPr>
                      <w:rFonts w:hint="default"/>
                      <w:color w:val="auto"/>
                      <w:vertAlign w:val="baseline"/>
                      <w:lang w:val="en-US" w:eastAsia="zh-CN"/>
                    </w:rPr>
                  </w:pPr>
                  <w:r>
                    <w:rPr>
                      <w:rFonts w:hint="eastAsia"/>
                      <w:color w:val="auto"/>
                      <w:vertAlign w:val="baseline"/>
                      <w:lang w:val="en-US" w:eastAsia="zh-CN"/>
                    </w:rPr>
                    <w:t>车况</w:t>
                  </w:r>
                </w:p>
                <w:p w14:paraId="5B968DF0">
                  <w:pPr>
                    <w:pStyle w:val="17"/>
                    <w:jc w:val="center"/>
                    <w:rPr>
                      <w:rFonts w:hint="eastAsia"/>
                      <w:color w:val="auto"/>
                      <w:vertAlign w:val="baseline"/>
                      <w:lang w:val="en-US" w:eastAsia="zh-CN"/>
                    </w:rPr>
                  </w:pPr>
                </w:p>
                <w:p w14:paraId="69630990">
                  <w:pPr>
                    <w:pStyle w:val="17"/>
                    <w:jc w:val="center"/>
                    <w:rPr>
                      <w:rFonts w:hint="default"/>
                      <w:color w:val="auto"/>
                      <w:vertAlign w:val="baseline"/>
                      <w:lang w:val="en-US" w:eastAsia="zh-CN"/>
                    </w:rPr>
                  </w:pPr>
                  <w:r>
                    <w:rPr>
                      <w:rFonts w:hint="eastAsia"/>
                      <w:color w:val="auto"/>
                      <w:vertAlign w:val="baseline"/>
                      <w:lang w:val="en-US" w:eastAsia="zh-CN"/>
                    </w:rPr>
                    <w:t>路况</w:t>
                  </w:r>
                </w:p>
              </w:tc>
              <w:tc>
                <w:tcPr>
                  <w:tcW w:w="1196" w:type="dxa"/>
                  <w:vAlign w:val="center"/>
                </w:tcPr>
                <w:p w14:paraId="740CE93D">
                  <w:pPr>
                    <w:pStyle w:val="17"/>
                    <w:jc w:val="center"/>
                    <w:rPr>
                      <w:rFonts w:hint="default"/>
                      <w:color w:val="auto"/>
                      <w:vertAlign w:val="baseline"/>
                      <w:lang w:val="en-US" w:eastAsia="zh-CN"/>
                    </w:rPr>
                  </w:pPr>
                  <w:r>
                    <w:rPr>
                      <w:rFonts w:hint="eastAsia"/>
                      <w:color w:val="auto"/>
                      <w:vertAlign w:val="baseline"/>
                      <w:lang w:val="en-US" w:eastAsia="zh-CN"/>
                    </w:rPr>
                    <w:t>0.1kg/m</w:t>
                  </w:r>
                  <w:r>
                    <w:rPr>
                      <w:rFonts w:hint="eastAsia"/>
                      <w:color w:val="auto"/>
                      <w:vertAlign w:val="superscript"/>
                      <w:lang w:val="en-US" w:eastAsia="zh-CN"/>
                    </w:rPr>
                    <w:t>2</w:t>
                  </w:r>
                </w:p>
              </w:tc>
              <w:tc>
                <w:tcPr>
                  <w:tcW w:w="1196" w:type="dxa"/>
                  <w:vAlign w:val="center"/>
                </w:tcPr>
                <w:p w14:paraId="270D96E2">
                  <w:pPr>
                    <w:pStyle w:val="17"/>
                    <w:jc w:val="center"/>
                    <w:rPr>
                      <w:rFonts w:hint="default"/>
                      <w:color w:val="auto"/>
                      <w:vertAlign w:val="baseline"/>
                      <w:lang w:val="en-US" w:eastAsia="zh-CN"/>
                    </w:rPr>
                  </w:pPr>
                  <w:r>
                    <w:rPr>
                      <w:rFonts w:hint="eastAsia"/>
                      <w:color w:val="auto"/>
                      <w:vertAlign w:val="baseline"/>
                      <w:lang w:val="en-US" w:eastAsia="zh-CN"/>
                    </w:rPr>
                    <w:t>0.2kg/m</w:t>
                  </w:r>
                  <w:r>
                    <w:rPr>
                      <w:rFonts w:hint="eastAsia"/>
                      <w:color w:val="auto"/>
                      <w:vertAlign w:val="superscript"/>
                      <w:lang w:val="en-US" w:eastAsia="zh-CN"/>
                    </w:rPr>
                    <w:t>2</w:t>
                  </w:r>
                </w:p>
              </w:tc>
              <w:tc>
                <w:tcPr>
                  <w:tcW w:w="1197" w:type="dxa"/>
                  <w:vAlign w:val="center"/>
                </w:tcPr>
                <w:p w14:paraId="25B273A8">
                  <w:pPr>
                    <w:pStyle w:val="17"/>
                    <w:jc w:val="center"/>
                    <w:rPr>
                      <w:rFonts w:hint="default"/>
                      <w:color w:val="auto"/>
                      <w:vertAlign w:val="baseline"/>
                      <w:lang w:val="en-US" w:eastAsia="zh-CN"/>
                    </w:rPr>
                  </w:pPr>
                  <w:r>
                    <w:rPr>
                      <w:rFonts w:hint="eastAsia"/>
                      <w:color w:val="auto"/>
                      <w:vertAlign w:val="baseline"/>
                      <w:lang w:val="en-US" w:eastAsia="zh-CN"/>
                    </w:rPr>
                    <w:t>0.3kg/m</w:t>
                  </w:r>
                  <w:r>
                    <w:rPr>
                      <w:rFonts w:hint="eastAsia"/>
                      <w:color w:val="auto"/>
                      <w:vertAlign w:val="superscript"/>
                      <w:lang w:val="en-US" w:eastAsia="zh-CN"/>
                    </w:rPr>
                    <w:t>2</w:t>
                  </w:r>
                </w:p>
              </w:tc>
              <w:tc>
                <w:tcPr>
                  <w:tcW w:w="1198" w:type="dxa"/>
                  <w:vAlign w:val="center"/>
                </w:tcPr>
                <w:p w14:paraId="72E8DDEE">
                  <w:pPr>
                    <w:pStyle w:val="17"/>
                    <w:jc w:val="center"/>
                    <w:rPr>
                      <w:rFonts w:hint="default"/>
                      <w:color w:val="auto"/>
                      <w:vertAlign w:val="baseline"/>
                      <w:lang w:val="en-US" w:eastAsia="zh-CN"/>
                    </w:rPr>
                  </w:pPr>
                  <w:r>
                    <w:rPr>
                      <w:rFonts w:hint="eastAsia"/>
                      <w:color w:val="auto"/>
                      <w:vertAlign w:val="baseline"/>
                      <w:lang w:val="en-US" w:eastAsia="zh-CN"/>
                    </w:rPr>
                    <w:t>0.4kg/m</w:t>
                  </w:r>
                  <w:r>
                    <w:rPr>
                      <w:rFonts w:hint="eastAsia"/>
                      <w:color w:val="auto"/>
                      <w:vertAlign w:val="superscript"/>
                      <w:lang w:val="en-US" w:eastAsia="zh-CN"/>
                    </w:rPr>
                    <w:t>2</w:t>
                  </w:r>
                </w:p>
              </w:tc>
              <w:tc>
                <w:tcPr>
                  <w:tcW w:w="1198" w:type="dxa"/>
                  <w:vAlign w:val="center"/>
                </w:tcPr>
                <w:p w14:paraId="09338AAA">
                  <w:pPr>
                    <w:pStyle w:val="17"/>
                    <w:jc w:val="center"/>
                    <w:rPr>
                      <w:rFonts w:hint="default"/>
                      <w:color w:val="auto"/>
                      <w:vertAlign w:val="baseline"/>
                      <w:lang w:val="en-US" w:eastAsia="zh-CN"/>
                    </w:rPr>
                  </w:pPr>
                  <w:r>
                    <w:rPr>
                      <w:rFonts w:hint="eastAsia"/>
                      <w:color w:val="auto"/>
                      <w:vertAlign w:val="baseline"/>
                      <w:lang w:val="en-US" w:eastAsia="zh-CN"/>
                    </w:rPr>
                    <w:t>0.5kg/m</w:t>
                  </w:r>
                  <w:r>
                    <w:rPr>
                      <w:rFonts w:hint="eastAsia"/>
                      <w:color w:val="auto"/>
                      <w:vertAlign w:val="superscript"/>
                      <w:lang w:val="en-US" w:eastAsia="zh-CN"/>
                    </w:rPr>
                    <w:t>2</w:t>
                  </w:r>
                </w:p>
              </w:tc>
              <w:tc>
                <w:tcPr>
                  <w:tcW w:w="1198" w:type="dxa"/>
                  <w:vAlign w:val="center"/>
                </w:tcPr>
                <w:p w14:paraId="0E93F8D2">
                  <w:pPr>
                    <w:pStyle w:val="17"/>
                    <w:jc w:val="center"/>
                    <w:rPr>
                      <w:rFonts w:hint="default"/>
                      <w:color w:val="auto"/>
                      <w:vertAlign w:val="baseline"/>
                      <w:lang w:val="en-US" w:eastAsia="zh-CN"/>
                    </w:rPr>
                  </w:pPr>
                  <w:r>
                    <w:rPr>
                      <w:rFonts w:hint="eastAsia"/>
                      <w:color w:val="auto"/>
                      <w:vertAlign w:val="baseline"/>
                      <w:lang w:val="en-US" w:eastAsia="zh-CN"/>
                    </w:rPr>
                    <w:t>1.0kg/m</w:t>
                  </w:r>
                  <w:r>
                    <w:rPr>
                      <w:rFonts w:hint="eastAsia"/>
                      <w:color w:val="auto"/>
                      <w:vertAlign w:val="superscript"/>
                      <w:lang w:val="en-US" w:eastAsia="zh-CN"/>
                    </w:rPr>
                    <w:t>2</w:t>
                  </w:r>
                </w:p>
              </w:tc>
            </w:tr>
            <w:tr w14:paraId="31EED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vAlign w:val="center"/>
                </w:tcPr>
                <w:p w14:paraId="5CCDCF8D">
                  <w:pPr>
                    <w:pStyle w:val="17"/>
                    <w:jc w:val="center"/>
                    <w:rPr>
                      <w:rFonts w:hint="default"/>
                      <w:color w:val="auto"/>
                      <w:vertAlign w:val="baseline"/>
                      <w:lang w:val="en-US" w:eastAsia="zh-CN"/>
                    </w:rPr>
                  </w:pPr>
                  <w:r>
                    <w:rPr>
                      <w:rFonts w:hint="eastAsia"/>
                      <w:color w:val="auto"/>
                      <w:vertAlign w:val="baseline"/>
                      <w:lang w:val="en-US" w:eastAsia="zh-CN"/>
                    </w:rPr>
                    <w:t>空载车</w:t>
                  </w:r>
                </w:p>
              </w:tc>
              <w:tc>
                <w:tcPr>
                  <w:tcW w:w="1196" w:type="dxa"/>
                  <w:vAlign w:val="center"/>
                </w:tcPr>
                <w:p w14:paraId="0478877D">
                  <w:pPr>
                    <w:pStyle w:val="17"/>
                    <w:jc w:val="center"/>
                    <w:rPr>
                      <w:rFonts w:hint="default"/>
                      <w:color w:val="auto"/>
                      <w:vertAlign w:val="baseline"/>
                      <w:lang w:val="en-US" w:eastAsia="zh-CN"/>
                    </w:rPr>
                  </w:pPr>
                  <w:r>
                    <w:rPr>
                      <w:rFonts w:hint="eastAsia"/>
                      <w:color w:val="auto"/>
                      <w:vertAlign w:val="baseline"/>
                      <w:lang w:val="en-US" w:eastAsia="zh-CN"/>
                    </w:rPr>
                    <w:t>0.1021</w:t>
                  </w:r>
                </w:p>
              </w:tc>
              <w:tc>
                <w:tcPr>
                  <w:tcW w:w="1196" w:type="dxa"/>
                  <w:vAlign w:val="center"/>
                </w:tcPr>
                <w:p w14:paraId="14231835">
                  <w:pPr>
                    <w:pStyle w:val="17"/>
                    <w:jc w:val="center"/>
                    <w:rPr>
                      <w:rFonts w:hint="default"/>
                      <w:color w:val="auto"/>
                      <w:vertAlign w:val="baseline"/>
                      <w:lang w:val="en-US" w:eastAsia="zh-CN"/>
                    </w:rPr>
                  </w:pPr>
                  <w:r>
                    <w:rPr>
                      <w:rFonts w:hint="eastAsia"/>
                      <w:color w:val="auto"/>
                      <w:vertAlign w:val="baseline"/>
                      <w:lang w:val="en-US" w:eastAsia="zh-CN"/>
                    </w:rPr>
                    <w:t>0.1717</w:t>
                  </w:r>
                </w:p>
              </w:tc>
              <w:tc>
                <w:tcPr>
                  <w:tcW w:w="1197" w:type="dxa"/>
                  <w:vAlign w:val="center"/>
                </w:tcPr>
                <w:p w14:paraId="6A7E1029">
                  <w:pPr>
                    <w:pStyle w:val="17"/>
                    <w:jc w:val="center"/>
                    <w:rPr>
                      <w:rFonts w:hint="default"/>
                      <w:color w:val="auto"/>
                      <w:vertAlign w:val="baseline"/>
                      <w:lang w:val="en-US" w:eastAsia="zh-CN"/>
                    </w:rPr>
                  </w:pPr>
                  <w:r>
                    <w:rPr>
                      <w:rFonts w:hint="eastAsia"/>
                      <w:color w:val="auto"/>
                      <w:vertAlign w:val="baseline"/>
                      <w:lang w:val="en-US" w:eastAsia="zh-CN"/>
                    </w:rPr>
                    <w:t>0.2328</w:t>
                  </w:r>
                </w:p>
              </w:tc>
              <w:tc>
                <w:tcPr>
                  <w:tcW w:w="1198" w:type="dxa"/>
                  <w:vAlign w:val="center"/>
                </w:tcPr>
                <w:p w14:paraId="3E7C9DB5">
                  <w:pPr>
                    <w:pStyle w:val="17"/>
                    <w:jc w:val="center"/>
                    <w:rPr>
                      <w:rFonts w:hint="default"/>
                      <w:color w:val="auto"/>
                      <w:vertAlign w:val="baseline"/>
                      <w:lang w:val="en-US" w:eastAsia="zh-CN"/>
                    </w:rPr>
                  </w:pPr>
                  <w:r>
                    <w:rPr>
                      <w:rFonts w:hint="eastAsia"/>
                      <w:color w:val="auto"/>
                      <w:vertAlign w:val="baseline"/>
                      <w:lang w:val="en-US" w:eastAsia="zh-CN"/>
                    </w:rPr>
                    <w:t>0.2888</w:t>
                  </w:r>
                </w:p>
              </w:tc>
              <w:tc>
                <w:tcPr>
                  <w:tcW w:w="1198" w:type="dxa"/>
                  <w:vAlign w:val="center"/>
                </w:tcPr>
                <w:p w14:paraId="047F76D6">
                  <w:pPr>
                    <w:pStyle w:val="17"/>
                    <w:jc w:val="center"/>
                    <w:rPr>
                      <w:rFonts w:hint="default"/>
                      <w:color w:val="auto"/>
                      <w:vertAlign w:val="baseline"/>
                      <w:lang w:val="en-US" w:eastAsia="zh-CN"/>
                    </w:rPr>
                  </w:pPr>
                  <w:r>
                    <w:rPr>
                      <w:rFonts w:hint="eastAsia"/>
                      <w:color w:val="auto"/>
                      <w:vertAlign w:val="baseline"/>
                      <w:lang w:val="en-US" w:eastAsia="zh-CN"/>
                    </w:rPr>
                    <w:t>0.3414</w:t>
                  </w:r>
                </w:p>
              </w:tc>
              <w:tc>
                <w:tcPr>
                  <w:tcW w:w="1198" w:type="dxa"/>
                  <w:vAlign w:val="center"/>
                </w:tcPr>
                <w:p w14:paraId="3C390108">
                  <w:pPr>
                    <w:pStyle w:val="17"/>
                    <w:jc w:val="center"/>
                    <w:rPr>
                      <w:rFonts w:hint="default"/>
                      <w:color w:val="auto"/>
                      <w:vertAlign w:val="baseline"/>
                      <w:lang w:val="en-US" w:eastAsia="zh-CN"/>
                    </w:rPr>
                  </w:pPr>
                  <w:r>
                    <w:rPr>
                      <w:rFonts w:hint="eastAsia"/>
                      <w:color w:val="auto"/>
                      <w:vertAlign w:val="baseline"/>
                      <w:lang w:val="en-US" w:eastAsia="zh-CN"/>
                    </w:rPr>
                    <w:t>0.5742</w:t>
                  </w:r>
                </w:p>
              </w:tc>
            </w:tr>
            <w:tr w14:paraId="776A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vAlign w:val="center"/>
                </w:tcPr>
                <w:p w14:paraId="49C6AA26">
                  <w:pPr>
                    <w:pStyle w:val="17"/>
                    <w:jc w:val="center"/>
                    <w:rPr>
                      <w:rFonts w:hint="default"/>
                      <w:color w:val="auto"/>
                      <w:vertAlign w:val="baseline"/>
                      <w:lang w:val="en-US" w:eastAsia="zh-CN"/>
                    </w:rPr>
                  </w:pPr>
                  <w:r>
                    <w:rPr>
                      <w:rFonts w:hint="eastAsia"/>
                      <w:color w:val="auto"/>
                      <w:vertAlign w:val="baseline"/>
                      <w:lang w:val="en-US" w:eastAsia="zh-CN"/>
                    </w:rPr>
                    <w:t>重载车</w:t>
                  </w:r>
                </w:p>
              </w:tc>
              <w:tc>
                <w:tcPr>
                  <w:tcW w:w="1196" w:type="dxa"/>
                  <w:vAlign w:val="center"/>
                </w:tcPr>
                <w:p w14:paraId="39BC023C">
                  <w:pPr>
                    <w:pStyle w:val="17"/>
                    <w:jc w:val="center"/>
                    <w:rPr>
                      <w:rFonts w:hint="default"/>
                      <w:color w:val="auto"/>
                      <w:vertAlign w:val="baseline"/>
                      <w:lang w:val="en-US" w:eastAsia="zh-CN"/>
                    </w:rPr>
                  </w:pPr>
                  <w:r>
                    <w:rPr>
                      <w:rFonts w:hint="eastAsia"/>
                      <w:color w:val="auto"/>
                      <w:vertAlign w:val="baseline"/>
                      <w:lang w:val="en-US" w:eastAsia="zh-CN"/>
                    </w:rPr>
                    <w:t>0.3318</w:t>
                  </w:r>
                </w:p>
              </w:tc>
              <w:tc>
                <w:tcPr>
                  <w:tcW w:w="1196" w:type="dxa"/>
                  <w:vAlign w:val="center"/>
                </w:tcPr>
                <w:p w14:paraId="0AF9A7C8">
                  <w:pPr>
                    <w:pStyle w:val="17"/>
                    <w:jc w:val="center"/>
                    <w:rPr>
                      <w:rFonts w:hint="default"/>
                      <w:color w:val="auto"/>
                      <w:vertAlign w:val="baseline"/>
                      <w:lang w:val="en-US" w:eastAsia="zh-CN"/>
                    </w:rPr>
                  </w:pPr>
                  <w:r>
                    <w:rPr>
                      <w:rFonts w:hint="eastAsia"/>
                      <w:color w:val="auto"/>
                      <w:vertAlign w:val="baseline"/>
                      <w:lang w:val="en-US" w:eastAsia="zh-CN"/>
                    </w:rPr>
                    <w:t>0.5580</w:t>
                  </w:r>
                </w:p>
              </w:tc>
              <w:tc>
                <w:tcPr>
                  <w:tcW w:w="1197" w:type="dxa"/>
                  <w:vAlign w:val="center"/>
                </w:tcPr>
                <w:p w14:paraId="07346F50">
                  <w:pPr>
                    <w:pStyle w:val="17"/>
                    <w:jc w:val="center"/>
                    <w:rPr>
                      <w:rFonts w:hint="default"/>
                      <w:color w:val="auto"/>
                      <w:vertAlign w:val="baseline"/>
                      <w:lang w:val="en-US" w:eastAsia="zh-CN"/>
                    </w:rPr>
                  </w:pPr>
                  <w:r>
                    <w:rPr>
                      <w:rFonts w:hint="eastAsia"/>
                      <w:color w:val="auto"/>
                      <w:vertAlign w:val="baseline"/>
                      <w:lang w:val="en-US" w:eastAsia="zh-CN"/>
                    </w:rPr>
                    <w:t>0.7563</w:t>
                  </w:r>
                </w:p>
              </w:tc>
              <w:tc>
                <w:tcPr>
                  <w:tcW w:w="1198" w:type="dxa"/>
                  <w:vAlign w:val="center"/>
                </w:tcPr>
                <w:p w14:paraId="1DBB9F19">
                  <w:pPr>
                    <w:pStyle w:val="17"/>
                    <w:jc w:val="center"/>
                    <w:rPr>
                      <w:rFonts w:hint="default"/>
                      <w:color w:val="auto"/>
                      <w:vertAlign w:val="baseline"/>
                      <w:lang w:val="en-US" w:eastAsia="zh-CN"/>
                    </w:rPr>
                  </w:pPr>
                  <w:r>
                    <w:rPr>
                      <w:rFonts w:hint="eastAsia"/>
                      <w:color w:val="auto"/>
                      <w:vertAlign w:val="baseline"/>
                      <w:lang w:val="en-US" w:eastAsia="zh-CN"/>
                    </w:rPr>
                    <w:t>0.9384</w:t>
                  </w:r>
                </w:p>
              </w:tc>
              <w:tc>
                <w:tcPr>
                  <w:tcW w:w="1198" w:type="dxa"/>
                  <w:vAlign w:val="center"/>
                </w:tcPr>
                <w:p w14:paraId="012B722F">
                  <w:pPr>
                    <w:pStyle w:val="17"/>
                    <w:jc w:val="center"/>
                    <w:rPr>
                      <w:rFonts w:hint="default"/>
                      <w:color w:val="auto"/>
                      <w:vertAlign w:val="baseline"/>
                      <w:lang w:val="en-US" w:eastAsia="zh-CN"/>
                    </w:rPr>
                  </w:pPr>
                  <w:r>
                    <w:rPr>
                      <w:rFonts w:hint="eastAsia"/>
                      <w:color w:val="auto"/>
                      <w:vertAlign w:val="baseline"/>
                      <w:lang w:val="en-US" w:eastAsia="zh-CN"/>
                    </w:rPr>
                    <w:t>1.1093</w:t>
                  </w:r>
                </w:p>
              </w:tc>
              <w:tc>
                <w:tcPr>
                  <w:tcW w:w="1198" w:type="dxa"/>
                  <w:vAlign w:val="center"/>
                </w:tcPr>
                <w:p w14:paraId="7E457BFC">
                  <w:pPr>
                    <w:pStyle w:val="17"/>
                    <w:jc w:val="center"/>
                    <w:rPr>
                      <w:rFonts w:hint="default"/>
                      <w:color w:val="auto"/>
                      <w:vertAlign w:val="baseline"/>
                      <w:lang w:val="en-US" w:eastAsia="zh-CN"/>
                    </w:rPr>
                  </w:pPr>
                  <w:r>
                    <w:rPr>
                      <w:rFonts w:hint="eastAsia"/>
                      <w:color w:val="auto"/>
                      <w:vertAlign w:val="baseline"/>
                      <w:lang w:val="en-US" w:eastAsia="zh-CN"/>
                    </w:rPr>
                    <w:t>1.8656</w:t>
                  </w:r>
                </w:p>
              </w:tc>
            </w:tr>
            <w:tr w14:paraId="207FA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vAlign w:val="center"/>
                </w:tcPr>
                <w:p w14:paraId="5092E13E">
                  <w:pPr>
                    <w:pStyle w:val="17"/>
                    <w:jc w:val="center"/>
                    <w:rPr>
                      <w:rFonts w:hint="default"/>
                      <w:color w:val="auto"/>
                      <w:vertAlign w:val="baseline"/>
                      <w:lang w:val="en-US" w:eastAsia="zh-CN"/>
                    </w:rPr>
                  </w:pPr>
                  <w:r>
                    <w:rPr>
                      <w:rFonts w:hint="eastAsia"/>
                      <w:color w:val="auto"/>
                      <w:vertAlign w:val="baseline"/>
                      <w:lang w:val="en-US" w:eastAsia="zh-CN"/>
                    </w:rPr>
                    <w:t>合计</w:t>
                  </w:r>
                </w:p>
              </w:tc>
              <w:tc>
                <w:tcPr>
                  <w:tcW w:w="1196" w:type="dxa"/>
                  <w:vAlign w:val="center"/>
                </w:tcPr>
                <w:p w14:paraId="24312236">
                  <w:pPr>
                    <w:pStyle w:val="17"/>
                    <w:jc w:val="center"/>
                    <w:rPr>
                      <w:rFonts w:hint="default"/>
                      <w:color w:val="auto"/>
                      <w:vertAlign w:val="baseline"/>
                      <w:lang w:val="en-US" w:eastAsia="zh-CN"/>
                    </w:rPr>
                  </w:pPr>
                  <w:r>
                    <w:rPr>
                      <w:rFonts w:hint="eastAsia"/>
                      <w:color w:val="auto"/>
                      <w:vertAlign w:val="baseline"/>
                      <w:lang w:val="en-US" w:eastAsia="zh-CN"/>
                    </w:rPr>
                    <w:t>0.4339</w:t>
                  </w:r>
                </w:p>
              </w:tc>
              <w:tc>
                <w:tcPr>
                  <w:tcW w:w="1196" w:type="dxa"/>
                  <w:vAlign w:val="center"/>
                </w:tcPr>
                <w:p w14:paraId="13A5B86E">
                  <w:pPr>
                    <w:pStyle w:val="17"/>
                    <w:jc w:val="center"/>
                    <w:rPr>
                      <w:rFonts w:hint="default"/>
                      <w:color w:val="auto"/>
                      <w:vertAlign w:val="baseline"/>
                      <w:lang w:val="en-US" w:eastAsia="zh-CN"/>
                    </w:rPr>
                  </w:pPr>
                  <w:r>
                    <w:rPr>
                      <w:rFonts w:hint="eastAsia"/>
                      <w:color w:val="auto"/>
                      <w:vertAlign w:val="baseline"/>
                      <w:lang w:val="en-US" w:eastAsia="zh-CN"/>
                    </w:rPr>
                    <w:t>0.7297</w:t>
                  </w:r>
                </w:p>
              </w:tc>
              <w:tc>
                <w:tcPr>
                  <w:tcW w:w="1197" w:type="dxa"/>
                  <w:vAlign w:val="center"/>
                </w:tcPr>
                <w:p w14:paraId="706A186B">
                  <w:pPr>
                    <w:pStyle w:val="17"/>
                    <w:jc w:val="center"/>
                    <w:rPr>
                      <w:rFonts w:hint="default"/>
                      <w:color w:val="auto"/>
                      <w:vertAlign w:val="baseline"/>
                      <w:lang w:val="en-US" w:eastAsia="zh-CN"/>
                    </w:rPr>
                  </w:pPr>
                  <w:r>
                    <w:rPr>
                      <w:rFonts w:hint="eastAsia"/>
                      <w:color w:val="auto"/>
                      <w:vertAlign w:val="baseline"/>
                      <w:lang w:val="en-US" w:eastAsia="zh-CN"/>
                    </w:rPr>
                    <w:t>0.9890</w:t>
                  </w:r>
                </w:p>
              </w:tc>
              <w:tc>
                <w:tcPr>
                  <w:tcW w:w="1198" w:type="dxa"/>
                  <w:vAlign w:val="center"/>
                </w:tcPr>
                <w:p w14:paraId="0ED4D10E">
                  <w:pPr>
                    <w:pStyle w:val="17"/>
                    <w:jc w:val="center"/>
                    <w:rPr>
                      <w:rFonts w:hint="default"/>
                      <w:color w:val="auto"/>
                      <w:vertAlign w:val="baseline"/>
                      <w:lang w:val="en-US" w:eastAsia="zh-CN"/>
                    </w:rPr>
                  </w:pPr>
                  <w:r>
                    <w:rPr>
                      <w:rFonts w:hint="eastAsia"/>
                      <w:color w:val="auto"/>
                      <w:vertAlign w:val="baseline"/>
                      <w:lang w:val="en-US" w:eastAsia="zh-CN"/>
                    </w:rPr>
                    <w:t>1.2272</w:t>
                  </w:r>
                </w:p>
              </w:tc>
              <w:tc>
                <w:tcPr>
                  <w:tcW w:w="1198" w:type="dxa"/>
                  <w:vAlign w:val="center"/>
                </w:tcPr>
                <w:p w14:paraId="4A8A2287">
                  <w:pPr>
                    <w:pStyle w:val="17"/>
                    <w:jc w:val="center"/>
                    <w:rPr>
                      <w:rFonts w:hint="default"/>
                      <w:color w:val="auto"/>
                      <w:vertAlign w:val="baseline"/>
                      <w:lang w:val="en-US" w:eastAsia="zh-CN"/>
                    </w:rPr>
                  </w:pPr>
                  <w:r>
                    <w:rPr>
                      <w:rFonts w:hint="eastAsia"/>
                      <w:color w:val="auto"/>
                      <w:vertAlign w:val="baseline"/>
                      <w:lang w:val="en-US" w:eastAsia="zh-CN"/>
                    </w:rPr>
                    <w:t>1.4507</w:t>
                  </w:r>
                </w:p>
              </w:tc>
              <w:tc>
                <w:tcPr>
                  <w:tcW w:w="1198" w:type="dxa"/>
                  <w:vAlign w:val="center"/>
                </w:tcPr>
                <w:p w14:paraId="4DAD724B">
                  <w:pPr>
                    <w:pStyle w:val="17"/>
                    <w:jc w:val="center"/>
                    <w:rPr>
                      <w:rFonts w:hint="default"/>
                      <w:color w:val="auto"/>
                      <w:vertAlign w:val="baseline"/>
                      <w:lang w:val="en-US" w:eastAsia="zh-CN"/>
                    </w:rPr>
                  </w:pPr>
                  <w:r>
                    <w:rPr>
                      <w:rFonts w:hint="eastAsia"/>
                      <w:color w:val="auto"/>
                      <w:vertAlign w:val="baseline"/>
                      <w:lang w:val="en-US" w:eastAsia="zh-CN"/>
                    </w:rPr>
                    <w:t>2.4398</w:t>
                  </w:r>
                </w:p>
              </w:tc>
            </w:tr>
          </w:tbl>
          <w:p w14:paraId="2550D6CF">
            <w:pPr>
              <w:bidi w:val="0"/>
              <w:rPr>
                <w:rFonts w:hint="eastAsia"/>
                <w:color w:val="auto"/>
                <w:vertAlign w:val="baseline"/>
                <w:lang w:val="en-US" w:eastAsia="zh-CN"/>
              </w:rPr>
            </w:pPr>
            <w:r>
              <w:rPr>
                <w:rFonts w:hint="eastAsia"/>
                <w:color w:val="auto"/>
                <w:lang w:val="en-US" w:eastAsia="zh-CN"/>
              </w:rPr>
              <w:t>由此可见，在同样车速情况下，路面越脏，则扬尘量越大。根据项目实际情况，项目对厂区内运输地面进行硬化、运输车辆篷布遮盖以及定期清洗车辆等措施。基于这种情况，本环评对道路路况以0.1</w:t>
            </w:r>
            <w:r>
              <w:rPr>
                <w:rFonts w:hint="eastAsia"/>
                <w:color w:val="auto"/>
                <w:vertAlign w:val="baseline"/>
                <w:lang w:val="en-US" w:eastAsia="zh-CN"/>
              </w:rPr>
              <w:t>kg/m</w:t>
            </w:r>
            <w:r>
              <w:rPr>
                <w:rFonts w:hint="eastAsia"/>
                <w:color w:val="auto"/>
                <w:vertAlign w:val="superscript"/>
                <w:lang w:val="en-US" w:eastAsia="zh-CN"/>
              </w:rPr>
              <w:t>2</w:t>
            </w:r>
            <w:r>
              <w:rPr>
                <w:rFonts w:hint="eastAsia"/>
                <w:color w:val="auto"/>
                <w:vertAlign w:val="baseline"/>
                <w:lang w:val="en-US" w:eastAsia="zh-CN"/>
              </w:rPr>
              <w:t>计，则项目汽车动力起尘量约为4.3026t/a。项目厂区运输道路及生产区地面全部硬化、厂区内限速、出入口设车辆清洗台、定时对厂区地面进行洒水抑尘、运输车辆篷布遮盖等，可抑尘80%，则扬尘排放量为0.8605t/a（0.2251kg/h），无组织排放。</w:t>
            </w:r>
          </w:p>
          <w:p w14:paraId="0E7C80B9">
            <w:pPr>
              <w:bidi w:val="0"/>
              <w:rPr>
                <w:rFonts w:hint="eastAsia"/>
                <w:color w:val="auto"/>
                <w:vertAlign w:val="baseline"/>
                <w:lang w:val="en-US" w:eastAsia="zh-CN"/>
              </w:rPr>
            </w:pPr>
            <w:r>
              <w:rPr>
                <w:rFonts w:hint="eastAsia"/>
                <w:color w:val="auto"/>
                <w:vertAlign w:val="baseline"/>
                <w:lang w:val="en-US" w:eastAsia="zh-CN"/>
              </w:rPr>
              <w:t>（7）搅拌粉尘</w:t>
            </w:r>
          </w:p>
          <w:p w14:paraId="57E33438">
            <w:pPr>
              <w:bidi w:val="0"/>
              <w:rPr>
                <w:rFonts w:hint="eastAsia"/>
                <w:color w:val="auto"/>
                <w:lang w:val="en-US" w:eastAsia="zh-CN"/>
              </w:rPr>
            </w:pPr>
            <w:r>
              <w:rPr>
                <w:rFonts w:hint="eastAsia"/>
                <w:color w:val="auto"/>
                <w:vertAlign w:val="baseline"/>
                <w:lang w:val="en-US" w:eastAsia="zh-CN"/>
              </w:rPr>
              <w:t>项目配料搅拌粉尘产污量参考</w:t>
            </w:r>
            <w:r>
              <w:rPr>
                <w:rFonts w:hint="eastAsia"/>
                <w:color w:val="auto"/>
                <w:lang w:val="en-US" w:eastAsia="zh-CN"/>
              </w:rPr>
              <w:t>《排放源统计调查产排污核算方法和系数手册》（生态环境部公告2021年第24号）“水泥制品制造行业系数手册”，产污系数详见表4-5。</w:t>
            </w:r>
          </w:p>
          <w:p w14:paraId="67A2485F">
            <w:pPr>
              <w:pStyle w:val="18"/>
              <w:bidi w:val="0"/>
              <w:rPr>
                <w:rFonts w:hint="eastAsia"/>
                <w:color w:val="auto"/>
                <w:lang w:val="en-US" w:eastAsia="zh-CN"/>
              </w:rPr>
            </w:pPr>
            <w:r>
              <w:rPr>
                <w:rFonts w:hint="eastAsia"/>
                <w:color w:val="auto"/>
                <w:lang w:val="en-US" w:eastAsia="zh-CN"/>
              </w:rPr>
              <w:t>表4-5 项目搅拌粉尘产污系数一览表</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5"/>
              <w:gridCol w:w="1091"/>
              <w:gridCol w:w="1109"/>
              <w:gridCol w:w="736"/>
              <w:gridCol w:w="1277"/>
              <w:gridCol w:w="1531"/>
              <w:gridCol w:w="1139"/>
            </w:tblGrid>
            <w:tr w14:paraId="0F493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vAlign w:val="center"/>
                </w:tcPr>
                <w:p w14:paraId="2D55683E">
                  <w:pPr>
                    <w:pStyle w:val="17"/>
                    <w:bidi w:val="0"/>
                    <w:rPr>
                      <w:rFonts w:hint="default"/>
                      <w:color w:val="auto"/>
                      <w:lang w:val="en-US" w:eastAsia="zh-CN"/>
                    </w:rPr>
                  </w:pPr>
                  <w:r>
                    <w:rPr>
                      <w:rFonts w:hint="eastAsia"/>
                      <w:color w:val="auto"/>
                      <w:lang w:val="en-US" w:eastAsia="zh-CN"/>
                    </w:rPr>
                    <w:t>原料名称</w:t>
                  </w:r>
                </w:p>
              </w:tc>
              <w:tc>
                <w:tcPr>
                  <w:tcW w:w="682" w:type="pct"/>
                  <w:vAlign w:val="center"/>
                </w:tcPr>
                <w:p w14:paraId="3FC7AAAA">
                  <w:pPr>
                    <w:pStyle w:val="17"/>
                    <w:bidi w:val="0"/>
                    <w:rPr>
                      <w:rFonts w:hint="default"/>
                      <w:color w:val="auto"/>
                      <w:lang w:val="en-US" w:eastAsia="zh-CN"/>
                    </w:rPr>
                  </w:pPr>
                  <w:r>
                    <w:rPr>
                      <w:rFonts w:hint="eastAsia"/>
                      <w:color w:val="auto"/>
                      <w:lang w:val="en-US" w:eastAsia="zh-CN"/>
                    </w:rPr>
                    <w:t>工艺名称</w:t>
                  </w:r>
                </w:p>
              </w:tc>
              <w:tc>
                <w:tcPr>
                  <w:tcW w:w="693" w:type="pct"/>
                  <w:vAlign w:val="center"/>
                </w:tcPr>
                <w:p w14:paraId="0B1ACBA7">
                  <w:pPr>
                    <w:pStyle w:val="17"/>
                    <w:bidi w:val="0"/>
                    <w:rPr>
                      <w:rFonts w:hint="default"/>
                      <w:color w:val="auto"/>
                      <w:lang w:val="en-US" w:eastAsia="zh-CN"/>
                    </w:rPr>
                  </w:pPr>
                  <w:r>
                    <w:rPr>
                      <w:rFonts w:hint="eastAsia"/>
                      <w:color w:val="auto"/>
                      <w:lang w:val="en-US" w:eastAsia="zh-CN"/>
                    </w:rPr>
                    <w:t>规模等级</w:t>
                  </w:r>
                </w:p>
              </w:tc>
              <w:tc>
                <w:tcPr>
                  <w:tcW w:w="1258" w:type="pct"/>
                  <w:gridSpan w:val="2"/>
                  <w:vAlign w:val="center"/>
                </w:tcPr>
                <w:p w14:paraId="4B653D59">
                  <w:pPr>
                    <w:pStyle w:val="17"/>
                    <w:bidi w:val="0"/>
                    <w:rPr>
                      <w:rFonts w:hint="default"/>
                      <w:color w:val="auto"/>
                      <w:lang w:val="en-US" w:eastAsia="zh-CN"/>
                    </w:rPr>
                  </w:pPr>
                  <w:r>
                    <w:rPr>
                      <w:rFonts w:hint="eastAsia"/>
                      <w:color w:val="auto"/>
                      <w:lang w:val="en-US" w:eastAsia="zh-CN"/>
                    </w:rPr>
                    <w:t>污染物指标</w:t>
                  </w:r>
                </w:p>
              </w:tc>
              <w:tc>
                <w:tcPr>
                  <w:tcW w:w="957" w:type="pct"/>
                  <w:vAlign w:val="center"/>
                </w:tcPr>
                <w:p w14:paraId="0707D9EB">
                  <w:pPr>
                    <w:pStyle w:val="17"/>
                    <w:bidi w:val="0"/>
                    <w:rPr>
                      <w:rFonts w:hint="default"/>
                      <w:color w:val="auto"/>
                      <w:lang w:val="en-US" w:eastAsia="zh-CN"/>
                    </w:rPr>
                  </w:pPr>
                  <w:r>
                    <w:rPr>
                      <w:rFonts w:hint="eastAsia"/>
                      <w:color w:val="auto"/>
                      <w:lang w:val="en-US" w:eastAsia="zh-CN"/>
                    </w:rPr>
                    <w:t>单位</w:t>
                  </w:r>
                </w:p>
              </w:tc>
              <w:tc>
                <w:tcPr>
                  <w:tcW w:w="712" w:type="pct"/>
                  <w:vAlign w:val="center"/>
                </w:tcPr>
                <w:p w14:paraId="13B32728">
                  <w:pPr>
                    <w:pStyle w:val="17"/>
                    <w:bidi w:val="0"/>
                    <w:rPr>
                      <w:rFonts w:hint="default"/>
                      <w:color w:val="auto"/>
                      <w:lang w:val="en-US" w:eastAsia="zh-CN"/>
                    </w:rPr>
                  </w:pPr>
                  <w:r>
                    <w:rPr>
                      <w:rFonts w:hint="eastAsia"/>
                      <w:color w:val="auto"/>
                      <w:lang w:val="en-US" w:eastAsia="zh-CN"/>
                    </w:rPr>
                    <w:t>产污系数</w:t>
                  </w:r>
                </w:p>
              </w:tc>
            </w:tr>
            <w:tr w14:paraId="7B1F2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697" w:type="pct"/>
                  <w:vMerge w:val="restart"/>
                  <w:vAlign w:val="center"/>
                </w:tcPr>
                <w:p w14:paraId="345044B1">
                  <w:pPr>
                    <w:pStyle w:val="17"/>
                    <w:bidi w:val="0"/>
                    <w:rPr>
                      <w:rFonts w:hint="default"/>
                      <w:color w:val="auto"/>
                      <w:lang w:val="en-US" w:eastAsia="zh-CN"/>
                    </w:rPr>
                  </w:pPr>
                  <w:r>
                    <w:rPr>
                      <w:rFonts w:hint="eastAsia"/>
                      <w:color w:val="auto"/>
                      <w:lang w:val="en-US" w:eastAsia="zh-CN"/>
                    </w:rPr>
                    <w:t>物料搅拌</w:t>
                  </w:r>
                </w:p>
              </w:tc>
              <w:tc>
                <w:tcPr>
                  <w:tcW w:w="682" w:type="pct"/>
                  <w:vMerge w:val="restart"/>
                  <w:vAlign w:val="center"/>
                </w:tcPr>
                <w:p w14:paraId="762E490B">
                  <w:pPr>
                    <w:pStyle w:val="17"/>
                    <w:bidi w:val="0"/>
                    <w:rPr>
                      <w:rFonts w:hint="default"/>
                      <w:color w:val="auto"/>
                      <w:lang w:val="en-US" w:eastAsia="zh-CN"/>
                    </w:rPr>
                  </w:pPr>
                  <w:r>
                    <w:rPr>
                      <w:rFonts w:hint="eastAsia"/>
                      <w:color w:val="auto"/>
                      <w:lang w:val="en-US" w:eastAsia="zh-CN"/>
                    </w:rPr>
                    <w:t>物料混合搅拌</w:t>
                  </w:r>
                </w:p>
              </w:tc>
              <w:tc>
                <w:tcPr>
                  <w:tcW w:w="693" w:type="pct"/>
                  <w:vMerge w:val="restart"/>
                  <w:vAlign w:val="center"/>
                </w:tcPr>
                <w:p w14:paraId="2EC13CBC">
                  <w:pPr>
                    <w:pStyle w:val="17"/>
                    <w:bidi w:val="0"/>
                    <w:rPr>
                      <w:rFonts w:hint="default"/>
                      <w:color w:val="auto"/>
                      <w:lang w:val="en-US" w:eastAsia="zh-CN"/>
                    </w:rPr>
                  </w:pPr>
                  <w:r>
                    <w:rPr>
                      <w:rFonts w:hint="eastAsia"/>
                      <w:color w:val="auto"/>
                      <w:lang w:val="en-US" w:eastAsia="zh-CN"/>
                    </w:rPr>
                    <w:t>所有规模</w:t>
                  </w:r>
                </w:p>
              </w:tc>
              <w:tc>
                <w:tcPr>
                  <w:tcW w:w="460" w:type="pct"/>
                  <w:vMerge w:val="restart"/>
                  <w:vAlign w:val="center"/>
                </w:tcPr>
                <w:p w14:paraId="54377AD3">
                  <w:pPr>
                    <w:pStyle w:val="17"/>
                    <w:bidi w:val="0"/>
                    <w:rPr>
                      <w:rFonts w:hint="default"/>
                      <w:color w:val="auto"/>
                      <w:lang w:val="en-US" w:eastAsia="zh-CN"/>
                    </w:rPr>
                  </w:pPr>
                  <w:r>
                    <w:rPr>
                      <w:rFonts w:hint="eastAsia"/>
                      <w:color w:val="auto"/>
                      <w:lang w:val="en-US" w:eastAsia="zh-CN"/>
                    </w:rPr>
                    <w:t>废气</w:t>
                  </w:r>
                </w:p>
              </w:tc>
              <w:tc>
                <w:tcPr>
                  <w:tcW w:w="798" w:type="pct"/>
                  <w:vAlign w:val="center"/>
                </w:tcPr>
                <w:p w14:paraId="4AB4711B">
                  <w:pPr>
                    <w:pStyle w:val="17"/>
                    <w:bidi w:val="0"/>
                    <w:rPr>
                      <w:rFonts w:hint="default"/>
                      <w:color w:val="auto"/>
                      <w:lang w:val="en-US" w:eastAsia="zh-CN"/>
                    </w:rPr>
                  </w:pPr>
                  <w:r>
                    <w:rPr>
                      <w:rFonts w:hint="eastAsia"/>
                      <w:color w:val="auto"/>
                      <w:lang w:val="en-US" w:eastAsia="zh-CN"/>
                    </w:rPr>
                    <w:t>废气量</w:t>
                  </w:r>
                </w:p>
              </w:tc>
              <w:tc>
                <w:tcPr>
                  <w:tcW w:w="957" w:type="pct"/>
                  <w:vAlign w:val="center"/>
                </w:tcPr>
                <w:p w14:paraId="560E49CD">
                  <w:pPr>
                    <w:pStyle w:val="17"/>
                    <w:bidi w:val="0"/>
                    <w:rPr>
                      <w:rFonts w:hint="default"/>
                      <w:color w:val="auto"/>
                      <w:lang w:val="en-US" w:eastAsia="zh-CN"/>
                    </w:rPr>
                  </w:pPr>
                  <w:r>
                    <w:rPr>
                      <w:rFonts w:hint="eastAsia"/>
                      <w:color w:val="auto"/>
                      <w:lang w:val="en-US" w:eastAsia="zh-CN"/>
                    </w:rPr>
                    <w:t>标m</w:t>
                  </w:r>
                  <w:r>
                    <w:rPr>
                      <w:rFonts w:hint="eastAsia"/>
                      <w:color w:val="auto"/>
                      <w:vertAlign w:val="superscript"/>
                      <w:lang w:val="en-US" w:eastAsia="zh-CN"/>
                    </w:rPr>
                    <w:t>3</w:t>
                  </w:r>
                  <w:r>
                    <w:rPr>
                      <w:rFonts w:hint="eastAsia"/>
                      <w:color w:val="auto"/>
                      <w:lang w:val="en-US" w:eastAsia="zh-CN"/>
                    </w:rPr>
                    <w:t>/t-产品</w:t>
                  </w:r>
                </w:p>
              </w:tc>
              <w:tc>
                <w:tcPr>
                  <w:tcW w:w="712" w:type="pct"/>
                  <w:vAlign w:val="center"/>
                </w:tcPr>
                <w:p w14:paraId="259E5CD5">
                  <w:pPr>
                    <w:pStyle w:val="17"/>
                    <w:bidi w:val="0"/>
                    <w:rPr>
                      <w:rFonts w:hint="default"/>
                      <w:color w:val="auto"/>
                      <w:lang w:val="en-US" w:eastAsia="zh-CN"/>
                    </w:rPr>
                  </w:pPr>
                  <w:r>
                    <w:rPr>
                      <w:rFonts w:hint="eastAsia"/>
                      <w:color w:val="auto"/>
                      <w:lang w:val="en-US" w:eastAsia="zh-CN"/>
                    </w:rPr>
                    <w:t>129</w:t>
                  </w:r>
                </w:p>
              </w:tc>
            </w:tr>
            <w:tr w14:paraId="12219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697" w:type="pct"/>
                  <w:vMerge w:val="continue"/>
                  <w:vAlign w:val="center"/>
                </w:tcPr>
                <w:p w14:paraId="5F8ED70D">
                  <w:pPr>
                    <w:pStyle w:val="17"/>
                    <w:bidi w:val="0"/>
                    <w:rPr>
                      <w:color w:val="auto"/>
                    </w:rPr>
                  </w:pPr>
                </w:p>
              </w:tc>
              <w:tc>
                <w:tcPr>
                  <w:tcW w:w="682" w:type="pct"/>
                  <w:vMerge w:val="continue"/>
                  <w:vAlign w:val="center"/>
                </w:tcPr>
                <w:p w14:paraId="391F7560">
                  <w:pPr>
                    <w:pStyle w:val="17"/>
                    <w:bidi w:val="0"/>
                    <w:rPr>
                      <w:color w:val="auto"/>
                    </w:rPr>
                  </w:pPr>
                </w:p>
              </w:tc>
              <w:tc>
                <w:tcPr>
                  <w:tcW w:w="693" w:type="pct"/>
                  <w:vMerge w:val="continue"/>
                  <w:vAlign w:val="center"/>
                </w:tcPr>
                <w:p w14:paraId="06F896A3">
                  <w:pPr>
                    <w:pStyle w:val="17"/>
                    <w:bidi w:val="0"/>
                    <w:rPr>
                      <w:color w:val="auto"/>
                    </w:rPr>
                  </w:pPr>
                </w:p>
              </w:tc>
              <w:tc>
                <w:tcPr>
                  <w:tcW w:w="460" w:type="pct"/>
                  <w:vMerge w:val="continue"/>
                  <w:vAlign w:val="center"/>
                </w:tcPr>
                <w:p w14:paraId="3F0C504E">
                  <w:pPr>
                    <w:pStyle w:val="17"/>
                    <w:bidi w:val="0"/>
                    <w:rPr>
                      <w:color w:val="auto"/>
                    </w:rPr>
                  </w:pPr>
                </w:p>
              </w:tc>
              <w:tc>
                <w:tcPr>
                  <w:tcW w:w="798" w:type="pct"/>
                  <w:vAlign w:val="center"/>
                </w:tcPr>
                <w:p w14:paraId="3B01F3BF">
                  <w:pPr>
                    <w:pStyle w:val="17"/>
                    <w:bidi w:val="0"/>
                    <w:rPr>
                      <w:rFonts w:hint="eastAsia" w:eastAsia="宋体"/>
                      <w:color w:val="auto"/>
                      <w:lang w:val="en-US" w:eastAsia="zh-CN"/>
                    </w:rPr>
                  </w:pPr>
                  <w:r>
                    <w:rPr>
                      <w:rFonts w:hint="eastAsia"/>
                      <w:color w:val="auto"/>
                      <w:lang w:val="en-US" w:eastAsia="zh-CN"/>
                    </w:rPr>
                    <w:t>颗粒物</w:t>
                  </w:r>
                </w:p>
              </w:tc>
              <w:tc>
                <w:tcPr>
                  <w:tcW w:w="957" w:type="pct"/>
                  <w:vAlign w:val="center"/>
                </w:tcPr>
                <w:p w14:paraId="73AE0DE9">
                  <w:pPr>
                    <w:pStyle w:val="17"/>
                    <w:bidi w:val="0"/>
                    <w:rPr>
                      <w:rFonts w:hint="default"/>
                      <w:color w:val="auto"/>
                      <w:lang w:val="en-US" w:eastAsia="zh-CN"/>
                    </w:rPr>
                  </w:pPr>
                  <w:r>
                    <w:rPr>
                      <w:rFonts w:hint="eastAsia"/>
                      <w:color w:val="auto"/>
                      <w:lang w:val="en-US" w:eastAsia="zh-CN"/>
                    </w:rPr>
                    <w:t>kg/t-产品</w:t>
                  </w:r>
                </w:p>
              </w:tc>
              <w:tc>
                <w:tcPr>
                  <w:tcW w:w="712" w:type="pct"/>
                  <w:vAlign w:val="center"/>
                </w:tcPr>
                <w:p w14:paraId="46B52AFE">
                  <w:pPr>
                    <w:pStyle w:val="17"/>
                    <w:bidi w:val="0"/>
                    <w:rPr>
                      <w:rFonts w:hint="default"/>
                      <w:color w:val="auto"/>
                      <w:lang w:val="en-US" w:eastAsia="zh-CN"/>
                    </w:rPr>
                  </w:pPr>
                  <w:r>
                    <w:rPr>
                      <w:rFonts w:hint="eastAsia"/>
                      <w:color w:val="auto"/>
                      <w:lang w:val="en-US" w:eastAsia="zh-CN"/>
                    </w:rPr>
                    <w:t>5.23*10</w:t>
                  </w:r>
                  <w:r>
                    <w:rPr>
                      <w:rFonts w:hint="eastAsia"/>
                      <w:color w:val="auto"/>
                      <w:vertAlign w:val="superscript"/>
                      <w:lang w:val="en-US" w:eastAsia="zh-CN"/>
                    </w:rPr>
                    <w:t>-1</w:t>
                  </w:r>
                </w:p>
              </w:tc>
            </w:tr>
          </w:tbl>
          <w:p w14:paraId="0652CF3D">
            <w:pPr>
              <w:bidi w:val="0"/>
              <w:rPr>
                <w:rFonts w:hint="eastAsia"/>
                <w:color w:val="auto"/>
                <w:vertAlign w:val="baseline"/>
                <w:lang w:val="en-US" w:eastAsia="zh-CN"/>
              </w:rPr>
            </w:pPr>
            <w:r>
              <w:rPr>
                <w:rFonts w:hint="eastAsia"/>
                <w:color w:val="auto"/>
                <w:vertAlign w:val="baseline"/>
                <w:lang w:val="en-US" w:eastAsia="zh-CN"/>
              </w:rPr>
              <w:t>项目建成后预计年产</w:t>
            </w:r>
            <w:r>
              <w:rPr>
                <w:rFonts w:hint="eastAsia"/>
                <w:color w:val="auto"/>
                <w:lang w:val="en-US" w:eastAsia="zh-CN"/>
              </w:rPr>
              <w:t>砖3.675万t/a（含5%水泥），水稳砂14.7万t/a（含5%水泥）</w:t>
            </w:r>
            <w:r>
              <w:rPr>
                <w:rFonts w:hint="eastAsia"/>
                <w:color w:val="auto"/>
                <w:vertAlign w:val="baseline"/>
                <w:lang w:val="en-US" w:eastAsia="zh-CN"/>
              </w:rPr>
              <w:t>，均需配料搅拌，则废气量为2370.375万标m</w:t>
            </w:r>
            <w:r>
              <w:rPr>
                <w:rFonts w:hint="eastAsia"/>
                <w:color w:val="auto"/>
                <w:vertAlign w:val="superscript"/>
                <w:lang w:val="en-US" w:eastAsia="zh-CN"/>
              </w:rPr>
              <w:t>3</w:t>
            </w:r>
            <w:r>
              <w:rPr>
                <w:rFonts w:hint="eastAsia"/>
                <w:color w:val="auto"/>
                <w:vertAlign w:val="baseline"/>
                <w:lang w:val="en-US" w:eastAsia="zh-CN"/>
              </w:rPr>
              <w:t>，颗粒物产生量为96.1013t/a，通过集气管道收集后，由袋式除尘器（治理效率为99.7%）处理后颗粒物排放量为0.2883t/a（0.1201kg/h），风机风量为15000m</w:t>
            </w:r>
            <w:r>
              <w:rPr>
                <w:rFonts w:hint="eastAsia"/>
                <w:color w:val="auto"/>
                <w:vertAlign w:val="superscript"/>
                <w:lang w:val="en-US" w:eastAsia="zh-CN"/>
              </w:rPr>
              <w:t>3</w:t>
            </w:r>
            <w:r>
              <w:rPr>
                <w:rFonts w:hint="eastAsia"/>
                <w:color w:val="auto"/>
                <w:vertAlign w:val="baseline"/>
                <w:lang w:val="en-US" w:eastAsia="zh-CN"/>
              </w:rPr>
              <w:t>/h，则排放浓度为8.0084mg/m</w:t>
            </w:r>
            <w:r>
              <w:rPr>
                <w:rFonts w:hint="eastAsia"/>
                <w:color w:val="auto"/>
                <w:vertAlign w:val="superscript"/>
                <w:lang w:val="en-US" w:eastAsia="zh-CN"/>
              </w:rPr>
              <w:t>3</w:t>
            </w:r>
            <w:r>
              <w:rPr>
                <w:rFonts w:hint="eastAsia"/>
                <w:color w:val="auto"/>
                <w:vertAlign w:val="baseline"/>
                <w:lang w:val="en-US" w:eastAsia="zh-CN"/>
              </w:rPr>
              <w:t>，经15m高排气筒（DA002）有组织排放。</w:t>
            </w:r>
          </w:p>
          <w:p w14:paraId="160E3493">
            <w:pPr>
              <w:bidi w:val="0"/>
              <w:rPr>
                <w:rFonts w:hint="eastAsia"/>
                <w:color w:val="auto"/>
                <w:vertAlign w:val="baseline"/>
                <w:lang w:val="en-US" w:eastAsia="zh-CN"/>
              </w:rPr>
            </w:pPr>
            <w:r>
              <w:rPr>
                <w:rFonts w:hint="eastAsia"/>
                <w:color w:val="auto"/>
                <w:vertAlign w:val="baseline"/>
                <w:lang w:val="en-US" w:eastAsia="zh-CN"/>
              </w:rPr>
              <w:t>（8）水泥装卸、储存粉尘</w:t>
            </w:r>
          </w:p>
          <w:p w14:paraId="796453CE">
            <w:pPr>
              <w:bidi w:val="0"/>
              <w:rPr>
                <w:rFonts w:hint="eastAsia"/>
                <w:color w:val="auto"/>
                <w:lang w:val="en-US" w:eastAsia="zh-CN"/>
              </w:rPr>
            </w:pPr>
            <w:r>
              <w:rPr>
                <w:rFonts w:hint="eastAsia"/>
                <w:color w:val="auto"/>
                <w:vertAlign w:val="baseline"/>
                <w:lang w:val="en-US" w:eastAsia="zh-CN"/>
              </w:rPr>
              <w:t>本项目设有1套水泥筒仓，在水泥罐装过程中，粉料通过管道从仓筒下方进料口由罐车自带的压缩空气打入仓筒内，此时粉尘会从仓筒顶部呼吸孔排出。产污量参考</w:t>
            </w:r>
            <w:r>
              <w:rPr>
                <w:rFonts w:hint="eastAsia"/>
                <w:color w:val="auto"/>
                <w:lang w:val="en-US" w:eastAsia="zh-CN"/>
              </w:rPr>
              <w:t>《排放源统计调查产排污核算方法和系数手册》（生态环境部公告2021年第24号）“水泥制品制造行业系数手册”，产污系数详见表4-6。</w:t>
            </w:r>
          </w:p>
          <w:p w14:paraId="144C238D">
            <w:pPr>
              <w:pStyle w:val="18"/>
              <w:bidi w:val="0"/>
              <w:rPr>
                <w:rFonts w:hint="eastAsia"/>
                <w:color w:val="auto"/>
                <w:lang w:val="en-US" w:eastAsia="zh-CN"/>
              </w:rPr>
            </w:pPr>
            <w:r>
              <w:rPr>
                <w:rFonts w:hint="eastAsia"/>
                <w:color w:val="auto"/>
                <w:lang w:val="en-US" w:eastAsia="zh-CN"/>
              </w:rPr>
              <w:t>表4-6 项目水泥装卸、储存粉尘产污系数一览表</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5"/>
              <w:gridCol w:w="1091"/>
              <w:gridCol w:w="1109"/>
              <w:gridCol w:w="736"/>
              <w:gridCol w:w="1277"/>
              <w:gridCol w:w="1531"/>
              <w:gridCol w:w="1139"/>
            </w:tblGrid>
            <w:tr w14:paraId="25AF2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vAlign w:val="center"/>
                </w:tcPr>
                <w:p w14:paraId="54540C75">
                  <w:pPr>
                    <w:pStyle w:val="17"/>
                    <w:bidi w:val="0"/>
                    <w:rPr>
                      <w:rFonts w:hint="default"/>
                      <w:color w:val="auto"/>
                      <w:lang w:val="en-US" w:eastAsia="zh-CN"/>
                    </w:rPr>
                  </w:pPr>
                  <w:r>
                    <w:rPr>
                      <w:rFonts w:hint="eastAsia"/>
                      <w:color w:val="auto"/>
                      <w:lang w:val="en-US" w:eastAsia="zh-CN"/>
                    </w:rPr>
                    <w:t>原料名称</w:t>
                  </w:r>
                </w:p>
              </w:tc>
              <w:tc>
                <w:tcPr>
                  <w:tcW w:w="682" w:type="pct"/>
                  <w:vAlign w:val="center"/>
                </w:tcPr>
                <w:p w14:paraId="3FBB172E">
                  <w:pPr>
                    <w:pStyle w:val="17"/>
                    <w:bidi w:val="0"/>
                    <w:rPr>
                      <w:rFonts w:hint="default"/>
                      <w:color w:val="auto"/>
                      <w:lang w:val="en-US" w:eastAsia="zh-CN"/>
                    </w:rPr>
                  </w:pPr>
                  <w:r>
                    <w:rPr>
                      <w:rFonts w:hint="eastAsia"/>
                      <w:color w:val="auto"/>
                      <w:lang w:val="en-US" w:eastAsia="zh-CN"/>
                    </w:rPr>
                    <w:t>工艺名称</w:t>
                  </w:r>
                </w:p>
              </w:tc>
              <w:tc>
                <w:tcPr>
                  <w:tcW w:w="693" w:type="pct"/>
                  <w:vAlign w:val="center"/>
                </w:tcPr>
                <w:p w14:paraId="645B5B7D">
                  <w:pPr>
                    <w:pStyle w:val="17"/>
                    <w:bidi w:val="0"/>
                    <w:rPr>
                      <w:rFonts w:hint="default"/>
                      <w:color w:val="auto"/>
                      <w:lang w:val="en-US" w:eastAsia="zh-CN"/>
                    </w:rPr>
                  </w:pPr>
                  <w:r>
                    <w:rPr>
                      <w:rFonts w:hint="eastAsia"/>
                      <w:color w:val="auto"/>
                      <w:lang w:val="en-US" w:eastAsia="zh-CN"/>
                    </w:rPr>
                    <w:t>规模等级</w:t>
                  </w:r>
                </w:p>
              </w:tc>
              <w:tc>
                <w:tcPr>
                  <w:tcW w:w="1258" w:type="pct"/>
                  <w:gridSpan w:val="2"/>
                  <w:vAlign w:val="center"/>
                </w:tcPr>
                <w:p w14:paraId="23125A07">
                  <w:pPr>
                    <w:pStyle w:val="17"/>
                    <w:bidi w:val="0"/>
                    <w:rPr>
                      <w:rFonts w:hint="default"/>
                      <w:color w:val="auto"/>
                      <w:lang w:val="en-US" w:eastAsia="zh-CN"/>
                    </w:rPr>
                  </w:pPr>
                  <w:r>
                    <w:rPr>
                      <w:rFonts w:hint="eastAsia"/>
                      <w:color w:val="auto"/>
                      <w:lang w:val="en-US" w:eastAsia="zh-CN"/>
                    </w:rPr>
                    <w:t>污染物指标</w:t>
                  </w:r>
                </w:p>
              </w:tc>
              <w:tc>
                <w:tcPr>
                  <w:tcW w:w="957" w:type="pct"/>
                  <w:vAlign w:val="center"/>
                </w:tcPr>
                <w:p w14:paraId="52545203">
                  <w:pPr>
                    <w:pStyle w:val="17"/>
                    <w:bidi w:val="0"/>
                    <w:rPr>
                      <w:rFonts w:hint="default"/>
                      <w:color w:val="auto"/>
                      <w:lang w:val="en-US" w:eastAsia="zh-CN"/>
                    </w:rPr>
                  </w:pPr>
                  <w:r>
                    <w:rPr>
                      <w:rFonts w:hint="eastAsia"/>
                      <w:color w:val="auto"/>
                      <w:lang w:val="en-US" w:eastAsia="zh-CN"/>
                    </w:rPr>
                    <w:t>单位</w:t>
                  </w:r>
                </w:p>
              </w:tc>
              <w:tc>
                <w:tcPr>
                  <w:tcW w:w="712" w:type="pct"/>
                  <w:vAlign w:val="center"/>
                </w:tcPr>
                <w:p w14:paraId="5187D51C">
                  <w:pPr>
                    <w:pStyle w:val="17"/>
                    <w:bidi w:val="0"/>
                    <w:rPr>
                      <w:rFonts w:hint="default"/>
                      <w:color w:val="auto"/>
                      <w:lang w:val="en-US" w:eastAsia="zh-CN"/>
                    </w:rPr>
                  </w:pPr>
                  <w:r>
                    <w:rPr>
                      <w:rFonts w:hint="eastAsia"/>
                      <w:color w:val="auto"/>
                      <w:lang w:val="en-US" w:eastAsia="zh-CN"/>
                    </w:rPr>
                    <w:t>产污系数</w:t>
                  </w:r>
                </w:p>
              </w:tc>
            </w:tr>
            <w:tr w14:paraId="47CD3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697" w:type="pct"/>
                  <w:vMerge w:val="restart"/>
                  <w:vAlign w:val="center"/>
                </w:tcPr>
                <w:p w14:paraId="4EC67E40">
                  <w:pPr>
                    <w:pStyle w:val="17"/>
                    <w:bidi w:val="0"/>
                    <w:rPr>
                      <w:rFonts w:hint="default"/>
                      <w:color w:val="auto"/>
                      <w:lang w:val="en-US" w:eastAsia="zh-CN"/>
                    </w:rPr>
                  </w:pPr>
                  <w:r>
                    <w:rPr>
                      <w:rFonts w:hint="eastAsia"/>
                      <w:color w:val="auto"/>
                      <w:lang w:val="en-US" w:eastAsia="zh-CN"/>
                    </w:rPr>
                    <w:t>物料输送</w:t>
                  </w:r>
                </w:p>
              </w:tc>
              <w:tc>
                <w:tcPr>
                  <w:tcW w:w="682" w:type="pct"/>
                  <w:vMerge w:val="restart"/>
                  <w:vAlign w:val="center"/>
                </w:tcPr>
                <w:p w14:paraId="6357B2D3">
                  <w:pPr>
                    <w:pStyle w:val="17"/>
                    <w:bidi w:val="0"/>
                    <w:rPr>
                      <w:rFonts w:hint="default"/>
                      <w:color w:val="auto"/>
                      <w:lang w:val="en-US" w:eastAsia="zh-CN"/>
                    </w:rPr>
                  </w:pPr>
                  <w:r>
                    <w:rPr>
                      <w:rFonts w:hint="eastAsia"/>
                      <w:color w:val="auto"/>
                      <w:lang w:val="en-US" w:eastAsia="zh-CN"/>
                    </w:rPr>
                    <w:t>物料输送储存</w:t>
                  </w:r>
                </w:p>
              </w:tc>
              <w:tc>
                <w:tcPr>
                  <w:tcW w:w="693" w:type="pct"/>
                  <w:vMerge w:val="restart"/>
                  <w:vAlign w:val="center"/>
                </w:tcPr>
                <w:p w14:paraId="40BE3B58">
                  <w:pPr>
                    <w:pStyle w:val="17"/>
                    <w:bidi w:val="0"/>
                    <w:rPr>
                      <w:rFonts w:hint="default"/>
                      <w:color w:val="auto"/>
                      <w:lang w:val="en-US" w:eastAsia="zh-CN"/>
                    </w:rPr>
                  </w:pPr>
                  <w:r>
                    <w:rPr>
                      <w:rFonts w:hint="eastAsia"/>
                      <w:color w:val="auto"/>
                      <w:lang w:val="en-US" w:eastAsia="zh-CN"/>
                    </w:rPr>
                    <w:t>所有规模</w:t>
                  </w:r>
                </w:p>
              </w:tc>
              <w:tc>
                <w:tcPr>
                  <w:tcW w:w="460" w:type="pct"/>
                  <w:vMerge w:val="restart"/>
                  <w:vAlign w:val="center"/>
                </w:tcPr>
                <w:p w14:paraId="6203C9AA">
                  <w:pPr>
                    <w:pStyle w:val="17"/>
                    <w:bidi w:val="0"/>
                    <w:rPr>
                      <w:rFonts w:hint="default"/>
                      <w:color w:val="auto"/>
                      <w:lang w:val="en-US" w:eastAsia="zh-CN"/>
                    </w:rPr>
                  </w:pPr>
                  <w:r>
                    <w:rPr>
                      <w:rFonts w:hint="eastAsia"/>
                      <w:color w:val="auto"/>
                      <w:lang w:val="en-US" w:eastAsia="zh-CN"/>
                    </w:rPr>
                    <w:t>废气</w:t>
                  </w:r>
                </w:p>
              </w:tc>
              <w:tc>
                <w:tcPr>
                  <w:tcW w:w="798" w:type="pct"/>
                  <w:vAlign w:val="center"/>
                </w:tcPr>
                <w:p w14:paraId="19A022A1">
                  <w:pPr>
                    <w:pStyle w:val="17"/>
                    <w:bidi w:val="0"/>
                    <w:rPr>
                      <w:rFonts w:hint="default"/>
                      <w:color w:val="auto"/>
                      <w:lang w:val="en-US" w:eastAsia="zh-CN"/>
                    </w:rPr>
                  </w:pPr>
                  <w:r>
                    <w:rPr>
                      <w:rFonts w:hint="eastAsia"/>
                      <w:color w:val="auto"/>
                      <w:lang w:val="en-US" w:eastAsia="zh-CN"/>
                    </w:rPr>
                    <w:t>废气量</w:t>
                  </w:r>
                </w:p>
              </w:tc>
              <w:tc>
                <w:tcPr>
                  <w:tcW w:w="957" w:type="pct"/>
                  <w:vAlign w:val="center"/>
                </w:tcPr>
                <w:p w14:paraId="27E062B1">
                  <w:pPr>
                    <w:pStyle w:val="17"/>
                    <w:bidi w:val="0"/>
                    <w:rPr>
                      <w:rFonts w:hint="default"/>
                      <w:color w:val="auto"/>
                      <w:lang w:val="en-US" w:eastAsia="zh-CN"/>
                    </w:rPr>
                  </w:pPr>
                  <w:r>
                    <w:rPr>
                      <w:rFonts w:hint="eastAsia"/>
                      <w:color w:val="auto"/>
                      <w:lang w:val="en-US" w:eastAsia="zh-CN"/>
                    </w:rPr>
                    <w:t>标m</w:t>
                  </w:r>
                  <w:r>
                    <w:rPr>
                      <w:rFonts w:hint="eastAsia"/>
                      <w:color w:val="auto"/>
                      <w:vertAlign w:val="superscript"/>
                      <w:lang w:val="en-US" w:eastAsia="zh-CN"/>
                    </w:rPr>
                    <w:t>3</w:t>
                  </w:r>
                  <w:r>
                    <w:rPr>
                      <w:rFonts w:hint="eastAsia"/>
                      <w:color w:val="auto"/>
                      <w:lang w:val="en-US" w:eastAsia="zh-CN"/>
                    </w:rPr>
                    <w:t>/t-产品</w:t>
                  </w:r>
                </w:p>
              </w:tc>
              <w:tc>
                <w:tcPr>
                  <w:tcW w:w="712" w:type="pct"/>
                  <w:vAlign w:val="center"/>
                </w:tcPr>
                <w:p w14:paraId="11165517">
                  <w:pPr>
                    <w:pStyle w:val="17"/>
                    <w:bidi w:val="0"/>
                    <w:rPr>
                      <w:rFonts w:hint="default"/>
                      <w:color w:val="auto"/>
                      <w:lang w:val="en-US" w:eastAsia="zh-CN"/>
                    </w:rPr>
                  </w:pPr>
                  <w:r>
                    <w:rPr>
                      <w:rFonts w:hint="eastAsia"/>
                      <w:color w:val="auto"/>
                      <w:lang w:val="en-US" w:eastAsia="zh-CN"/>
                    </w:rPr>
                    <w:t>41.8</w:t>
                  </w:r>
                </w:p>
              </w:tc>
            </w:tr>
            <w:tr w14:paraId="09030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697" w:type="pct"/>
                  <w:vMerge w:val="continue"/>
                  <w:vAlign w:val="center"/>
                </w:tcPr>
                <w:p w14:paraId="23C210D4">
                  <w:pPr>
                    <w:pStyle w:val="17"/>
                    <w:bidi w:val="0"/>
                    <w:rPr>
                      <w:color w:val="auto"/>
                    </w:rPr>
                  </w:pPr>
                </w:p>
              </w:tc>
              <w:tc>
                <w:tcPr>
                  <w:tcW w:w="682" w:type="pct"/>
                  <w:vMerge w:val="continue"/>
                  <w:vAlign w:val="center"/>
                </w:tcPr>
                <w:p w14:paraId="2B84CE9B">
                  <w:pPr>
                    <w:pStyle w:val="17"/>
                    <w:bidi w:val="0"/>
                    <w:rPr>
                      <w:color w:val="auto"/>
                    </w:rPr>
                  </w:pPr>
                </w:p>
              </w:tc>
              <w:tc>
                <w:tcPr>
                  <w:tcW w:w="693" w:type="pct"/>
                  <w:vMerge w:val="continue"/>
                  <w:vAlign w:val="center"/>
                </w:tcPr>
                <w:p w14:paraId="7B68B824">
                  <w:pPr>
                    <w:pStyle w:val="17"/>
                    <w:bidi w:val="0"/>
                    <w:rPr>
                      <w:color w:val="auto"/>
                    </w:rPr>
                  </w:pPr>
                </w:p>
              </w:tc>
              <w:tc>
                <w:tcPr>
                  <w:tcW w:w="460" w:type="pct"/>
                  <w:vMerge w:val="continue"/>
                  <w:vAlign w:val="center"/>
                </w:tcPr>
                <w:p w14:paraId="0F65412E">
                  <w:pPr>
                    <w:pStyle w:val="17"/>
                    <w:bidi w:val="0"/>
                    <w:rPr>
                      <w:color w:val="auto"/>
                    </w:rPr>
                  </w:pPr>
                </w:p>
              </w:tc>
              <w:tc>
                <w:tcPr>
                  <w:tcW w:w="798" w:type="pct"/>
                  <w:vAlign w:val="center"/>
                </w:tcPr>
                <w:p w14:paraId="4A916061">
                  <w:pPr>
                    <w:pStyle w:val="17"/>
                    <w:bidi w:val="0"/>
                    <w:rPr>
                      <w:rFonts w:hint="eastAsia" w:eastAsia="宋体"/>
                      <w:color w:val="auto"/>
                      <w:lang w:val="en-US" w:eastAsia="zh-CN"/>
                    </w:rPr>
                  </w:pPr>
                  <w:r>
                    <w:rPr>
                      <w:rFonts w:hint="eastAsia"/>
                      <w:color w:val="auto"/>
                      <w:lang w:val="en-US" w:eastAsia="zh-CN"/>
                    </w:rPr>
                    <w:t>颗粒物</w:t>
                  </w:r>
                </w:p>
              </w:tc>
              <w:tc>
                <w:tcPr>
                  <w:tcW w:w="957" w:type="pct"/>
                  <w:vAlign w:val="center"/>
                </w:tcPr>
                <w:p w14:paraId="6D1AABBA">
                  <w:pPr>
                    <w:pStyle w:val="17"/>
                    <w:bidi w:val="0"/>
                    <w:rPr>
                      <w:rFonts w:hint="default"/>
                      <w:color w:val="auto"/>
                      <w:lang w:val="en-US" w:eastAsia="zh-CN"/>
                    </w:rPr>
                  </w:pPr>
                  <w:r>
                    <w:rPr>
                      <w:rFonts w:hint="eastAsia"/>
                      <w:color w:val="auto"/>
                      <w:lang w:val="en-US" w:eastAsia="zh-CN"/>
                    </w:rPr>
                    <w:t>kg/t-产品</w:t>
                  </w:r>
                </w:p>
              </w:tc>
              <w:tc>
                <w:tcPr>
                  <w:tcW w:w="712" w:type="pct"/>
                  <w:vAlign w:val="center"/>
                </w:tcPr>
                <w:p w14:paraId="4C5FCF4E">
                  <w:pPr>
                    <w:pStyle w:val="17"/>
                    <w:bidi w:val="0"/>
                    <w:rPr>
                      <w:rFonts w:hint="default"/>
                      <w:color w:val="auto"/>
                      <w:lang w:val="en-US" w:eastAsia="zh-CN"/>
                    </w:rPr>
                  </w:pPr>
                  <w:r>
                    <w:rPr>
                      <w:rFonts w:hint="eastAsia"/>
                      <w:color w:val="auto"/>
                      <w:lang w:val="en-US" w:eastAsia="zh-CN"/>
                    </w:rPr>
                    <w:t>0.19</w:t>
                  </w:r>
                </w:p>
              </w:tc>
            </w:tr>
          </w:tbl>
          <w:p w14:paraId="1B7B7613">
            <w:pPr>
              <w:bidi w:val="0"/>
              <w:rPr>
                <w:rFonts w:hint="default"/>
                <w:color w:val="auto"/>
                <w:vertAlign w:val="baseline"/>
                <w:lang w:val="en-US" w:eastAsia="zh-CN"/>
              </w:rPr>
            </w:pPr>
            <w:r>
              <w:rPr>
                <w:rFonts w:hint="eastAsia"/>
                <w:color w:val="auto"/>
                <w:vertAlign w:val="baseline"/>
                <w:lang w:val="en-US" w:eastAsia="zh-CN"/>
              </w:rPr>
              <w:t>项目建成后预计年产</w:t>
            </w:r>
            <w:r>
              <w:rPr>
                <w:rFonts w:hint="eastAsia"/>
                <w:color w:val="auto"/>
                <w:lang w:val="en-US" w:eastAsia="zh-CN"/>
              </w:rPr>
              <w:t>砖3.675万t/a（含5%水泥），水稳砂14.7万t/a（含5%水泥）</w:t>
            </w:r>
            <w:r>
              <w:rPr>
                <w:rFonts w:hint="eastAsia"/>
                <w:color w:val="auto"/>
                <w:vertAlign w:val="baseline"/>
                <w:lang w:val="en-US" w:eastAsia="zh-CN"/>
              </w:rPr>
              <w:t>，则废气量为768.075m</w:t>
            </w:r>
            <w:r>
              <w:rPr>
                <w:rFonts w:hint="eastAsia"/>
                <w:color w:val="auto"/>
                <w:vertAlign w:val="superscript"/>
                <w:lang w:val="en-US" w:eastAsia="zh-CN"/>
              </w:rPr>
              <w:t>3</w:t>
            </w:r>
            <w:r>
              <w:rPr>
                <w:rFonts w:hint="eastAsia"/>
                <w:color w:val="auto"/>
                <w:vertAlign w:val="baseline"/>
                <w:lang w:val="en-US" w:eastAsia="zh-CN"/>
              </w:rPr>
              <w:t>，颗粒物产生量为34.9125t/a，通过集气管道收集后，由袋式除尘器（治理效率为99.7%）处理后颗粒物排放量为0.1047t/a，无组织排放。</w:t>
            </w:r>
          </w:p>
          <w:p w14:paraId="027F1870">
            <w:pPr>
              <w:bidi w:val="0"/>
              <w:rPr>
                <w:rFonts w:hint="default"/>
                <w:color w:val="auto"/>
                <w:vertAlign w:val="baseline"/>
                <w:lang w:val="en-US" w:eastAsia="zh-CN"/>
              </w:rPr>
            </w:pPr>
            <w:r>
              <w:rPr>
                <w:rFonts w:hint="eastAsia"/>
                <w:color w:val="auto"/>
                <w:vertAlign w:val="baseline"/>
                <w:lang w:val="en-US" w:eastAsia="zh-CN"/>
              </w:rPr>
              <w:t>（9）运输车辆尾气</w:t>
            </w:r>
          </w:p>
          <w:p w14:paraId="49D6AC7A">
            <w:pPr>
              <w:bidi w:val="0"/>
              <w:rPr>
                <w:rFonts w:hint="eastAsia"/>
                <w:color w:val="auto"/>
                <w:vertAlign w:val="baseline"/>
                <w:lang w:val="en-US" w:eastAsia="zh-CN"/>
              </w:rPr>
            </w:pPr>
            <w:r>
              <w:rPr>
                <w:rFonts w:hint="eastAsia"/>
                <w:color w:val="auto"/>
                <w:vertAlign w:val="baseline"/>
                <w:lang w:val="en-US" w:eastAsia="zh-CN"/>
              </w:rPr>
              <w:t>项目车辆产生尾气，其中主要含有CO、NO</w:t>
            </w:r>
            <w:r>
              <w:rPr>
                <w:rFonts w:hint="eastAsia"/>
                <w:color w:val="auto"/>
                <w:vertAlign w:val="subscript"/>
                <w:lang w:val="en-US" w:eastAsia="zh-CN"/>
              </w:rPr>
              <w:t>X</w:t>
            </w:r>
            <w:r>
              <w:rPr>
                <w:rFonts w:hint="eastAsia"/>
                <w:color w:val="auto"/>
                <w:vertAlign w:val="baseline"/>
                <w:lang w:val="en-US" w:eastAsia="zh-CN"/>
              </w:rPr>
              <w:t>、THC等污染物。这些废气排放局限于原料和产品运输沿线内，为非连续性的污染源，排放量较小，且运输路线、生产场地地势开阔，易于通风，对周围环境影响较小。</w:t>
            </w:r>
          </w:p>
          <w:p w14:paraId="2EF08CD9">
            <w:pPr>
              <w:bidi w:val="0"/>
              <w:rPr>
                <w:rFonts w:hint="eastAsia"/>
                <w:color w:val="auto"/>
                <w:vertAlign w:val="baseline"/>
                <w:lang w:val="en-US" w:eastAsia="zh-CN"/>
              </w:rPr>
            </w:pPr>
            <w:r>
              <w:rPr>
                <w:rFonts w:hint="eastAsia"/>
                <w:color w:val="auto"/>
                <w:vertAlign w:val="baseline"/>
                <w:lang w:val="en-US" w:eastAsia="zh-CN"/>
              </w:rPr>
              <w:t>（10）食堂油烟</w:t>
            </w:r>
          </w:p>
          <w:p w14:paraId="6FB22729">
            <w:pPr>
              <w:bidi w:val="0"/>
              <w:rPr>
                <w:rFonts w:hint="default"/>
                <w:color w:val="auto"/>
                <w:vertAlign w:val="baseline"/>
                <w:lang w:val="en-US" w:eastAsia="zh-CN"/>
              </w:rPr>
            </w:pPr>
            <w:r>
              <w:rPr>
                <w:rFonts w:hint="default"/>
                <w:color w:val="auto"/>
                <w:vertAlign w:val="baseline"/>
                <w:lang w:val="en-US" w:eastAsia="zh-CN"/>
              </w:rPr>
              <w:t>本项目设有职工食堂，位于厂区</w:t>
            </w:r>
            <w:r>
              <w:rPr>
                <w:rFonts w:hint="eastAsia"/>
                <w:color w:val="auto"/>
                <w:vertAlign w:val="baseline"/>
                <w:lang w:val="en-US" w:eastAsia="zh-CN"/>
              </w:rPr>
              <w:t>西</w:t>
            </w:r>
            <w:r>
              <w:rPr>
                <w:rFonts w:hint="default"/>
                <w:color w:val="auto"/>
                <w:vertAlign w:val="baseline"/>
                <w:lang w:val="en-US" w:eastAsia="zh-CN"/>
              </w:rPr>
              <w:t>侧</w:t>
            </w:r>
            <w:r>
              <w:rPr>
                <w:rFonts w:hint="eastAsia"/>
                <w:color w:val="auto"/>
                <w:vertAlign w:val="baseline"/>
                <w:lang w:val="en-US" w:eastAsia="zh-CN"/>
              </w:rPr>
              <w:t>办公区</w:t>
            </w:r>
            <w:r>
              <w:rPr>
                <w:rFonts w:hint="default"/>
                <w:color w:val="auto"/>
                <w:vertAlign w:val="baseline"/>
                <w:lang w:val="en-US" w:eastAsia="zh-CN"/>
              </w:rPr>
              <w:t>，主要用能为电力，属清洁能源，故本环评仅对食堂油烟进行分析。项目劳动定员</w:t>
            </w:r>
            <w:r>
              <w:rPr>
                <w:rFonts w:hint="eastAsia"/>
                <w:color w:val="auto"/>
                <w:vertAlign w:val="baseline"/>
                <w:lang w:val="en-US" w:eastAsia="zh-CN"/>
              </w:rPr>
              <w:t>45</w:t>
            </w:r>
            <w:r>
              <w:rPr>
                <w:rFonts w:hint="default"/>
                <w:color w:val="auto"/>
                <w:vertAlign w:val="baseline"/>
                <w:lang w:val="en-US" w:eastAsia="zh-CN"/>
              </w:rPr>
              <w:t>人，</w:t>
            </w:r>
            <w:r>
              <w:rPr>
                <w:rFonts w:hint="eastAsia"/>
                <w:color w:val="auto"/>
                <w:vertAlign w:val="baseline"/>
                <w:lang w:val="en-US" w:eastAsia="zh-CN"/>
              </w:rPr>
              <w:t>其中日均30人于职工食堂就餐，</w:t>
            </w:r>
            <w:r>
              <w:rPr>
                <w:rFonts w:hint="default"/>
                <w:color w:val="auto"/>
                <w:vertAlign w:val="baseline"/>
                <w:lang w:val="en-US" w:eastAsia="zh-CN"/>
              </w:rPr>
              <w:t>年工作时间300天，人均食用油日用量约20g/(人·d)，则食堂食用油消耗量约为</w:t>
            </w:r>
            <w:r>
              <w:rPr>
                <w:rFonts w:hint="eastAsia"/>
                <w:color w:val="auto"/>
                <w:vertAlign w:val="baseline"/>
                <w:lang w:val="en-US" w:eastAsia="zh-CN"/>
              </w:rPr>
              <w:t>0.6</w:t>
            </w:r>
            <w:r>
              <w:rPr>
                <w:rFonts w:hint="default"/>
                <w:color w:val="auto"/>
                <w:vertAlign w:val="baseline"/>
                <w:lang w:val="en-US" w:eastAsia="zh-CN"/>
              </w:rPr>
              <w:t>kg/d（0.</w:t>
            </w:r>
            <w:r>
              <w:rPr>
                <w:rFonts w:hint="eastAsia"/>
                <w:color w:val="auto"/>
                <w:vertAlign w:val="baseline"/>
                <w:lang w:val="en-US" w:eastAsia="zh-CN"/>
              </w:rPr>
              <w:t>18</w:t>
            </w:r>
            <w:r>
              <w:rPr>
                <w:rFonts w:hint="default"/>
                <w:color w:val="auto"/>
                <w:vertAlign w:val="baseline"/>
                <w:lang w:val="en-US" w:eastAsia="zh-CN"/>
              </w:rPr>
              <w:t>t/a），油烟挥发量以3%计，则该项目食堂油烟年产生量为</w:t>
            </w:r>
            <w:r>
              <w:rPr>
                <w:rFonts w:hint="eastAsia"/>
                <w:color w:val="auto"/>
                <w:vertAlign w:val="baseline"/>
                <w:lang w:val="en-US" w:eastAsia="zh-CN"/>
              </w:rPr>
              <w:t>0.0054</w:t>
            </w:r>
            <w:r>
              <w:rPr>
                <w:rFonts w:hint="default"/>
                <w:color w:val="auto"/>
                <w:vertAlign w:val="baseline"/>
                <w:lang w:val="en-US" w:eastAsia="zh-CN"/>
              </w:rPr>
              <w:t>t/a，采用油烟净化器（去除率约75%）处理后油烟排放量为0.00</w:t>
            </w:r>
            <w:r>
              <w:rPr>
                <w:rFonts w:hint="eastAsia"/>
                <w:color w:val="auto"/>
                <w:vertAlign w:val="baseline"/>
                <w:lang w:val="en-US" w:eastAsia="zh-CN"/>
              </w:rPr>
              <w:t>14</w:t>
            </w:r>
            <w:r>
              <w:rPr>
                <w:rFonts w:hint="default"/>
                <w:color w:val="auto"/>
                <w:vertAlign w:val="baseline"/>
                <w:lang w:val="en-US" w:eastAsia="zh-CN"/>
              </w:rPr>
              <w:t>t/a，项目灶头</w:t>
            </w:r>
            <w:r>
              <w:rPr>
                <w:rFonts w:hint="eastAsia"/>
                <w:color w:val="auto"/>
                <w:vertAlign w:val="baseline"/>
                <w:lang w:val="en-US" w:eastAsia="zh-CN"/>
              </w:rPr>
              <w:t>1</w:t>
            </w:r>
            <w:r>
              <w:rPr>
                <w:rFonts w:hint="default"/>
                <w:color w:val="auto"/>
                <w:vertAlign w:val="baseline"/>
                <w:lang w:val="en-US" w:eastAsia="zh-CN"/>
              </w:rPr>
              <w:t>个，排风量为2000m</w:t>
            </w:r>
            <w:r>
              <w:rPr>
                <w:rFonts w:hint="default"/>
                <w:color w:val="auto"/>
                <w:vertAlign w:val="superscript"/>
                <w:lang w:val="en-US" w:eastAsia="zh-CN"/>
              </w:rPr>
              <w:t>3</w:t>
            </w:r>
            <w:r>
              <w:rPr>
                <w:rFonts w:hint="default"/>
                <w:color w:val="auto"/>
                <w:vertAlign w:val="baseline"/>
                <w:lang w:val="en-US" w:eastAsia="zh-CN"/>
              </w:rPr>
              <w:t>/h，每天工作4h，则油烟排放浓度为</w:t>
            </w:r>
            <w:r>
              <w:rPr>
                <w:rFonts w:hint="eastAsia"/>
                <w:color w:val="auto"/>
                <w:vertAlign w:val="baseline"/>
                <w:lang w:val="en-US" w:eastAsia="zh-CN"/>
              </w:rPr>
              <w:t>0.5625</w:t>
            </w:r>
            <w:r>
              <w:rPr>
                <w:rFonts w:hint="default"/>
                <w:color w:val="auto"/>
                <w:vertAlign w:val="baseline"/>
                <w:lang w:val="en-US" w:eastAsia="zh-CN"/>
              </w:rPr>
              <w:t>mg/m</w:t>
            </w:r>
            <w:r>
              <w:rPr>
                <w:rFonts w:hint="default"/>
                <w:color w:val="auto"/>
                <w:vertAlign w:val="superscript"/>
                <w:lang w:val="en-US" w:eastAsia="zh-CN"/>
              </w:rPr>
              <w:t>3</w:t>
            </w:r>
            <w:r>
              <w:rPr>
                <w:rFonts w:hint="default"/>
                <w:color w:val="auto"/>
                <w:vertAlign w:val="baseline"/>
                <w:lang w:val="en-US" w:eastAsia="zh-CN"/>
              </w:rPr>
              <w:t>。</w:t>
            </w:r>
          </w:p>
          <w:p w14:paraId="43438025">
            <w:pPr>
              <w:bidi w:val="0"/>
              <w:rPr>
                <w:rFonts w:hint="eastAsia"/>
                <w:color w:val="auto"/>
                <w:lang w:val="en-US" w:eastAsia="zh-CN"/>
              </w:rPr>
            </w:pPr>
            <w:r>
              <w:rPr>
                <w:rFonts w:hint="eastAsia"/>
                <w:color w:val="auto"/>
                <w:lang w:val="en-US" w:eastAsia="zh-CN"/>
              </w:rPr>
              <w:t>综上，本项目运营期废气产排污节点及污染治理设施情况详见表4-7。</w:t>
            </w:r>
          </w:p>
          <w:p w14:paraId="489A6BCE">
            <w:pPr>
              <w:pStyle w:val="18"/>
              <w:bidi w:val="0"/>
              <w:rPr>
                <w:rFonts w:hint="eastAsia"/>
                <w:color w:val="auto"/>
                <w:lang w:val="en-US" w:eastAsia="zh-CN"/>
              </w:rPr>
            </w:pPr>
            <w:r>
              <w:rPr>
                <w:rFonts w:hint="eastAsia"/>
                <w:color w:val="auto"/>
                <w:lang w:val="en-US" w:eastAsia="zh-CN"/>
              </w:rPr>
              <w:t>表4-7 项目运营期废气产排污节点及污染治理设施汇总一览表</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94"/>
              <w:gridCol w:w="686"/>
              <w:gridCol w:w="641"/>
              <w:gridCol w:w="629"/>
              <w:gridCol w:w="693"/>
              <w:gridCol w:w="954"/>
              <w:gridCol w:w="523"/>
              <w:gridCol w:w="505"/>
              <w:gridCol w:w="483"/>
              <w:gridCol w:w="867"/>
              <w:gridCol w:w="821"/>
              <w:gridCol w:w="705"/>
            </w:tblGrid>
            <w:tr w14:paraId="59894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11" w:type="pct"/>
                  <w:vMerge w:val="restart"/>
                  <w:vAlign w:val="center"/>
                </w:tcPr>
                <w:p w14:paraId="6B42EBF8">
                  <w:pPr>
                    <w:pStyle w:val="17"/>
                    <w:jc w:val="center"/>
                    <w:rPr>
                      <w:rFonts w:hint="default"/>
                      <w:color w:val="auto"/>
                      <w:vertAlign w:val="baseline"/>
                      <w:lang w:val="en-US" w:eastAsia="zh-CN"/>
                    </w:rPr>
                  </w:pPr>
                  <w:r>
                    <w:rPr>
                      <w:rFonts w:hint="eastAsia"/>
                      <w:color w:val="auto"/>
                      <w:vertAlign w:val="baseline"/>
                      <w:lang w:val="en-US" w:eastAsia="zh-CN"/>
                    </w:rPr>
                    <w:t>产排污环节</w:t>
                  </w:r>
                </w:p>
              </w:tc>
              <w:tc>
                <w:tcPr>
                  <w:tcW w:w="431" w:type="pct"/>
                  <w:vMerge w:val="restart"/>
                  <w:vAlign w:val="center"/>
                </w:tcPr>
                <w:p w14:paraId="60022834">
                  <w:pPr>
                    <w:pStyle w:val="17"/>
                    <w:jc w:val="center"/>
                    <w:rPr>
                      <w:rFonts w:hint="default"/>
                      <w:color w:val="auto"/>
                      <w:vertAlign w:val="baseline"/>
                      <w:lang w:val="en-US" w:eastAsia="zh-CN"/>
                    </w:rPr>
                  </w:pPr>
                  <w:r>
                    <w:rPr>
                      <w:rFonts w:hint="eastAsia"/>
                      <w:color w:val="auto"/>
                      <w:vertAlign w:val="baseline"/>
                      <w:lang w:val="en-US" w:eastAsia="zh-CN"/>
                    </w:rPr>
                    <w:t>污染物种类</w:t>
                  </w:r>
                </w:p>
              </w:tc>
              <w:tc>
                <w:tcPr>
                  <w:tcW w:w="403" w:type="pct"/>
                  <w:vMerge w:val="restart"/>
                  <w:vAlign w:val="center"/>
                </w:tcPr>
                <w:p w14:paraId="0B14847F">
                  <w:pPr>
                    <w:pStyle w:val="17"/>
                    <w:jc w:val="center"/>
                    <w:rPr>
                      <w:rFonts w:hint="eastAsia"/>
                      <w:color w:val="auto"/>
                      <w:vertAlign w:val="baseline"/>
                      <w:lang w:val="en-US" w:eastAsia="zh-CN"/>
                    </w:rPr>
                  </w:pPr>
                  <w:r>
                    <w:rPr>
                      <w:rFonts w:hint="eastAsia"/>
                      <w:color w:val="auto"/>
                      <w:vertAlign w:val="baseline"/>
                      <w:lang w:val="en-US" w:eastAsia="zh-CN"/>
                    </w:rPr>
                    <w:t>排放</w:t>
                  </w:r>
                </w:p>
                <w:p w14:paraId="08A234CA">
                  <w:pPr>
                    <w:pStyle w:val="17"/>
                    <w:jc w:val="center"/>
                    <w:rPr>
                      <w:rFonts w:hint="default"/>
                      <w:color w:val="auto"/>
                      <w:vertAlign w:val="baseline"/>
                      <w:lang w:val="en-US" w:eastAsia="zh-CN"/>
                    </w:rPr>
                  </w:pPr>
                  <w:r>
                    <w:rPr>
                      <w:rFonts w:hint="eastAsia"/>
                      <w:color w:val="auto"/>
                      <w:vertAlign w:val="baseline"/>
                      <w:lang w:val="en-US" w:eastAsia="zh-CN"/>
                    </w:rPr>
                    <w:t>形式</w:t>
                  </w:r>
                </w:p>
              </w:tc>
              <w:tc>
                <w:tcPr>
                  <w:tcW w:w="393" w:type="pct"/>
                  <w:vMerge w:val="restart"/>
                  <w:vAlign w:val="center"/>
                </w:tcPr>
                <w:p w14:paraId="56FECAF0">
                  <w:pPr>
                    <w:pStyle w:val="17"/>
                    <w:jc w:val="center"/>
                    <w:rPr>
                      <w:rFonts w:hint="default"/>
                      <w:color w:val="auto"/>
                      <w:vertAlign w:val="baseline"/>
                      <w:lang w:val="en-US" w:eastAsia="zh-CN"/>
                    </w:rPr>
                  </w:pPr>
                  <w:r>
                    <w:rPr>
                      <w:rFonts w:hint="eastAsia"/>
                      <w:color w:val="auto"/>
                      <w:vertAlign w:val="baseline"/>
                      <w:lang w:val="en-US" w:eastAsia="zh-CN"/>
                    </w:rPr>
                    <w:t>排放口编号</w:t>
                  </w:r>
                </w:p>
              </w:tc>
              <w:tc>
                <w:tcPr>
                  <w:tcW w:w="1029" w:type="pct"/>
                  <w:gridSpan w:val="2"/>
                  <w:vAlign w:val="center"/>
                </w:tcPr>
                <w:p w14:paraId="5EFA9B45">
                  <w:pPr>
                    <w:pStyle w:val="17"/>
                    <w:jc w:val="center"/>
                    <w:rPr>
                      <w:rFonts w:hint="default"/>
                      <w:color w:val="auto"/>
                      <w:vertAlign w:val="baseline"/>
                      <w:lang w:val="en-US" w:eastAsia="zh-CN"/>
                    </w:rPr>
                  </w:pPr>
                  <w:r>
                    <w:rPr>
                      <w:rFonts w:hint="eastAsia"/>
                      <w:color w:val="auto"/>
                      <w:vertAlign w:val="baseline"/>
                      <w:lang w:val="en-US" w:eastAsia="zh-CN"/>
                    </w:rPr>
                    <w:t>污染物产生情况</w:t>
                  </w:r>
                </w:p>
              </w:tc>
              <w:tc>
                <w:tcPr>
                  <w:tcW w:w="1472" w:type="pct"/>
                  <w:gridSpan w:val="4"/>
                  <w:vAlign w:val="center"/>
                </w:tcPr>
                <w:p w14:paraId="210DD929">
                  <w:pPr>
                    <w:pStyle w:val="17"/>
                    <w:jc w:val="center"/>
                    <w:rPr>
                      <w:rFonts w:hint="default"/>
                      <w:color w:val="auto"/>
                      <w:vertAlign w:val="baseline"/>
                      <w:lang w:val="en-US" w:eastAsia="zh-CN"/>
                    </w:rPr>
                  </w:pPr>
                  <w:r>
                    <w:rPr>
                      <w:rFonts w:hint="eastAsia"/>
                      <w:color w:val="auto"/>
                      <w:vertAlign w:val="baseline"/>
                      <w:lang w:val="en-US" w:eastAsia="zh-CN"/>
                    </w:rPr>
                    <w:t>治理设施</w:t>
                  </w:r>
                </w:p>
              </w:tc>
              <w:tc>
                <w:tcPr>
                  <w:tcW w:w="957" w:type="pct"/>
                  <w:gridSpan w:val="2"/>
                  <w:vAlign w:val="center"/>
                </w:tcPr>
                <w:p w14:paraId="4A11AFEF">
                  <w:pPr>
                    <w:pStyle w:val="17"/>
                    <w:jc w:val="center"/>
                    <w:rPr>
                      <w:rFonts w:hint="default"/>
                      <w:color w:val="auto"/>
                      <w:vertAlign w:val="baseline"/>
                      <w:lang w:val="en-US" w:eastAsia="zh-CN"/>
                    </w:rPr>
                  </w:pPr>
                  <w:r>
                    <w:rPr>
                      <w:rFonts w:hint="eastAsia"/>
                      <w:color w:val="auto"/>
                      <w:vertAlign w:val="baseline"/>
                      <w:lang w:val="en-US" w:eastAsia="zh-CN"/>
                    </w:rPr>
                    <w:t>污染物排放情况</w:t>
                  </w:r>
                </w:p>
              </w:tc>
            </w:tr>
            <w:tr w14:paraId="3372D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11" w:type="pct"/>
                  <w:vMerge w:val="continue"/>
                  <w:vAlign w:val="center"/>
                </w:tcPr>
                <w:p w14:paraId="498AC927">
                  <w:pPr>
                    <w:pStyle w:val="17"/>
                    <w:jc w:val="center"/>
                    <w:rPr>
                      <w:rFonts w:hint="eastAsia"/>
                      <w:color w:val="auto"/>
                      <w:vertAlign w:val="baseline"/>
                      <w:lang w:val="en-US" w:eastAsia="zh-CN"/>
                    </w:rPr>
                  </w:pPr>
                </w:p>
              </w:tc>
              <w:tc>
                <w:tcPr>
                  <w:tcW w:w="431" w:type="pct"/>
                  <w:vMerge w:val="continue"/>
                  <w:vAlign w:val="center"/>
                </w:tcPr>
                <w:p w14:paraId="24A4A7DE">
                  <w:pPr>
                    <w:pStyle w:val="17"/>
                    <w:jc w:val="center"/>
                    <w:rPr>
                      <w:rFonts w:hint="eastAsia"/>
                      <w:color w:val="auto"/>
                      <w:vertAlign w:val="baseline"/>
                      <w:lang w:val="en-US" w:eastAsia="zh-CN"/>
                    </w:rPr>
                  </w:pPr>
                </w:p>
              </w:tc>
              <w:tc>
                <w:tcPr>
                  <w:tcW w:w="403" w:type="pct"/>
                  <w:vMerge w:val="continue"/>
                  <w:vAlign w:val="center"/>
                </w:tcPr>
                <w:p w14:paraId="6B8E6B06">
                  <w:pPr>
                    <w:pStyle w:val="17"/>
                    <w:jc w:val="center"/>
                    <w:rPr>
                      <w:rFonts w:hint="eastAsia"/>
                      <w:color w:val="auto"/>
                      <w:vertAlign w:val="baseline"/>
                      <w:lang w:val="en-US" w:eastAsia="zh-CN"/>
                    </w:rPr>
                  </w:pPr>
                </w:p>
              </w:tc>
              <w:tc>
                <w:tcPr>
                  <w:tcW w:w="393" w:type="pct"/>
                  <w:vMerge w:val="continue"/>
                  <w:vAlign w:val="center"/>
                </w:tcPr>
                <w:p w14:paraId="1A15469B">
                  <w:pPr>
                    <w:pStyle w:val="17"/>
                    <w:jc w:val="center"/>
                    <w:rPr>
                      <w:rFonts w:hint="eastAsia"/>
                      <w:color w:val="auto"/>
                      <w:vertAlign w:val="baseline"/>
                      <w:lang w:val="en-US" w:eastAsia="zh-CN"/>
                    </w:rPr>
                  </w:pPr>
                </w:p>
              </w:tc>
              <w:tc>
                <w:tcPr>
                  <w:tcW w:w="431" w:type="pct"/>
                  <w:vAlign w:val="center"/>
                </w:tcPr>
                <w:p w14:paraId="682497C2">
                  <w:pPr>
                    <w:pStyle w:val="17"/>
                    <w:jc w:val="center"/>
                    <w:rPr>
                      <w:rFonts w:hint="default"/>
                      <w:color w:val="auto"/>
                      <w:vertAlign w:val="baseline"/>
                      <w:lang w:val="en-US" w:eastAsia="zh-CN"/>
                    </w:rPr>
                  </w:pPr>
                  <w:r>
                    <w:rPr>
                      <w:rFonts w:hint="eastAsia"/>
                      <w:color w:val="auto"/>
                      <w:vertAlign w:val="baseline"/>
                      <w:lang w:val="en-US" w:eastAsia="zh-CN"/>
                    </w:rPr>
                    <w:t>产生量t/a</w:t>
                  </w:r>
                </w:p>
              </w:tc>
              <w:tc>
                <w:tcPr>
                  <w:tcW w:w="598" w:type="pct"/>
                  <w:vAlign w:val="center"/>
                </w:tcPr>
                <w:p w14:paraId="71C1305B">
                  <w:pPr>
                    <w:pStyle w:val="17"/>
                    <w:jc w:val="center"/>
                    <w:rPr>
                      <w:rFonts w:hint="default"/>
                      <w:color w:val="auto"/>
                      <w:vertAlign w:val="baseline"/>
                      <w:lang w:val="en-US" w:eastAsia="zh-CN"/>
                    </w:rPr>
                  </w:pPr>
                  <w:r>
                    <w:rPr>
                      <w:rFonts w:hint="eastAsia"/>
                      <w:color w:val="auto"/>
                      <w:vertAlign w:val="baseline"/>
                      <w:lang w:val="en-US" w:eastAsia="zh-CN"/>
                    </w:rPr>
                    <w:t>产生浓度mg/m</w:t>
                  </w:r>
                  <w:r>
                    <w:rPr>
                      <w:rFonts w:hint="eastAsia"/>
                      <w:color w:val="auto"/>
                      <w:vertAlign w:val="superscript"/>
                      <w:lang w:val="en-US" w:eastAsia="zh-CN"/>
                    </w:rPr>
                    <w:t>3</w:t>
                  </w:r>
                </w:p>
              </w:tc>
              <w:tc>
                <w:tcPr>
                  <w:tcW w:w="329" w:type="pct"/>
                  <w:vAlign w:val="center"/>
                </w:tcPr>
                <w:p w14:paraId="1605B157">
                  <w:pPr>
                    <w:pStyle w:val="17"/>
                    <w:jc w:val="center"/>
                    <w:rPr>
                      <w:rFonts w:hint="default"/>
                      <w:color w:val="auto"/>
                      <w:vertAlign w:val="baseline"/>
                      <w:lang w:val="en-US" w:eastAsia="zh-CN"/>
                    </w:rPr>
                  </w:pPr>
                  <w:r>
                    <w:rPr>
                      <w:rFonts w:hint="eastAsia"/>
                      <w:color w:val="auto"/>
                      <w:vertAlign w:val="baseline"/>
                      <w:lang w:val="en-US" w:eastAsia="zh-CN"/>
                    </w:rPr>
                    <w:t>处理能力m</w:t>
                  </w:r>
                  <w:r>
                    <w:rPr>
                      <w:rFonts w:hint="eastAsia"/>
                      <w:color w:val="auto"/>
                      <w:vertAlign w:val="superscript"/>
                      <w:lang w:val="en-US" w:eastAsia="zh-CN"/>
                    </w:rPr>
                    <w:t>3</w:t>
                  </w:r>
                  <w:r>
                    <w:rPr>
                      <w:rFonts w:hint="eastAsia"/>
                      <w:color w:val="auto"/>
                      <w:vertAlign w:val="baseline"/>
                      <w:lang w:val="en-US" w:eastAsia="zh-CN"/>
                    </w:rPr>
                    <w:t>/h</w:t>
                  </w:r>
                </w:p>
              </w:tc>
              <w:tc>
                <w:tcPr>
                  <w:tcW w:w="318" w:type="pct"/>
                  <w:vAlign w:val="center"/>
                </w:tcPr>
                <w:p w14:paraId="6A411C6C">
                  <w:pPr>
                    <w:pStyle w:val="17"/>
                    <w:jc w:val="center"/>
                    <w:rPr>
                      <w:rFonts w:hint="default"/>
                      <w:color w:val="auto"/>
                      <w:vertAlign w:val="baseline"/>
                      <w:lang w:val="en-US" w:eastAsia="zh-CN"/>
                    </w:rPr>
                  </w:pPr>
                  <w:r>
                    <w:rPr>
                      <w:rFonts w:hint="eastAsia"/>
                      <w:color w:val="auto"/>
                      <w:vertAlign w:val="baseline"/>
                      <w:lang w:val="en-US" w:eastAsia="zh-CN"/>
                    </w:rPr>
                    <w:t>收集效率/%</w:t>
                  </w:r>
                </w:p>
              </w:tc>
              <w:tc>
                <w:tcPr>
                  <w:tcW w:w="281" w:type="pct"/>
                  <w:vAlign w:val="center"/>
                </w:tcPr>
                <w:p w14:paraId="528DB790">
                  <w:pPr>
                    <w:pStyle w:val="17"/>
                    <w:jc w:val="center"/>
                    <w:rPr>
                      <w:rFonts w:hint="default"/>
                      <w:color w:val="auto"/>
                      <w:vertAlign w:val="baseline"/>
                      <w:lang w:val="en-US" w:eastAsia="zh-CN"/>
                    </w:rPr>
                  </w:pPr>
                  <w:r>
                    <w:rPr>
                      <w:rFonts w:hint="eastAsia"/>
                      <w:color w:val="auto"/>
                      <w:vertAlign w:val="baseline"/>
                      <w:lang w:val="en-US" w:eastAsia="zh-CN"/>
                    </w:rPr>
                    <w:t>治理效率/%</w:t>
                  </w:r>
                </w:p>
              </w:tc>
              <w:tc>
                <w:tcPr>
                  <w:tcW w:w="543" w:type="pct"/>
                  <w:vAlign w:val="center"/>
                </w:tcPr>
                <w:p w14:paraId="74F0E092">
                  <w:pPr>
                    <w:pStyle w:val="17"/>
                    <w:jc w:val="center"/>
                    <w:rPr>
                      <w:rFonts w:hint="default"/>
                      <w:color w:val="auto"/>
                      <w:vertAlign w:val="baseline"/>
                      <w:lang w:val="en-US" w:eastAsia="zh-CN"/>
                    </w:rPr>
                  </w:pPr>
                  <w:r>
                    <w:rPr>
                      <w:rFonts w:hint="eastAsia"/>
                      <w:color w:val="auto"/>
                      <w:vertAlign w:val="baseline"/>
                      <w:lang w:val="en-US" w:eastAsia="zh-CN"/>
                    </w:rPr>
                    <w:t>是否为可行技术</w:t>
                  </w:r>
                </w:p>
              </w:tc>
              <w:tc>
                <w:tcPr>
                  <w:tcW w:w="515" w:type="pct"/>
                  <w:vAlign w:val="center"/>
                </w:tcPr>
                <w:p w14:paraId="7CCB1B6A">
                  <w:pPr>
                    <w:pStyle w:val="17"/>
                    <w:jc w:val="center"/>
                    <w:rPr>
                      <w:rFonts w:hint="default"/>
                      <w:color w:val="auto"/>
                      <w:vertAlign w:val="baseline"/>
                      <w:lang w:val="en-US" w:eastAsia="zh-CN"/>
                    </w:rPr>
                  </w:pPr>
                  <w:r>
                    <w:rPr>
                      <w:rFonts w:hint="eastAsia"/>
                      <w:color w:val="auto"/>
                      <w:vertAlign w:val="baseline"/>
                      <w:lang w:val="en-US" w:eastAsia="zh-CN"/>
                    </w:rPr>
                    <w:t>排放量t/a</w:t>
                  </w:r>
                </w:p>
              </w:tc>
              <w:tc>
                <w:tcPr>
                  <w:tcW w:w="441" w:type="pct"/>
                  <w:vAlign w:val="center"/>
                </w:tcPr>
                <w:p w14:paraId="055DD306">
                  <w:pPr>
                    <w:pStyle w:val="17"/>
                    <w:jc w:val="center"/>
                    <w:rPr>
                      <w:rFonts w:hint="eastAsia"/>
                      <w:color w:val="auto"/>
                      <w:vertAlign w:val="baseline"/>
                      <w:lang w:val="en-US" w:eastAsia="zh-CN"/>
                    </w:rPr>
                  </w:pPr>
                  <w:r>
                    <w:rPr>
                      <w:rFonts w:hint="eastAsia"/>
                      <w:color w:val="auto"/>
                      <w:vertAlign w:val="baseline"/>
                      <w:lang w:val="en-US" w:eastAsia="zh-CN"/>
                    </w:rPr>
                    <w:t>排放</w:t>
                  </w:r>
                </w:p>
                <w:p w14:paraId="2A3CC840">
                  <w:pPr>
                    <w:pStyle w:val="17"/>
                    <w:jc w:val="center"/>
                    <w:rPr>
                      <w:rFonts w:hint="default"/>
                      <w:color w:val="auto"/>
                      <w:vertAlign w:val="baseline"/>
                      <w:lang w:val="en-US" w:eastAsia="zh-CN"/>
                    </w:rPr>
                  </w:pPr>
                  <w:r>
                    <w:rPr>
                      <w:rFonts w:hint="eastAsia"/>
                      <w:color w:val="auto"/>
                      <w:vertAlign w:val="baseline"/>
                      <w:lang w:val="en-US" w:eastAsia="zh-CN"/>
                    </w:rPr>
                    <w:t>浓度mg/m</w:t>
                  </w:r>
                  <w:r>
                    <w:rPr>
                      <w:rFonts w:hint="eastAsia"/>
                      <w:color w:val="auto"/>
                      <w:vertAlign w:val="superscript"/>
                      <w:lang w:val="en-US" w:eastAsia="zh-CN"/>
                    </w:rPr>
                    <w:t>3</w:t>
                  </w:r>
                </w:p>
              </w:tc>
            </w:tr>
            <w:tr w14:paraId="49CD9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11" w:type="pct"/>
                  <w:vAlign w:val="center"/>
                </w:tcPr>
                <w:p w14:paraId="545C9650">
                  <w:pPr>
                    <w:pStyle w:val="17"/>
                    <w:jc w:val="center"/>
                    <w:rPr>
                      <w:rFonts w:hint="default"/>
                      <w:color w:val="auto"/>
                      <w:vertAlign w:val="baseline"/>
                      <w:lang w:val="en-US" w:eastAsia="zh-CN"/>
                    </w:rPr>
                  </w:pPr>
                  <w:r>
                    <w:rPr>
                      <w:rFonts w:hint="eastAsia"/>
                      <w:color w:val="auto"/>
                      <w:vertAlign w:val="baseline"/>
                      <w:lang w:val="en-US" w:eastAsia="zh-CN"/>
                    </w:rPr>
                    <w:t>物料装卸</w:t>
                  </w:r>
                </w:p>
              </w:tc>
              <w:tc>
                <w:tcPr>
                  <w:tcW w:w="431" w:type="pct"/>
                  <w:vAlign w:val="center"/>
                </w:tcPr>
                <w:p w14:paraId="16528207">
                  <w:pPr>
                    <w:pStyle w:val="17"/>
                    <w:jc w:val="center"/>
                    <w:rPr>
                      <w:rFonts w:hint="default"/>
                      <w:color w:val="auto"/>
                      <w:vertAlign w:val="baseline"/>
                      <w:lang w:val="en-US" w:eastAsia="zh-CN"/>
                    </w:rPr>
                  </w:pPr>
                  <w:r>
                    <w:rPr>
                      <w:rFonts w:hint="eastAsia"/>
                      <w:color w:val="auto"/>
                      <w:vertAlign w:val="baseline"/>
                      <w:lang w:val="en-US" w:eastAsia="zh-CN"/>
                    </w:rPr>
                    <w:t>颗粒物</w:t>
                  </w:r>
                </w:p>
              </w:tc>
              <w:tc>
                <w:tcPr>
                  <w:tcW w:w="403" w:type="pct"/>
                  <w:vAlign w:val="center"/>
                </w:tcPr>
                <w:p w14:paraId="6F790F93">
                  <w:pPr>
                    <w:pStyle w:val="17"/>
                    <w:jc w:val="center"/>
                    <w:rPr>
                      <w:rFonts w:hint="default"/>
                      <w:color w:val="auto"/>
                      <w:vertAlign w:val="baseline"/>
                      <w:lang w:val="en-US" w:eastAsia="zh-CN"/>
                    </w:rPr>
                  </w:pPr>
                  <w:r>
                    <w:rPr>
                      <w:rFonts w:hint="eastAsia"/>
                      <w:color w:val="auto"/>
                      <w:vertAlign w:val="baseline"/>
                      <w:lang w:val="en-US" w:eastAsia="zh-CN"/>
                    </w:rPr>
                    <w:t>无组织</w:t>
                  </w:r>
                </w:p>
              </w:tc>
              <w:tc>
                <w:tcPr>
                  <w:tcW w:w="393" w:type="pct"/>
                  <w:vAlign w:val="center"/>
                </w:tcPr>
                <w:p w14:paraId="399AB852">
                  <w:pPr>
                    <w:pStyle w:val="17"/>
                    <w:jc w:val="center"/>
                    <w:rPr>
                      <w:rFonts w:hint="default"/>
                      <w:color w:val="auto"/>
                      <w:vertAlign w:val="baseline"/>
                      <w:lang w:val="en-US" w:eastAsia="zh-CN"/>
                    </w:rPr>
                  </w:pPr>
                  <w:r>
                    <w:rPr>
                      <w:rFonts w:hint="eastAsia"/>
                      <w:color w:val="auto"/>
                      <w:vertAlign w:val="baseline"/>
                      <w:lang w:val="en-US" w:eastAsia="zh-CN"/>
                    </w:rPr>
                    <w:t>/</w:t>
                  </w:r>
                </w:p>
              </w:tc>
              <w:tc>
                <w:tcPr>
                  <w:tcW w:w="431" w:type="pct"/>
                  <w:vAlign w:val="center"/>
                </w:tcPr>
                <w:p w14:paraId="73B645FB">
                  <w:pPr>
                    <w:pStyle w:val="17"/>
                    <w:jc w:val="center"/>
                    <w:rPr>
                      <w:rFonts w:hint="default"/>
                      <w:color w:val="auto"/>
                      <w:vertAlign w:val="baseline"/>
                      <w:lang w:val="en-US" w:eastAsia="zh-CN"/>
                    </w:rPr>
                  </w:pPr>
                  <w:r>
                    <w:rPr>
                      <w:rFonts w:hint="eastAsia"/>
                      <w:color w:val="auto"/>
                      <w:vertAlign w:val="baseline"/>
                      <w:lang w:val="en-US" w:eastAsia="zh-CN"/>
                    </w:rPr>
                    <w:t>0.0949</w:t>
                  </w:r>
                </w:p>
              </w:tc>
              <w:tc>
                <w:tcPr>
                  <w:tcW w:w="598" w:type="pct"/>
                  <w:vAlign w:val="center"/>
                </w:tcPr>
                <w:p w14:paraId="66F81937">
                  <w:pPr>
                    <w:pStyle w:val="17"/>
                    <w:jc w:val="center"/>
                    <w:rPr>
                      <w:rFonts w:hint="default"/>
                      <w:color w:val="auto"/>
                      <w:vertAlign w:val="baseline"/>
                      <w:lang w:val="en-US" w:eastAsia="zh-CN"/>
                    </w:rPr>
                  </w:pPr>
                  <w:r>
                    <w:rPr>
                      <w:rFonts w:hint="eastAsia"/>
                      <w:color w:val="auto"/>
                      <w:vertAlign w:val="baseline"/>
                      <w:lang w:val="en-US" w:eastAsia="zh-CN"/>
                    </w:rPr>
                    <w:t>/</w:t>
                  </w:r>
                </w:p>
              </w:tc>
              <w:tc>
                <w:tcPr>
                  <w:tcW w:w="329" w:type="pct"/>
                  <w:vAlign w:val="center"/>
                </w:tcPr>
                <w:p w14:paraId="1171F743">
                  <w:pPr>
                    <w:pStyle w:val="17"/>
                    <w:jc w:val="center"/>
                    <w:rPr>
                      <w:rFonts w:hint="default"/>
                      <w:color w:val="auto"/>
                      <w:vertAlign w:val="baseline"/>
                      <w:lang w:val="en-US" w:eastAsia="zh-CN"/>
                    </w:rPr>
                  </w:pPr>
                  <w:r>
                    <w:rPr>
                      <w:rFonts w:hint="eastAsia"/>
                      <w:color w:val="auto"/>
                      <w:vertAlign w:val="baseline"/>
                      <w:lang w:val="en-US" w:eastAsia="zh-CN"/>
                    </w:rPr>
                    <w:t>/</w:t>
                  </w:r>
                </w:p>
              </w:tc>
              <w:tc>
                <w:tcPr>
                  <w:tcW w:w="318" w:type="pct"/>
                  <w:vAlign w:val="center"/>
                </w:tcPr>
                <w:p w14:paraId="0EEC314F">
                  <w:pPr>
                    <w:pStyle w:val="17"/>
                    <w:jc w:val="center"/>
                    <w:rPr>
                      <w:rFonts w:hint="default"/>
                      <w:color w:val="auto"/>
                      <w:vertAlign w:val="baseline"/>
                      <w:lang w:val="en-US" w:eastAsia="zh-CN"/>
                    </w:rPr>
                  </w:pPr>
                  <w:r>
                    <w:rPr>
                      <w:rFonts w:hint="eastAsia"/>
                      <w:color w:val="auto"/>
                      <w:vertAlign w:val="baseline"/>
                      <w:lang w:val="en-US" w:eastAsia="zh-CN"/>
                    </w:rPr>
                    <w:t>/</w:t>
                  </w:r>
                </w:p>
              </w:tc>
              <w:tc>
                <w:tcPr>
                  <w:tcW w:w="281" w:type="pct"/>
                  <w:vAlign w:val="center"/>
                </w:tcPr>
                <w:p w14:paraId="6A694AA2">
                  <w:pPr>
                    <w:pStyle w:val="17"/>
                    <w:jc w:val="center"/>
                    <w:rPr>
                      <w:rFonts w:hint="default"/>
                      <w:color w:val="auto"/>
                      <w:vertAlign w:val="baseline"/>
                      <w:lang w:val="en-US" w:eastAsia="zh-CN"/>
                    </w:rPr>
                  </w:pPr>
                  <w:r>
                    <w:rPr>
                      <w:rFonts w:hint="eastAsia"/>
                      <w:color w:val="auto"/>
                      <w:vertAlign w:val="baseline"/>
                      <w:lang w:val="en-US" w:eastAsia="zh-CN"/>
                    </w:rPr>
                    <w:t>50</w:t>
                  </w:r>
                </w:p>
              </w:tc>
              <w:tc>
                <w:tcPr>
                  <w:tcW w:w="543" w:type="pct"/>
                  <w:vAlign w:val="center"/>
                </w:tcPr>
                <w:p w14:paraId="2F639315">
                  <w:pPr>
                    <w:pStyle w:val="17"/>
                    <w:jc w:val="center"/>
                    <w:rPr>
                      <w:rFonts w:hint="default"/>
                      <w:color w:val="auto"/>
                      <w:vertAlign w:val="baseline"/>
                      <w:lang w:val="en-US" w:eastAsia="zh-CN"/>
                    </w:rPr>
                  </w:pPr>
                  <w:r>
                    <w:rPr>
                      <w:rFonts w:hint="eastAsia"/>
                      <w:color w:val="auto"/>
                      <w:vertAlign w:val="baseline"/>
                      <w:lang w:val="en-US" w:eastAsia="zh-CN"/>
                    </w:rPr>
                    <w:t>是</w:t>
                  </w:r>
                </w:p>
              </w:tc>
              <w:tc>
                <w:tcPr>
                  <w:tcW w:w="515" w:type="pct"/>
                  <w:vAlign w:val="center"/>
                </w:tcPr>
                <w:p w14:paraId="24C6C7DD">
                  <w:pPr>
                    <w:pStyle w:val="17"/>
                    <w:jc w:val="center"/>
                    <w:rPr>
                      <w:rFonts w:hint="default"/>
                      <w:color w:val="auto"/>
                      <w:vertAlign w:val="baseline"/>
                      <w:lang w:val="en-US" w:eastAsia="zh-CN"/>
                    </w:rPr>
                  </w:pPr>
                  <w:r>
                    <w:rPr>
                      <w:rFonts w:hint="eastAsia"/>
                      <w:color w:val="auto"/>
                      <w:vertAlign w:val="baseline"/>
                      <w:lang w:val="en-US" w:eastAsia="zh-CN"/>
                    </w:rPr>
                    <w:t>0.0474</w:t>
                  </w:r>
                </w:p>
              </w:tc>
              <w:tc>
                <w:tcPr>
                  <w:tcW w:w="441" w:type="pct"/>
                  <w:vAlign w:val="center"/>
                </w:tcPr>
                <w:p w14:paraId="511FD371">
                  <w:pPr>
                    <w:pStyle w:val="17"/>
                    <w:jc w:val="center"/>
                    <w:rPr>
                      <w:rFonts w:hint="default"/>
                      <w:color w:val="auto"/>
                      <w:vertAlign w:val="baseline"/>
                      <w:lang w:val="en-US" w:eastAsia="zh-CN"/>
                    </w:rPr>
                  </w:pPr>
                  <w:r>
                    <w:rPr>
                      <w:rFonts w:hint="eastAsia"/>
                      <w:color w:val="auto"/>
                      <w:vertAlign w:val="baseline"/>
                      <w:lang w:val="en-US" w:eastAsia="zh-CN"/>
                    </w:rPr>
                    <w:t>/</w:t>
                  </w:r>
                </w:p>
              </w:tc>
            </w:tr>
            <w:tr w14:paraId="3F576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11" w:type="pct"/>
                  <w:vAlign w:val="center"/>
                </w:tcPr>
                <w:p w14:paraId="2760FFE3">
                  <w:pPr>
                    <w:pStyle w:val="17"/>
                    <w:jc w:val="center"/>
                    <w:rPr>
                      <w:rFonts w:hint="default"/>
                      <w:color w:val="auto"/>
                      <w:vertAlign w:val="baseline"/>
                      <w:lang w:val="en-US" w:eastAsia="zh-CN"/>
                    </w:rPr>
                  </w:pPr>
                  <w:r>
                    <w:rPr>
                      <w:rFonts w:hint="eastAsia"/>
                      <w:color w:val="auto"/>
                      <w:vertAlign w:val="baseline"/>
                      <w:lang w:val="en-US" w:eastAsia="zh-CN"/>
                    </w:rPr>
                    <w:t>堆场扬尘</w:t>
                  </w:r>
                </w:p>
              </w:tc>
              <w:tc>
                <w:tcPr>
                  <w:tcW w:w="431" w:type="pct"/>
                  <w:vAlign w:val="center"/>
                </w:tcPr>
                <w:p w14:paraId="2B7BC9C5">
                  <w:pPr>
                    <w:pStyle w:val="17"/>
                    <w:jc w:val="center"/>
                    <w:rPr>
                      <w:rFonts w:hint="default"/>
                      <w:color w:val="auto"/>
                      <w:vertAlign w:val="baseline"/>
                      <w:lang w:val="en-US" w:eastAsia="zh-CN"/>
                    </w:rPr>
                  </w:pPr>
                  <w:r>
                    <w:rPr>
                      <w:rFonts w:hint="eastAsia"/>
                      <w:color w:val="auto"/>
                      <w:vertAlign w:val="baseline"/>
                      <w:lang w:val="en-US" w:eastAsia="zh-CN"/>
                    </w:rPr>
                    <w:t>颗粒物</w:t>
                  </w:r>
                </w:p>
              </w:tc>
              <w:tc>
                <w:tcPr>
                  <w:tcW w:w="403" w:type="pct"/>
                  <w:vAlign w:val="center"/>
                </w:tcPr>
                <w:p w14:paraId="3AECB10A">
                  <w:pPr>
                    <w:pStyle w:val="17"/>
                    <w:jc w:val="center"/>
                    <w:rPr>
                      <w:rFonts w:hint="default"/>
                      <w:color w:val="auto"/>
                      <w:vertAlign w:val="baseline"/>
                      <w:lang w:val="en-US" w:eastAsia="zh-CN"/>
                    </w:rPr>
                  </w:pPr>
                  <w:r>
                    <w:rPr>
                      <w:rFonts w:hint="eastAsia"/>
                      <w:color w:val="auto"/>
                      <w:vertAlign w:val="baseline"/>
                      <w:lang w:val="en-US" w:eastAsia="zh-CN"/>
                    </w:rPr>
                    <w:t>无组织</w:t>
                  </w:r>
                </w:p>
              </w:tc>
              <w:tc>
                <w:tcPr>
                  <w:tcW w:w="393" w:type="pct"/>
                  <w:vAlign w:val="center"/>
                </w:tcPr>
                <w:p w14:paraId="694FAA99">
                  <w:pPr>
                    <w:pStyle w:val="17"/>
                    <w:jc w:val="center"/>
                    <w:rPr>
                      <w:rFonts w:hint="default"/>
                      <w:color w:val="auto"/>
                      <w:vertAlign w:val="baseline"/>
                      <w:lang w:val="en-US" w:eastAsia="zh-CN"/>
                    </w:rPr>
                  </w:pPr>
                  <w:r>
                    <w:rPr>
                      <w:rFonts w:hint="eastAsia"/>
                      <w:color w:val="auto"/>
                      <w:vertAlign w:val="baseline"/>
                      <w:lang w:val="en-US" w:eastAsia="zh-CN"/>
                    </w:rPr>
                    <w:t>/</w:t>
                  </w:r>
                </w:p>
              </w:tc>
              <w:tc>
                <w:tcPr>
                  <w:tcW w:w="431" w:type="pct"/>
                  <w:vAlign w:val="center"/>
                </w:tcPr>
                <w:p w14:paraId="48B5C660">
                  <w:pPr>
                    <w:pStyle w:val="17"/>
                    <w:jc w:val="center"/>
                    <w:rPr>
                      <w:rFonts w:hint="default"/>
                      <w:color w:val="auto"/>
                      <w:vertAlign w:val="baseline"/>
                      <w:lang w:val="en-US" w:eastAsia="zh-CN"/>
                    </w:rPr>
                  </w:pPr>
                  <w:r>
                    <w:rPr>
                      <w:rFonts w:hint="eastAsia"/>
                      <w:color w:val="auto"/>
                      <w:vertAlign w:val="baseline"/>
                      <w:lang w:val="en-US" w:eastAsia="zh-CN"/>
                    </w:rPr>
                    <w:t>0.3874</w:t>
                  </w:r>
                </w:p>
              </w:tc>
              <w:tc>
                <w:tcPr>
                  <w:tcW w:w="598" w:type="pct"/>
                  <w:vAlign w:val="center"/>
                </w:tcPr>
                <w:p w14:paraId="05673F32">
                  <w:pPr>
                    <w:pStyle w:val="17"/>
                    <w:jc w:val="center"/>
                    <w:rPr>
                      <w:rFonts w:hint="default"/>
                      <w:color w:val="auto"/>
                      <w:vertAlign w:val="baseline"/>
                      <w:lang w:val="en-US" w:eastAsia="zh-CN"/>
                    </w:rPr>
                  </w:pPr>
                  <w:r>
                    <w:rPr>
                      <w:rFonts w:hint="eastAsia"/>
                      <w:color w:val="auto"/>
                      <w:vertAlign w:val="baseline"/>
                      <w:lang w:val="en-US" w:eastAsia="zh-CN"/>
                    </w:rPr>
                    <w:t>/</w:t>
                  </w:r>
                </w:p>
              </w:tc>
              <w:tc>
                <w:tcPr>
                  <w:tcW w:w="329" w:type="pct"/>
                  <w:vAlign w:val="center"/>
                </w:tcPr>
                <w:p w14:paraId="3279E113">
                  <w:pPr>
                    <w:pStyle w:val="17"/>
                    <w:jc w:val="center"/>
                    <w:rPr>
                      <w:rFonts w:hint="default"/>
                      <w:color w:val="auto"/>
                      <w:vertAlign w:val="baseline"/>
                      <w:lang w:val="en-US" w:eastAsia="zh-CN"/>
                    </w:rPr>
                  </w:pPr>
                  <w:r>
                    <w:rPr>
                      <w:rFonts w:hint="eastAsia"/>
                      <w:color w:val="auto"/>
                      <w:vertAlign w:val="baseline"/>
                      <w:lang w:val="en-US" w:eastAsia="zh-CN"/>
                    </w:rPr>
                    <w:t>/</w:t>
                  </w:r>
                </w:p>
              </w:tc>
              <w:tc>
                <w:tcPr>
                  <w:tcW w:w="318" w:type="pct"/>
                  <w:vAlign w:val="center"/>
                </w:tcPr>
                <w:p w14:paraId="07313E92">
                  <w:pPr>
                    <w:pStyle w:val="17"/>
                    <w:jc w:val="center"/>
                    <w:rPr>
                      <w:rFonts w:hint="default"/>
                      <w:color w:val="auto"/>
                      <w:vertAlign w:val="baseline"/>
                      <w:lang w:val="en-US" w:eastAsia="zh-CN"/>
                    </w:rPr>
                  </w:pPr>
                  <w:r>
                    <w:rPr>
                      <w:rFonts w:hint="eastAsia"/>
                      <w:color w:val="auto"/>
                      <w:vertAlign w:val="baseline"/>
                      <w:lang w:val="en-US" w:eastAsia="zh-CN"/>
                    </w:rPr>
                    <w:t>/</w:t>
                  </w:r>
                </w:p>
              </w:tc>
              <w:tc>
                <w:tcPr>
                  <w:tcW w:w="281" w:type="pct"/>
                  <w:vAlign w:val="center"/>
                </w:tcPr>
                <w:p w14:paraId="0F7B22BA">
                  <w:pPr>
                    <w:pStyle w:val="17"/>
                    <w:jc w:val="center"/>
                    <w:rPr>
                      <w:rFonts w:hint="default"/>
                      <w:color w:val="auto"/>
                      <w:vertAlign w:val="baseline"/>
                      <w:lang w:val="en-US" w:eastAsia="zh-CN"/>
                    </w:rPr>
                  </w:pPr>
                  <w:r>
                    <w:rPr>
                      <w:rFonts w:hint="eastAsia"/>
                      <w:color w:val="auto"/>
                      <w:vertAlign w:val="baseline"/>
                      <w:lang w:val="en-US" w:eastAsia="zh-CN"/>
                    </w:rPr>
                    <w:t>50</w:t>
                  </w:r>
                </w:p>
              </w:tc>
              <w:tc>
                <w:tcPr>
                  <w:tcW w:w="543" w:type="pct"/>
                  <w:vAlign w:val="center"/>
                </w:tcPr>
                <w:p w14:paraId="720C77CB">
                  <w:pPr>
                    <w:pStyle w:val="17"/>
                    <w:jc w:val="center"/>
                    <w:rPr>
                      <w:rFonts w:hint="default"/>
                      <w:color w:val="auto"/>
                      <w:vertAlign w:val="baseline"/>
                      <w:lang w:val="en-US" w:eastAsia="zh-CN"/>
                    </w:rPr>
                  </w:pPr>
                  <w:r>
                    <w:rPr>
                      <w:rFonts w:hint="eastAsia"/>
                      <w:color w:val="auto"/>
                      <w:vertAlign w:val="baseline"/>
                      <w:lang w:val="en-US" w:eastAsia="zh-CN"/>
                    </w:rPr>
                    <w:t>是</w:t>
                  </w:r>
                </w:p>
              </w:tc>
              <w:tc>
                <w:tcPr>
                  <w:tcW w:w="515" w:type="pct"/>
                  <w:vAlign w:val="center"/>
                </w:tcPr>
                <w:p w14:paraId="53D254DD">
                  <w:pPr>
                    <w:pStyle w:val="17"/>
                    <w:jc w:val="center"/>
                    <w:rPr>
                      <w:rFonts w:hint="default"/>
                      <w:color w:val="auto"/>
                      <w:vertAlign w:val="baseline"/>
                      <w:lang w:val="en-US" w:eastAsia="zh-CN"/>
                    </w:rPr>
                  </w:pPr>
                  <w:r>
                    <w:rPr>
                      <w:rFonts w:hint="eastAsia"/>
                      <w:color w:val="auto"/>
                      <w:vertAlign w:val="baseline"/>
                      <w:lang w:val="en-US" w:eastAsia="zh-CN"/>
                    </w:rPr>
                    <w:t>0.1937</w:t>
                  </w:r>
                </w:p>
              </w:tc>
              <w:tc>
                <w:tcPr>
                  <w:tcW w:w="441" w:type="pct"/>
                  <w:vAlign w:val="center"/>
                </w:tcPr>
                <w:p w14:paraId="5718B672">
                  <w:pPr>
                    <w:pStyle w:val="17"/>
                    <w:jc w:val="center"/>
                    <w:rPr>
                      <w:rFonts w:hint="default"/>
                      <w:color w:val="auto"/>
                      <w:vertAlign w:val="baseline"/>
                      <w:lang w:val="en-US" w:eastAsia="zh-CN"/>
                    </w:rPr>
                  </w:pPr>
                  <w:r>
                    <w:rPr>
                      <w:rFonts w:hint="eastAsia"/>
                      <w:color w:val="auto"/>
                      <w:vertAlign w:val="baseline"/>
                      <w:lang w:val="en-US" w:eastAsia="zh-CN"/>
                    </w:rPr>
                    <w:t>/</w:t>
                  </w:r>
                </w:p>
              </w:tc>
            </w:tr>
            <w:tr w14:paraId="7C157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trPr>
              <w:tc>
                <w:tcPr>
                  <w:tcW w:w="311" w:type="pct"/>
                  <w:vMerge w:val="restart"/>
                  <w:vAlign w:val="center"/>
                </w:tcPr>
                <w:p w14:paraId="751FE37C">
                  <w:pPr>
                    <w:pStyle w:val="17"/>
                    <w:jc w:val="center"/>
                    <w:rPr>
                      <w:rFonts w:hint="default"/>
                      <w:color w:val="auto"/>
                      <w:vertAlign w:val="baseline"/>
                      <w:lang w:val="en-US" w:eastAsia="zh-CN"/>
                    </w:rPr>
                  </w:pPr>
                  <w:r>
                    <w:rPr>
                      <w:rFonts w:hint="eastAsia"/>
                      <w:color w:val="auto"/>
                      <w:vertAlign w:val="baseline"/>
                      <w:lang w:val="en-US" w:eastAsia="zh-CN"/>
                    </w:rPr>
                    <w:t>二级破碎筛分</w:t>
                  </w:r>
                </w:p>
              </w:tc>
              <w:tc>
                <w:tcPr>
                  <w:tcW w:w="431" w:type="pct"/>
                  <w:vMerge w:val="restart"/>
                  <w:vAlign w:val="center"/>
                </w:tcPr>
                <w:p w14:paraId="1F49446B">
                  <w:pPr>
                    <w:pStyle w:val="17"/>
                    <w:jc w:val="center"/>
                    <w:rPr>
                      <w:rFonts w:hint="default"/>
                      <w:color w:val="auto"/>
                      <w:vertAlign w:val="baseline"/>
                      <w:lang w:val="en-US" w:eastAsia="zh-CN"/>
                    </w:rPr>
                  </w:pPr>
                  <w:r>
                    <w:rPr>
                      <w:rFonts w:hint="eastAsia"/>
                      <w:color w:val="auto"/>
                      <w:vertAlign w:val="baseline"/>
                      <w:lang w:val="en-US" w:eastAsia="zh-CN"/>
                    </w:rPr>
                    <w:t>颗粒物</w:t>
                  </w:r>
                </w:p>
              </w:tc>
              <w:tc>
                <w:tcPr>
                  <w:tcW w:w="403" w:type="pct"/>
                  <w:vAlign w:val="center"/>
                </w:tcPr>
                <w:p w14:paraId="24E43DC3">
                  <w:pPr>
                    <w:pStyle w:val="17"/>
                    <w:jc w:val="center"/>
                    <w:rPr>
                      <w:rFonts w:hint="default"/>
                      <w:color w:val="auto"/>
                      <w:vertAlign w:val="baseline"/>
                      <w:lang w:val="en-US" w:eastAsia="zh-CN"/>
                    </w:rPr>
                  </w:pPr>
                  <w:r>
                    <w:rPr>
                      <w:rFonts w:hint="eastAsia"/>
                      <w:color w:val="auto"/>
                      <w:vertAlign w:val="baseline"/>
                      <w:lang w:val="en-US" w:eastAsia="zh-CN"/>
                    </w:rPr>
                    <w:t>有组织</w:t>
                  </w:r>
                </w:p>
              </w:tc>
              <w:tc>
                <w:tcPr>
                  <w:tcW w:w="393" w:type="pct"/>
                  <w:vAlign w:val="center"/>
                </w:tcPr>
                <w:p w14:paraId="56822BEE">
                  <w:pPr>
                    <w:pStyle w:val="17"/>
                    <w:jc w:val="center"/>
                    <w:rPr>
                      <w:rFonts w:hint="default"/>
                      <w:color w:val="auto"/>
                      <w:vertAlign w:val="baseline"/>
                      <w:lang w:val="en-US" w:eastAsia="zh-CN"/>
                    </w:rPr>
                  </w:pPr>
                  <w:r>
                    <w:rPr>
                      <w:rFonts w:hint="eastAsia"/>
                      <w:color w:val="auto"/>
                      <w:vertAlign w:val="baseline"/>
                      <w:lang w:val="en-US" w:eastAsia="zh-CN"/>
                    </w:rPr>
                    <w:t>DA001</w:t>
                  </w:r>
                </w:p>
              </w:tc>
              <w:tc>
                <w:tcPr>
                  <w:tcW w:w="431" w:type="pct"/>
                  <w:vMerge w:val="restart"/>
                  <w:vAlign w:val="center"/>
                </w:tcPr>
                <w:p w14:paraId="4AE378FD">
                  <w:pPr>
                    <w:pStyle w:val="17"/>
                    <w:jc w:val="center"/>
                    <w:rPr>
                      <w:rFonts w:hint="default"/>
                      <w:color w:val="auto"/>
                      <w:vertAlign w:val="baseline"/>
                      <w:lang w:val="en-US" w:eastAsia="zh-CN"/>
                    </w:rPr>
                  </w:pPr>
                  <w:r>
                    <w:rPr>
                      <w:rFonts w:hint="eastAsia"/>
                      <w:color w:val="auto"/>
                      <w:vertAlign w:val="baseline"/>
                      <w:lang w:val="en-US" w:eastAsia="zh-CN"/>
                    </w:rPr>
                    <w:t>180</w:t>
                  </w:r>
                </w:p>
              </w:tc>
              <w:tc>
                <w:tcPr>
                  <w:tcW w:w="598" w:type="pct"/>
                  <w:vMerge w:val="restart"/>
                  <w:vAlign w:val="center"/>
                </w:tcPr>
                <w:p w14:paraId="6B8F269A">
                  <w:pPr>
                    <w:pStyle w:val="17"/>
                    <w:jc w:val="center"/>
                    <w:rPr>
                      <w:rFonts w:hint="default"/>
                      <w:color w:val="auto"/>
                      <w:vertAlign w:val="baseline"/>
                      <w:lang w:val="en-US" w:eastAsia="zh-CN"/>
                    </w:rPr>
                  </w:pPr>
                  <w:r>
                    <w:rPr>
                      <w:rFonts w:hint="eastAsia"/>
                      <w:color w:val="auto"/>
                      <w:vertAlign w:val="baseline"/>
                      <w:lang w:val="en-US" w:eastAsia="zh-CN"/>
                    </w:rPr>
                    <w:t>11250</w:t>
                  </w:r>
                </w:p>
              </w:tc>
              <w:tc>
                <w:tcPr>
                  <w:tcW w:w="329" w:type="pct"/>
                  <w:vAlign w:val="center"/>
                </w:tcPr>
                <w:p w14:paraId="22531B96">
                  <w:pPr>
                    <w:pStyle w:val="17"/>
                    <w:jc w:val="center"/>
                    <w:rPr>
                      <w:rFonts w:hint="default"/>
                      <w:color w:val="auto"/>
                      <w:vertAlign w:val="baseline"/>
                      <w:lang w:val="en-US" w:eastAsia="zh-CN"/>
                    </w:rPr>
                  </w:pPr>
                  <w:r>
                    <w:rPr>
                      <w:rFonts w:hint="eastAsia"/>
                      <w:color w:val="auto"/>
                      <w:vertAlign w:val="baseline"/>
                      <w:lang w:val="en-US" w:eastAsia="zh-CN"/>
                    </w:rPr>
                    <w:t>/</w:t>
                  </w:r>
                </w:p>
              </w:tc>
              <w:tc>
                <w:tcPr>
                  <w:tcW w:w="318" w:type="pct"/>
                  <w:vMerge w:val="restart"/>
                  <w:vAlign w:val="center"/>
                </w:tcPr>
                <w:p w14:paraId="5D1FDC5D">
                  <w:pPr>
                    <w:pStyle w:val="17"/>
                    <w:jc w:val="center"/>
                    <w:rPr>
                      <w:rFonts w:hint="default"/>
                      <w:color w:val="auto"/>
                      <w:vertAlign w:val="baseline"/>
                      <w:lang w:val="en-US" w:eastAsia="zh-CN"/>
                    </w:rPr>
                  </w:pPr>
                  <w:r>
                    <w:rPr>
                      <w:rFonts w:hint="eastAsia"/>
                      <w:color w:val="auto"/>
                      <w:vertAlign w:val="baseline"/>
                      <w:lang w:val="en-US" w:eastAsia="zh-CN"/>
                    </w:rPr>
                    <w:t>90</w:t>
                  </w:r>
                </w:p>
              </w:tc>
              <w:tc>
                <w:tcPr>
                  <w:tcW w:w="281" w:type="pct"/>
                  <w:vAlign w:val="center"/>
                </w:tcPr>
                <w:p w14:paraId="27CF4B17">
                  <w:pPr>
                    <w:pStyle w:val="17"/>
                    <w:jc w:val="center"/>
                    <w:rPr>
                      <w:rFonts w:hint="default"/>
                      <w:color w:val="auto"/>
                      <w:vertAlign w:val="baseline"/>
                      <w:lang w:val="en-US" w:eastAsia="zh-CN"/>
                    </w:rPr>
                  </w:pPr>
                  <w:r>
                    <w:rPr>
                      <w:rFonts w:hint="eastAsia"/>
                      <w:color w:val="auto"/>
                      <w:vertAlign w:val="baseline"/>
                      <w:lang w:val="en-US" w:eastAsia="zh-CN"/>
                    </w:rPr>
                    <w:t>99.65</w:t>
                  </w:r>
                </w:p>
              </w:tc>
              <w:tc>
                <w:tcPr>
                  <w:tcW w:w="543" w:type="pct"/>
                  <w:vAlign w:val="center"/>
                </w:tcPr>
                <w:p w14:paraId="01C10300">
                  <w:pPr>
                    <w:pStyle w:val="17"/>
                    <w:jc w:val="center"/>
                    <w:rPr>
                      <w:rFonts w:hint="default"/>
                      <w:color w:val="auto"/>
                      <w:vertAlign w:val="baseline"/>
                      <w:lang w:val="en-US" w:eastAsia="zh-CN"/>
                    </w:rPr>
                  </w:pPr>
                  <w:r>
                    <w:rPr>
                      <w:rFonts w:hint="eastAsia"/>
                      <w:color w:val="auto"/>
                      <w:vertAlign w:val="baseline"/>
                      <w:lang w:val="en-US" w:eastAsia="zh-CN"/>
                    </w:rPr>
                    <w:t>是</w:t>
                  </w:r>
                </w:p>
              </w:tc>
              <w:tc>
                <w:tcPr>
                  <w:tcW w:w="515" w:type="pct"/>
                  <w:vAlign w:val="center"/>
                </w:tcPr>
                <w:p w14:paraId="118C6C83">
                  <w:pPr>
                    <w:pStyle w:val="17"/>
                    <w:jc w:val="center"/>
                    <w:rPr>
                      <w:rFonts w:hint="default"/>
                      <w:color w:val="auto"/>
                      <w:vertAlign w:val="baseline"/>
                      <w:lang w:val="en-US" w:eastAsia="zh-CN"/>
                    </w:rPr>
                  </w:pPr>
                  <w:r>
                    <w:rPr>
                      <w:rFonts w:hint="eastAsia"/>
                      <w:color w:val="auto"/>
                      <w:vertAlign w:val="baseline"/>
                      <w:lang w:val="en-US" w:eastAsia="zh-CN"/>
                    </w:rPr>
                    <w:t>0.567</w:t>
                  </w:r>
                </w:p>
              </w:tc>
              <w:tc>
                <w:tcPr>
                  <w:tcW w:w="441" w:type="pct"/>
                  <w:vAlign w:val="center"/>
                </w:tcPr>
                <w:p w14:paraId="500D00D0">
                  <w:pPr>
                    <w:pStyle w:val="17"/>
                    <w:jc w:val="center"/>
                    <w:rPr>
                      <w:rFonts w:hint="default"/>
                      <w:color w:val="auto"/>
                      <w:vertAlign w:val="baseline"/>
                      <w:lang w:val="en-US" w:eastAsia="zh-CN"/>
                    </w:rPr>
                  </w:pPr>
                  <w:r>
                    <w:rPr>
                      <w:rFonts w:hint="eastAsia"/>
                      <w:color w:val="auto"/>
                      <w:vertAlign w:val="baseline"/>
                      <w:lang w:val="en-US" w:eastAsia="zh-CN"/>
                    </w:rPr>
                    <w:t>39.375</w:t>
                  </w:r>
                </w:p>
              </w:tc>
            </w:tr>
            <w:tr w14:paraId="0EF4E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11" w:type="pct"/>
                  <w:vMerge w:val="continue"/>
                  <w:vAlign w:val="center"/>
                </w:tcPr>
                <w:p w14:paraId="0AB39752">
                  <w:pPr>
                    <w:pStyle w:val="17"/>
                    <w:jc w:val="center"/>
                    <w:rPr>
                      <w:rFonts w:hint="eastAsia"/>
                      <w:color w:val="auto"/>
                      <w:vertAlign w:val="baseline"/>
                      <w:lang w:val="en-US" w:eastAsia="zh-CN"/>
                    </w:rPr>
                  </w:pPr>
                </w:p>
              </w:tc>
              <w:tc>
                <w:tcPr>
                  <w:tcW w:w="431" w:type="pct"/>
                  <w:vMerge w:val="continue"/>
                  <w:vAlign w:val="center"/>
                </w:tcPr>
                <w:p w14:paraId="073B47AE">
                  <w:pPr>
                    <w:pStyle w:val="17"/>
                    <w:jc w:val="center"/>
                    <w:rPr>
                      <w:rFonts w:hint="eastAsia"/>
                      <w:color w:val="auto"/>
                      <w:vertAlign w:val="baseline"/>
                      <w:lang w:val="en-US" w:eastAsia="zh-CN"/>
                    </w:rPr>
                  </w:pPr>
                </w:p>
              </w:tc>
              <w:tc>
                <w:tcPr>
                  <w:tcW w:w="403" w:type="pct"/>
                  <w:vAlign w:val="center"/>
                </w:tcPr>
                <w:p w14:paraId="129B775A">
                  <w:pPr>
                    <w:pStyle w:val="17"/>
                    <w:jc w:val="center"/>
                    <w:rPr>
                      <w:rFonts w:hint="default"/>
                      <w:color w:val="auto"/>
                      <w:vertAlign w:val="baseline"/>
                      <w:lang w:val="en-US" w:eastAsia="zh-CN"/>
                    </w:rPr>
                  </w:pPr>
                  <w:r>
                    <w:rPr>
                      <w:rFonts w:hint="eastAsia"/>
                      <w:color w:val="auto"/>
                      <w:vertAlign w:val="baseline"/>
                      <w:lang w:val="en-US" w:eastAsia="zh-CN"/>
                    </w:rPr>
                    <w:t>无组织</w:t>
                  </w:r>
                </w:p>
              </w:tc>
              <w:tc>
                <w:tcPr>
                  <w:tcW w:w="393" w:type="pct"/>
                  <w:vAlign w:val="center"/>
                </w:tcPr>
                <w:p w14:paraId="6F12C490">
                  <w:pPr>
                    <w:pStyle w:val="17"/>
                    <w:jc w:val="center"/>
                    <w:rPr>
                      <w:rFonts w:hint="default"/>
                      <w:color w:val="auto"/>
                      <w:vertAlign w:val="baseline"/>
                      <w:lang w:val="en-US" w:eastAsia="zh-CN"/>
                    </w:rPr>
                  </w:pPr>
                  <w:r>
                    <w:rPr>
                      <w:rFonts w:hint="eastAsia"/>
                      <w:color w:val="auto"/>
                      <w:vertAlign w:val="baseline"/>
                      <w:lang w:val="en-US" w:eastAsia="zh-CN"/>
                    </w:rPr>
                    <w:t>/</w:t>
                  </w:r>
                </w:p>
              </w:tc>
              <w:tc>
                <w:tcPr>
                  <w:tcW w:w="431" w:type="pct"/>
                  <w:vMerge w:val="continue"/>
                  <w:vAlign w:val="center"/>
                </w:tcPr>
                <w:p w14:paraId="71772794">
                  <w:pPr>
                    <w:pStyle w:val="17"/>
                    <w:jc w:val="center"/>
                    <w:rPr>
                      <w:rFonts w:hint="eastAsia"/>
                      <w:color w:val="auto"/>
                      <w:vertAlign w:val="baseline"/>
                      <w:lang w:val="en-US" w:eastAsia="zh-CN"/>
                    </w:rPr>
                  </w:pPr>
                </w:p>
              </w:tc>
              <w:tc>
                <w:tcPr>
                  <w:tcW w:w="598" w:type="pct"/>
                  <w:vMerge w:val="continue"/>
                  <w:vAlign w:val="center"/>
                </w:tcPr>
                <w:p w14:paraId="37F7B67C">
                  <w:pPr>
                    <w:pStyle w:val="17"/>
                    <w:jc w:val="center"/>
                    <w:rPr>
                      <w:rFonts w:hint="eastAsia"/>
                      <w:color w:val="auto"/>
                      <w:vertAlign w:val="baseline"/>
                      <w:lang w:val="en-US" w:eastAsia="zh-CN"/>
                    </w:rPr>
                  </w:pPr>
                </w:p>
              </w:tc>
              <w:tc>
                <w:tcPr>
                  <w:tcW w:w="329" w:type="pct"/>
                  <w:vAlign w:val="center"/>
                </w:tcPr>
                <w:p w14:paraId="162B7FE3">
                  <w:pPr>
                    <w:pStyle w:val="17"/>
                    <w:jc w:val="center"/>
                    <w:rPr>
                      <w:rFonts w:hint="default"/>
                      <w:color w:val="auto"/>
                      <w:vertAlign w:val="baseline"/>
                      <w:lang w:val="en-US" w:eastAsia="zh-CN"/>
                    </w:rPr>
                  </w:pPr>
                  <w:r>
                    <w:rPr>
                      <w:rFonts w:hint="eastAsia"/>
                      <w:color w:val="auto"/>
                      <w:vertAlign w:val="baseline"/>
                      <w:lang w:val="en-US" w:eastAsia="zh-CN"/>
                    </w:rPr>
                    <w:t>/</w:t>
                  </w:r>
                </w:p>
              </w:tc>
              <w:tc>
                <w:tcPr>
                  <w:tcW w:w="318" w:type="pct"/>
                  <w:vMerge w:val="continue"/>
                  <w:vAlign w:val="center"/>
                </w:tcPr>
                <w:p w14:paraId="6F74BD86">
                  <w:pPr>
                    <w:pStyle w:val="17"/>
                    <w:jc w:val="center"/>
                    <w:rPr>
                      <w:rFonts w:hint="eastAsia"/>
                      <w:color w:val="auto"/>
                      <w:vertAlign w:val="baseline"/>
                      <w:lang w:val="en-US" w:eastAsia="zh-CN"/>
                    </w:rPr>
                  </w:pPr>
                </w:p>
              </w:tc>
              <w:tc>
                <w:tcPr>
                  <w:tcW w:w="281" w:type="pct"/>
                  <w:vAlign w:val="center"/>
                </w:tcPr>
                <w:p w14:paraId="29026D38">
                  <w:pPr>
                    <w:pStyle w:val="17"/>
                    <w:jc w:val="center"/>
                    <w:rPr>
                      <w:rFonts w:hint="default"/>
                      <w:color w:val="auto"/>
                      <w:vertAlign w:val="baseline"/>
                      <w:lang w:val="en-US" w:eastAsia="zh-CN"/>
                    </w:rPr>
                  </w:pPr>
                  <w:r>
                    <w:rPr>
                      <w:rFonts w:hint="eastAsia"/>
                      <w:color w:val="auto"/>
                      <w:vertAlign w:val="baseline"/>
                      <w:lang w:val="en-US" w:eastAsia="zh-CN"/>
                    </w:rPr>
                    <w:t>95</w:t>
                  </w:r>
                </w:p>
              </w:tc>
              <w:tc>
                <w:tcPr>
                  <w:tcW w:w="543" w:type="pct"/>
                  <w:vAlign w:val="center"/>
                </w:tcPr>
                <w:p w14:paraId="542E3ED8">
                  <w:pPr>
                    <w:pStyle w:val="17"/>
                    <w:jc w:val="center"/>
                    <w:rPr>
                      <w:rFonts w:hint="default"/>
                      <w:color w:val="auto"/>
                      <w:vertAlign w:val="baseline"/>
                      <w:lang w:val="en-US" w:eastAsia="zh-CN"/>
                    </w:rPr>
                  </w:pPr>
                  <w:r>
                    <w:rPr>
                      <w:rFonts w:hint="eastAsia"/>
                      <w:color w:val="auto"/>
                      <w:vertAlign w:val="baseline"/>
                      <w:lang w:val="en-US" w:eastAsia="zh-CN"/>
                    </w:rPr>
                    <w:t>是</w:t>
                  </w:r>
                </w:p>
              </w:tc>
              <w:tc>
                <w:tcPr>
                  <w:tcW w:w="515" w:type="pct"/>
                  <w:vAlign w:val="center"/>
                </w:tcPr>
                <w:p w14:paraId="3927AA48">
                  <w:pPr>
                    <w:pStyle w:val="17"/>
                    <w:jc w:val="center"/>
                    <w:rPr>
                      <w:rFonts w:hint="default"/>
                      <w:color w:val="auto"/>
                      <w:vertAlign w:val="baseline"/>
                      <w:lang w:val="en-US" w:eastAsia="zh-CN"/>
                    </w:rPr>
                  </w:pPr>
                  <w:r>
                    <w:rPr>
                      <w:rFonts w:hint="eastAsia"/>
                      <w:color w:val="auto"/>
                      <w:vertAlign w:val="baseline"/>
                      <w:lang w:val="en-US" w:eastAsia="zh-CN"/>
                    </w:rPr>
                    <w:t>0.9</w:t>
                  </w:r>
                </w:p>
              </w:tc>
              <w:tc>
                <w:tcPr>
                  <w:tcW w:w="441" w:type="pct"/>
                  <w:vAlign w:val="center"/>
                </w:tcPr>
                <w:p w14:paraId="645448E1">
                  <w:pPr>
                    <w:pStyle w:val="17"/>
                    <w:jc w:val="center"/>
                    <w:rPr>
                      <w:rFonts w:hint="default"/>
                      <w:color w:val="auto"/>
                      <w:vertAlign w:val="baseline"/>
                      <w:lang w:val="en-US" w:eastAsia="zh-CN"/>
                    </w:rPr>
                  </w:pPr>
                  <w:r>
                    <w:rPr>
                      <w:rFonts w:hint="eastAsia"/>
                      <w:color w:val="auto"/>
                      <w:vertAlign w:val="baseline"/>
                      <w:lang w:val="en-US" w:eastAsia="zh-CN"/>
                    </w:rPr>
                    <w:t>/</w:t>
                  </w:r>
                </w:p>
              </w:tc>
            </w:tr>
            <w:tr w14:paraId="5CCE0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11" w:type="pct"/>
                  <w:vAlign w:val="center"/>
                </w:tcPr>
                <w:p w14:paraId="41EFFEA9">
                  <w:pPr>
                    <w:pStyle w:val="17"/>
                    <w:jc w:val="center"/>
                    <w:rPr>
                      <w:rFonts w:hint="default"/>
                      <w:color w:val="auto"/>
                      <w:vertAlign w:val="baseline"/>
                      <w:lang w:val="en-US" w:eastAsia="zh-CN"/>
                    </w:rPr>
                  </w:pPr>
                  <w:r>
                    <w:rPr>
                      <w:rFonts w:hint="eastAsia"/>
                      <w:color w:val="auto"/>
                      <w:vertAlign w:val="baseline"/>
                      <w:lang w:val="en-US" w:eastAsia="zh-CN"/>
                    </w:rPr>
                    <w:t>投料粉尘</w:t>
                  </w:r>
                </w:p>
              </w:tc>
              <w:tc>
                <w:tcPr>
                  <w:tcW w:w="431" w:type="pct"/>
                  <w:vAlign w:val="center"/>
                </w:tcPr>
                <w:p w14:paraId="587B1067">
                  <w:pPr>
                    <w:pStyle w:val="17"/>
                    <w:jc w:val="center"/>
                    <w:rPr>
                      <w:rFonts w:hint="default"/>
                      <w:color w:val="auto"/>
                      <w:vertAlign w:val="baseline"/>
                      <w:lang w:val="en-US" w:eastAsia="zh-CN"/>
                    </w:rPr>
                  </w:pPr>
                  <w:r>
                    <w:rPr>
                      <w:rFonts w:hint="eastAsia"/>
                      <w:color w:val="auto"/>
                      <w:vertAlign w:val="baseline"/>
                      <w:lang w:val="en-US" w:eastAsia="zh-CN"/>
                    </w:rPr>
                    <w:t>颗粒物</w:t>
                  </w:r>
                </w:p>
              </w:tc>
              <w:tc>
                <w:tcPr>
                  <w:tcW w:w="403" w:type="pct"/>
                  <w:vAlign w:val="center"/>
                </w:tcPr>
                <w:p w14:paraId="5CD47CCD">
                  <w:pPr>
                    <w:pStyle w:val="17"/>
                    <w:jc w:val="center"/>
                    <w:rPr>
                      <w:rFonts w:hint="default"/>
                      <w:color w:val="auto"/>
                      <w:vertAlign w:val="baseline"/>
                      <w:lang w:val="en-US" w:eastAsia="zh-CN"/>
                    </w:rPr>
                  </w:pPr>
                  <w:r>
                    <w:rPr>
                      <w:rFonts w:hint="eastAsia"/>
                      <w:color w:val="auto"/>
                      <w:vertAlign w:val="baseline"/>
                      <w:lang w:val="en-US" w:eastAsia="zh-CN"/>
                    </w:rPr>
                    <w:t>无组织</w:t>
                  </w:r>
                </w:p>
              </w:tc>
              <w:tc>
                <w:tcPr>
                  <w:tcW w:w="393" w:type="pct"/>
                  <w:vAlign w:val="center"/>
                </w:tcPr>
                <w:p w14:paraId="72A9A104">
                  <w:pPr>
                    <w:pStyle w:val="17"/>
                    <w:jc w:val="center"/>
                    <w:rPr>
                      <w:rFonts w:hint="default"/>
                      <w:color w:val="auto"/>
                      <w:vertAlign w:val="baseline"/>
                      <w:lang w:val="en-US" w:eastAsia="zh-CN"/>
                    </w:rPr>
                  </w:pPr>
                  <w:r>
                    <w:rPr>
                      <w:rFonts w:hint="eastAsia"/>
                      <w:color w:val="auto"/>
                      <w:vertAlign w:val="baseline"/>
                      <w:lang w:val="en-US" w:eastAsia="zh-CN"/>
                    </w:rPr>
                    <w:t>/</w:t>
                  </w:r>
                </w:p>
              </w:tc>
              <w:tc>
                <w:tcPr>
                  <w:tcW w:w="431" w:type="pct"/>
                  <w:vAlign w:val="center"/>
                </w:tcPr>
                <w:p w14:paraId="2F64828F">
                  <w:pPr>
                    <w:pStyle w:val="17"/>
                    <w:jc w:val="center"/>
                    <w:rPr>
                      <w:rFonts w:hint="default"/>
                      <w:color w:val="auto"/>
                      <w:vertAlign w:val="baseline"/>
                      <w:lang w:val="en-US" w:eastAsia="zh-CN"/>
                    </w:rPr>
                  </w:pPr>
                  <w:r>
                    <w:rPr>
                      <w:rFonts w:hint="eastAsia"/>
                      <w:color w:val="auto"/>
                      <w:vertAlign w:val="baseline"/>
                      <w:lang w:val="en-US" w:eastAsia="zh-CN"/>
                    </w:rPr>
                    <w:t>0.1103</w:t>
                  </w:r>
                </w:p>
              </w:tc>
              <w:tc>
                <w:tcPr>
                  <w:tcW w:w="598" w:type="pct"/>
                  <w:vAlign w:val="center"/>
                </w:tcPr>
                <w:p w14:paraId="3269D85A">
                  <w:pPr>
                    <w:pStyle w:val="17"/>
                    <w:jc w:val="center"/>
                    <w:rPr>
                      <w:rFonts w:hint="default"/>
                      <w:color w:val="auto"/>
                      <w:vertAlign w:val="baseline"/>
                      <w:lang w:val="en-US" w:eastAsia="zh-CN"/>
                    </w:rPr>
                  </w:pPr>
                  <w:r>
                    <w:rPr>
                      <w:rFonts w:hint="eastAsia"/>
                      <w:color w:val="auto"/>
                      <w:vertAlign w:val="baseline"/>
                      <w:lang w:val="en-US" w:eastAsia="zh-CN"/>
                    </w:rPr>
                    <w:t>/</w:t>
                  </w:r>
                </w:p>
              </w:tc>
              <w:tc>
                <w:tcPr>
                  <w:tcW w:w="329" w:type="pct"/>
                  <w:vAlign w:val="center"/>
                </w:tcPr>
                <w:p w14:paraId="166B39C0">
                  <w:pPr>
                    <w:pStyle w:val="17"/>
                    <w:jc w:val="center"/>
                    <w:rPr>
                      <w:rFonts w:hint="default"/>
                      <w:color w:val="auto"/>
                      <w:vertAlign w:val="baseline"/>
                      <w:lang w:val="en-US" w:eastAsia="zh-CN"/>
                    </w:rPr>
                  </w:pPr>
                  <w:r>
                    <w:rPr>
                      <w:rFonts w:hint="eastAsia"/>
                      <w:color w:val="auto"/>
                      <w:vertAlign w:val="baseline"/>
                      <w:lang w:val="en-US" w:eastAsia="zh-CN"/>
                    </w:rPr>
                    <w:t>/</w:t>
                  </w:r>
                </w:p>
              </w:tc>
              <w:tc>
                <w:tcPr>
                  <w:tcW w:w="318" w:type="pct"/>
                  <w:vAlign w:val="center"/>
                </w:tcPr>
                <w:p w14:paraId="3817564B">
                  <w:pPr>
                    <w:pStyle w:val="17"/>
                    <w:jc w:val="center"/>
                    <w:rPr>
                      <w:rFonts w:hint="default"/>
                      <w:color w:val="auto"/>
                      <w:vertAlign w:val="baseline"/>
                      <w:lang w:val="en-US" w:eastAsia="zh-CN"/>
                    </w:rPr>
                  </w:pPr>
                  <w:r>
                    <w:rPr>
                      <w:rFonts w:hint="eastAsia"/>
                      <w:color w:val="auto"/>
                      <w:vertAlign w:val="baseline"/>
                      <w:lang w:val="en-US" w:eastAsia="zh-CN"/>
                    </w:rPr>
                    <w:t>/</w:t>
                  </w:r>
                </w:p>
              </w:tc>
              <w:tc>
                <w:tcPr>
                  <w:tcW w:w="281" w:type="pct"/>
                  <w:vAlign w:val="center"/>
                </w:tcPr>
                <w:p w14:paraId="2C6867E1">
                  <w:pPr>
                    <w:pStyle w:val="17"/>
                    <w:jc w:val="center"/>
                    <w:rPr>
                      <w:rFonts w:hint="default"/>
                      <w:color w:val="auto"/>
                      <w:vertAlign w:val="baseline"/>
                      <w:lang w:val="en-US" w:eastAsia="zh-CN"/>
                    </w:rPr>
                  </w:pPr>
                  <w:r>
                    <w:rPr>
                      <w:rFonts w:hint="eastAsia"/>
                      <w:color w:val="auto"/>
                      <w:vertAlign w:val="baseline"/>
                      <w:lang w:val="en-US" w:eastAsia="zh-CN"/>
                    </w:rPr>
                    <w:t>50</w:t>
                  </w:r>
                </w:p>
              </w:tc>
              <w:tc>
                <w:tcPr>
                  <w:tcW w:w="543" w:type="pct"/>
                  <w:vAlign w:val="center"/>
                </w:tcPr>
                <w:p w14:paraId="20228C05">
                  <w:pPr>
                    <w:pStyle w:val="17"/>
                    <w:jc w:val="center"/>
                    <w:rPr>
                      <w:rFonts w:hint="default"/>
                      <w:color w:val="auto"/>
                      <w:vertAlign w:val="baseline"/>
                      <w:lang w:val="en-US" w:eastAsia="zh-CN"/>
                    </w:rPr>
                  </w:pPr>
                  <w:r>
                    <w:rPr>
                      <w:rFonts w:hint="eastAsia"/>
                      <w:color w:val="auto"/>
                      <w:vertAlign w:val="baseline"/>
                      <w:lang w:val="en-US" w:eastAsia="zh-CN"/>
                    </w:rPr>
                    <w:t>是</w:t>
                  </w:r>
                </w:p>
              </w:tc>
              <w:tc>
                <w:tcPr>
                  <w:tcW w:w="515" w:type="pct"/>
                  <w:vAlign w:val="center"/>
                </w:tcPr>
                <w:p w14:paraId="4D0550EE">
                  <w:pPr>
                    <w:pStyle w:val="17"/>
                    <w:jc w:val="center"/>
                    <w:rPr>
                      <w:rFonts w:hint="default"/>
                      <w:color w:val="auto"/>
                      <w:vertAlign w:val="baseline"/>
                      <w:lang w:val="en-US" w:eastAsia="zh-CN"/>
                    </w:rPr>
                  </w:pPr>
                  <w:r>
                    <w:rPr>
                      <w:rFonts w:hint="eastAsia"/>
                      <w:color w:val="auto"/>
                      <w:vertAlign w:val="baseline"/>
                      <w:lang w:val="en-US" w:eastAsia="zh-CN"/>
                    </w:rPr>
                    <w:t>0.0551</w:t>
                  </w:r>
                </w:p>
              </w:tc>
              <w:tc>
                <w:tcPr>
                  <w:tcW w:w="441" w:type="pct"/>
                  <w:vAlign w:val="center"/>
                </w:tcPr>
                <w:p w14:paraId="2F8FD7E9">
                  <w:pPr>
                    <w:pStyle w:val="17"/>
                    <w:jc w:val="center"/>
                    <w:rPr>
                      <w:rFonts w:hint="default"/>
                      <w:color w:val="auto"/>
                      <w:vertAlign w:val="baseline"/>
                      <w:lang w:val="en-US" w:eastAsia="zh-CN"/>
                    </w:rPr>
                  </w:pPr>
                  <w:r>
                    <w:rPr>
                      <w:rFonts w:hint="eastAsia"/>
                      <w:color w:val="auto"/>
                      <w:vertAlign w:val="baseline"/>
                      <w:lang w:val="en-US" w:eastAsia="zh-CN"/>
                    </w:rPr>
                    <w:t>/</w:t>
                  </w:r>
                </w:p>
              </w:tc>
            </w:tr>
            <w:tr w14:paraId="7CB9C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11" w:type="pct"/>
                  <w:vAlign w:val="center"/>
                </w:tcPr>
                <w:p w14:paraId="280CD46E">
                  <w:pPr>
                    <w:pStyle w:val="17"/>
                    <w:jc w:val="center"/>
                    <w:rPr>
                      <w:rFonts w:hint="default"/>
                      <w:color w:val="auto"/>
                      <w:vertAlign w:val="baseline"/>
                      <w:lang w:val="en-US" w:eastAsia="zh-CN"/>
                    </w:rPr>
                  </w:pPr>
                  <w:r>
                    <w:rPr>
                      <w:rFonts w:hint="eastAsia"/>
                      <w:color w:val="auto"/>
                      <w:vertAlign w:val="baseline"/>
                      <w:lang w:val="en-US" w:eastAsia="zh-CN"/>
                    </w:rPr>
                    <w:t>输送粉尘</w:t>
                  </w:r>
                </w:p>
              </w:tc>
              <w:tc>
                <w:tcPr>
                  <w:tcW w:w="431" w:type="pct"/>
                  <w:vAlign w:val="center"/>
                </w:tcPr>
                <w:p w14:paraId="7DAF0B27">
                  <w:pPr>
                    <w:pStyle w:val="17"/>
                    <w:jc w:val="center"/>
                    <w:rPr>
                      <w:rFonts w:hint="default"/>
                      <w:color w:val="auto"/>
                      <w:vertAlign w:val="baseline"/>
                      <w:lang w:val="en-US" w:eastAsia="zh-CN"/>
                    </w:rPr>
                  </w:pPr>
                  <w:r>
                    <w:rPr>
                      <w:rFonts w:hint="eastAsia"/>
                      <w:color w:val="auto"/>
                      <w:vertAlign w:val="baseline"/>
                      <w:lang w:val="en-US" w:eastAsia="zh-CN"/>
                    </w:rPr>
                    <w:t>颗粒物</w:t>
                  </w:r>
                </w:p>
              </w:tc>
              <w:tc>
                <w:tcPr>
                  <w:tcW w:w="403" w:type="pct"/>
                  <w:vAlign w:val="center"/>
                </w:tcPr>
                <w:p w14:paraId="71DB5398">
                  <w:pPr>
                    <w:pStyle w:val="17"/>
                    <w:jc w:val="center"/>
                    <w:rPr>
                      <w:rFonts w:hint="default"/>
                      <w:color w:val="auto"/>
                      <w:vertAlign w:val="baseline"/>
                      <w:lang w:val="en-US" w:eastAsia="zh-CN"/>
                    </w:rPr>
                  </w:pPr>
                  <w:r>
                    <w:rPr>
                      <w:rFonts w:hint="eastAsia"/>
                      <w:color w:val="auto"/>
                      <w:vertAlign w:val="baseline"/>
                      <w:lang w:val="en-US" w:eastAsia="zh-CN"/>
                    </w:rPr>
                    <w:t>无组织</w:t>
                  </w:r>
                </w:p>
              </w:tc>
              <w:tc>
                <w:tcPr>
                  <w:tcW w:w="393" w:type="pct"/>
                  <w:vAlign w:val="center"/>
                </w:tcPr>
                <w:p w14:paraId="17959EE3">
                  <w:pPr>
                    <w:pStyle w:val="17"/>
                    <w:jc w:val="center"/>
                    <w:rPr>
                      <w:rFonts w:hint="default"/>
                      <w:color w:val="auto"/>
                      <w:vertAlign w:val="baseline"/>
                      <w:lang w:val="en-US" w:eastAsia="zh-CN"/>
                    </w:rPr>
                  </w:pPr>
                  <w:r>
                    <w:rPr>
                      <w:rFonts w:hint="eastAsia"/>
                      <w:color w:val="auto"/>
                      <w:vertAlign w:val="baseline"/>
                      <w:lang w:val="en-US" w:eastAsia="zh-CN"/>
                    </w:rPr>
                    <w:t>/</w:t>
                  </w:r>
                </w:p>
              </w:tc>
              <w:tc>
                <w:tcPr>
                  <w:tcW w:w="431" w:type="pct"/>
                  <w:vAlign w:val="center"/>
                </w:tcPr>
                <w:p w14:paraId="2E875AB2">
                  <w:pPr>
                    <w:pStyle w:val="17"/>
                    <w:jc w:val="center"/>
                    <w:rPr>
                      <w:rFonts w:hint="default"/>
                      <w:color w:val="auto"/>
                      <w:vertAlign w:val="baseline"/>
                      <w:lang w:val="en-US" w:eastAsia="zh-CN"/>
                    </w:rPr>
                  </w:pPr>
                  <w:r>
                    <w:rPr>
                      <w:rFonts w:hint="eastAsia"/>
                      <w:color w:val="auto"/>
                      <w:vertAlign w:val="baseline"/>
                      <w:lang w:val="en-US" w:eastAsia="zh-CN"/>
                    </w:rPr>
                    <w:t>0.12</w:t>
                  </w:r>
                </w:p>
              </w:tc>
              <w:tc>
                <w:tcPr>
                  <w:tcW w:w="598" w:type="pct"/>
                  <w:vAlign w:val="center"/>
                </w:tcPr>
                <w:p w14:paraId="0DA5C28F">
                  <w:pPr>
                    <w:pStyle w:val="17"/>
                    <w:jc w:val="center"/>
                    <w:rPr>
                      <w:rFonts w:hint="default"/>
                      <w:color w:val="auto"/>
                      <w:vertAlign w:val="baseline"/>
                      <w:lang w:val="en-US" w:eastAsia="zh-CN"/>
                    </w:rPr>
                  </w:pPr>
                  <w:r>
                    <w:rPr>
                      <w:rFonts w:hint="eastAsia"/>
                      <w:color w:val="auto"/>
                      <w:vertAlign w:val="baseline"/>
                      <w:lang w:val="en-US" w:eastAsia="zh-CN"/>
                    </w:rPr>
                    <w:t>/</w:t>
                  </w:r>
                </w:p>
              </w:tc>
              <w:tc>
                <w:tcPr>
                  <w:tcW w:w="329" w:type="pct"/>
                  <w:vAlign w:val="center"/>
                </w:tcPr>
                <w:p w14:paraId="3DC185BB">
                  <w:pPr>
                    <w:pStyle w:val="17"/>
                    <w:jc w:val="center"/>
                    <w:rPr>
                      <w:rFonts w:hint="default"/>
                      <w:color w:val="auto"/>
                      <w:vertAlign w:val="baseline"/>
                      <w:lang w:val="en-US" w:eastAsia="zh-CN"/>
                    </w:rPr>
                  </w:pPr>
                  <w:r>
                    <w:rPr>
                      <w:rFonts w:hint="eastAsia"/>
                      <w:color w:val="auto"/>
                      <w:vertAlign w:val="baseline"/>
                      <w:lang w:val="en-US" w:eastAsia="zh-CN"/>
                    </w:rPr>
                    <w:t>/</w:t>
                  </w:r>
                </w:p>
              </w:tc>
              <w:tc>
                <w:tcPr>
                  <w:tcW w:w="318" w:type="pct"/>
                  <w:vAlign w:val="center"/>
                </w:tcPr>
                <w:p w14:paraId="573E6A1C">
                  <w:pPr>
                    <w:pStyle w:val="17"/>
                    <w:jc w:val="center"/>
                    <w:rPr>
                      <w:rFonts w:hint="default"/>
                      <w:color w:val="auto"/>
                      <w:vertAlign w:val="baseline"/>
                      <w:lang w:val="en-US" w:eastAsia="zh-CN"/>
                    </w:rPr>
                  </w:pPr>
                  <w:r>
                    <w:rPr>
                      <w:rFonts w:hint="eastAsia"/>
                      <w:color w:val="auto"/>
                      <w:vertAlign w:val="baseline"/>
                      <w:lang w:val="en-US" w:eastAsia="zh-CN"/>
                    </w:rPr>
                    <w:t>/</w:t>
                  </w:r>
                </w:p>
              </w:tc>
              <w:tc>
                <w:tcPr>
                  <w:tcW w:w="281" w:type="pct"/>
                  <w:vAlign w:val="center"/>
                </w:tcPr>
                <w:p w14:paraId="126FC67F">
                  <w:pPr>
                    <w:pStyle w:val="17"/>
                    <w:jc w:val="center"/>
                    <w:rPr>
                      <w:rFonts w:hint="default"/>
                      <w:color w:val="auto"/>
                      <w:vertAlign w:val="baseline"/>
                      <w:lang w:val="en-US" w:eastAsia="zh-CN"/>
                    </w:rPr>
                  </w:pPr>
                  <w:r>
                    <w:rPr>
                      <w:rFonts w:hint="eastAsia"/>
                      <w:color w:val="auto"/>
                      <w:vertAlign w:val="baseline"/>
                      <w:lang w:val="en-US" w:eastAsia="zh-CN"/>
                    </w:rPr>
                    <w:t>/</w:t>
                  </w:r>
                </w:p>
              </w:tc>
              <w:tc>
                <w:tcPr>
                  <w:tcW w:w="543" w:type="pct"/>
                  <w:vAlign w:val="center"/>
                </w:tcPr>
                <w:p w14:paraId="32E6A46A">
                  <w:pPr>
                    <w:pStyle w:val="17"/>
                    <w:jc w:val="center"/>
                    <w:rPr>
                      <w:rFonts w:hint="default"/>
                      <w:color w:val="auto"/>
                      <w:vertAlign w:val="baseline"/>
                      <w:lang w:val="en-US" w:eastAsia="zh-CN"/>
                    </w:rPr>
                  </w:pPr>
                  <w:r>
                    <w:rPr>
                      <w:rFonts w:hint="eastAsia"/>
                      <w:color w:val="auto"/>
                      <w:vertAlign w:val="baseline"/>
                      <w:lang w:val="en-US" w:eastAsia="zh-CN"/>
                    </w:rPr>
                    <w:t>是</w:t>
                  </w:r>
                </w:p>
              </w:tc>
              <w:tc>
                <w:tcPr>
                  <w:tcW w:w="515" w:type="pct"/>
                  <w:vAlign w:val="center"/>
                </w:tcPr>
                <w:p w14:paraId="399EC673">
                  <w:pPr>
                    <w:pStyle w:val="17"/>
                    <w:jc w:val="center"/>
                    <w:rPr>
                      <w:rFonts w:hint="default"/>
                      <w:color w:val="auto"/>
                      <w:vertAlign w:val="baseline"/>
                      <w:lang w:val="en-US" w:eastAsia="zh-CN"/>
                    </w:rPr>
                  </w:pPr>
                  <w:r>
                    <w:rPr>
                      <w:rFonts w:hint="eastAsia"/>
                      <w:color w:val="auto"/>
                      <w:vertAlign w:val="baseline"/>
                      <w:lang w:val="en-US" w:eastAsia="zh-CN"/>
                    </w:rPr>
                    <w:t>0.12</w:t>
                  </w:r>
                </w:p>
              </w:tc>
              <w:tc>
                <w:tcPr>
                  <w:tcW w:w="441" w:type="pct"/>
                  <w:vAlign w:val="center"/>
                </w:tcPr>
                <w:p w14:paraId="4E7ECC4A">
                  <w:pPr>
                    <w:pStyle w:val="17"/>
                    <w:jc w:val="center"/>
                    <w:rPr>
                      <w:rFonts w:hint="default"/>
                      <w:color w:val="auto"/>
                      <w:vertAlign w:val="baseline"/>
                      <w:lang w:val="en-US" w:eastAsia="zh-CN"/>
                    </w:rPr>
                  </w:pPr>
                  <w:r>
                    <w:rPr>
                      <w:rFonts w:hint="eastAsia"/>
                      <w:color w:val="auto"/>
                      <w:vertAlign w:val="baseline"/>
                      <w:lang w:val="en-US" w:eastAsia="zh-CN"/>
                    </w:rPr>
                    <w:t>/</w:t>
                  </w:r>
                </w:p>
              </w:tc>
            </w:tr>
            <w:tr w14:paraId="6864E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11" w:type="pct"/>
                  <w:vAlign w:val="center"/>
                </w:tcPr>
                <w:p w14:paraId="3DA16081">
                  <w:pPr>
                    <w:pStyle w:val="17"/>
                    <w:jc w:val="center"/>
                    <w:rPr>
                      <w:rFonts w:hint="default"/>
                      <w:color w:val="auto"/>
                      <w:vertAlign w:val="baseline"/>
                      <w:lang w:val="en-US" w:eastAsia="zh-CN"/>
                    </w:rPr>
                  </w:pPr>
                  <w:r>
                    <w:rPr>
                      <w:rFonts w:hint="eastAsia"/>
                      <w:color w:val="auto"/>
                      <w:vertAlign w:val="baseline"/>
                      <w:lang w:val="en-US" w:eastAsia="zh-CN"/>
                    </w:rPr>
                    <w:t>道路扬尘</w:t>
                  </w:r>
                </w:p>
              </w:tc>
              <w:tc>
                <w:tcPr>
                  <w:tcW w:w="431" w:type="pct"/>
                  <w:vAlign w:val="center"/>
                </w:tcPr>
                <w:p w14:paraId="4311D2D8">
                  <w:pPr>
                    <w:pStyle w:val="17"/>
                    <w:jc w:val="center"/>
                    <w:rPr>
                      <w:rFonts w:hint="default"/>
                      <w:color w:val="auto"/>
                      <w:vertAlign w:val="baseline"/>
                      <w:lang w:val="en-US" w:eastAsia="zh-CN"/>
                    </w:rPr>
                  </w:pPr>
                  <w:r>
                    <w:rPr>
                      <w:rFonts w:hint="eastAsia"/>
                      <w:color w:val="auto"/>
                      <w:vertAlign w:val="baseline"/>
                      <w:lang w:val="en-US" w:eastAsia="zh-CN"/>
                    </w:rPr>
                    <w:t>颗粒物</w:t>
                  </w:r>
                </w:p>
              </w:tc>
              <w:tc>
                <w:tcPr>
                  <w:tcW w:w="403" w:type="pct"/>
                  <w:vAlign w:val="center"/>
                </w:tcPr>
                <w:p w14:paraId="1C89E3AF">
                  <w:pPr>
                    <w:pStyle w:val="17"/>
                    <w:jc w:val="center"/>
                    <w:rPr>
                      <w:rFonts w:hint="default"/>
                      <w:color w:val="auto"/>
                      <w:vertAlign w:val="baseline"/>
                      <w:lang w:val="en-US" w:eastAsia="zh-CN"/>
                    </w:rPr>
                  </w:pPr>
                  <w:r>
                    <w:rPr>
                      <w:rFonts w:hint="eastAsia"/>
                      <w:color w:val="auto"/>
                      <w:vertAlign w:val="baseline"/>
                      <w:lang w:val="en-US" w:eastAsia="zh-CN"/>
                    </w:rPr>
                    <w:t>无组织</w:t>
                  </w:r>
                </w:p>
              </w:tc>
              <w:tc>
                <w:tcPr>
                  <w:tcW w:w="393" w:type="pct"/>
                  <w:vAlign w:val="center"/>
                </w:tcPr>
                <w:p w14:paraId="7061E55E">
                  <w:pPr>
                    <w:pStyle w:val="17"/>
                    <w:jc w:val="center"/>
                    <w:rPr>
                      <w:rFonts w:hint="default"/>
                      <w:color w:val="auto"/>
                      <w:vertAlign w:val="baseline"/>
                      <w:lang w:val="en-US" w:eastAsia="zh-CN"/>
                    </w:rPr>
                  </w:pPr>
                  <w:r>
                    <w:rPr>
                      <w:rFonts w:hint="eastAsia"/>
                      <w:color w:val="auto"/>
                      <w:vertAlign w:val="baseline"/>
                      <w:lang w:val="en-US" w:eastAsia="zh-CN"/>
                    </w:rPr>
                    <w:t>/</w:t>
                  </w:r>
                </w:p>
              </w:tc>
              <w:tc>
                <w:tcPr>
                  <w:tcW w:w="431" w:type="pct"/>
                  <w:vAlign w:val="center"/>
                </w:tcPr>
                <w:p w14:paraId="564CC703">
                  <w:pPr>
                    <w:pStyle w:val="17"/>
                    <w:jc w:val="center"/>
                    <w:rPr>
                      <w:rFonts w:hint="default"/>
                      <w:color w:val="auto"/>
                      <w:vertAlign w:val="baseline"/>
                      <w:lang w:val="en-US" w:eastAsia="zh-CN"/>
                    </w:rPr>
                  </w:pPr>
                  <w:r>
                    <w:rPr>
                      <w:rFonts w:hint="eastAsia"/>
                      <w:color w:val="auto"/>
                      <w:vertAlign w:val="baseline"/>
                      <w:lang w:val="en-US" w:eastAsia="zh-CN"/>
                    </w:rPr>
                    <w:t>4.3026</w:t>
                  </w:r>
                </w:p>
              </w:tc>
              <w:tc>
                <w:tcPr>
                  <w:tcW w:w="598" w:type="pct"/>
                  <w:vAlign w:val="center"/>
                </w:tcPr>
                <w:p w14:paraId="410533DE">
                  <w:pPr>
                    <w:pStyle w:val="17"/>
                    <w:jc w:val="center"/>
                    <w:rPr>
                      <w:rFonts w:hint="default"/>
                      <w:color w:val="auto"/>
                      <w:vertAlign w:val="baseline"/>
                      <w:lang w:val="en-US" w:eastAsia="zh-CN"/>
                    </w:rPr>
                  </w:pPr>
                  <w:r>
                    <w:rPr>
                      <w:rFonts w:hint="eastAsia"/>
                      <w:color w:val="auto"/>
                      <w:vertAlign w:val="baseline"/>
                      <w:lang w:val="en-US" w:eastAsia="zh-CN"/>
                    </w:rPr>
                    <w:t>/</w:t>
                  </w:r>
                </w:p>
              </w:tc>
              <w:tc>
                <w:tcPr>
                  <w:tcW w:w="329" w:type="pct"/>
                  <w:vAlign w:val="center"/>
                </w:tcPr>
                <w:p w14:paraId="6A4C405D">
                  <w:pPr>
                    <w:pStyle w:val="17"/>
                    <w:jc w:val="center"/>
                    <w:rPr>
                      <w:rFonts w:hint="default"/>
                      <w:color w:val="auto"/>
                      <w:vertAlign w:val="baseline"/>
                      <w:lang w:val="en-US" w:eastAsia="zh-CN"/>
                    </w:rPr>
                  </w:pPr>
                  <w:r>
                    <w:rPr>
                      <w:rFonts w:hint="eastAsia"/>
                      <w:color w:val="auto"/>
                      <w:vertAlign w:val="baseline"/>
                      <w:lang w:val="en-US" w:eastAsia="zh-CN"/>
                    </w:rPr>
                    <w:t>/</w:t>
                  </w:r>
                </w:p>
              </w:tc>
              <w:tc>
                <w:tcPr>
                  <w:tcW w:w="318" w:type="pct"/>
                  <w:vAlign w:val="center"/>
                </w:tcPr>
                <w:p w14:paraId="5B44F416">
                  <w:pPr>
                    <w:pStyle w:val="17"/>
                    <w:jc w:val="center"/>
                    <w:rPr>
                      <w:rFonts w:hint="default"/>
                      <w:color w:val="auto"/>
                      <w:vertAlign w:val="baseline"/>
                      <w:lang w:val="en-US" w:eastAsia="zh-CN"/>
                    </w:rPr>
                  </w:pPr>
                  <w:r>
                    <w:rPr>
                      <w:rFonts w:hint="eastAsia"/>
                      <w:color w:val="auto"/>
                      <w:vertAlign w:val="baseline"/>
                      <w:lang w:val="en-US" w:eastAsia="zh-CN"/>
                    </w:rPr>
                    <w:t>/</w:t>
                  </w:r>
                </w:p>
              </w:tc>
              <w:tc>
                <w:tcPr>
                  <w:tcW w:w="281" w:type="pct"/>
                  <w:vAlign w:val="center"/>
                </w:tcPr>
                <w:p w14:paraId="38658258">
                  <w:pPr>
                    <w:pStyle w:val="17"/>
                    <w:jc w:val="center"/>
                    <w:rPr>
                      <w:rFonts w:hint="default"/>
                      <w:color w:val="auto"/>
                      <w:vertAlign w:val="baseline"/>
                      <w:lang w:val="en-US" w:eastAsia="zh-CN"/>
                    </w:rPr>
                  </w:pPr>
                  <w:r>
                    <w:rPr>
                      <w:rFonts w:hint="eastAsia"/>
                      <w:color w:val="auto"/>
                      <w:vertAlign w:val="baseline"/>
                      <w:lang w:val="en-US" w:eastAsia="zh-CN"/>
                    </w:rPr>
                    <w:t>80</w:t>
                  </w:r>
                </w:p>
              </w:tc>
              <w:tc>
                <w:tcPr>
                  <w:tcW w:w="543" w:type="pct"/>
                  <w:vAlign w:val="center"/>
                </w:tcPr>
                <w:p w14:paraId="4DD5202F">
                  <w:pPr>
                    <w:pStyle w:val="17"/>
                    <w:jc w:val="center"/>
                    <w:rPr>
                      <w:rFonts w:hint="default"/>
                      <w:color w:val="auto"/>
                      <w:vertAlign w:val="baseline"/>
                      <w:lang w:val="en-US" w:eastAsia="zh-CN"/>
                    </w:rPr>
                  </w:pPr>
                  <w:r>
                    <w:rPr>
                      <w:rFonts w:hint="eastAsia"/>
                      <w:color w:val="auto"/>
                      <w:vertAlign w:val="baseline"/>
                      <w:lang w:val="en-US" w:eastAsia="zh-CN"/>
                    </w:rPr>
                    <w:t>是</w:t>
                  </w:r>
                </w:p>
              </w:tc>
              <w:tc>
                <w:tcPr>
                  <w:tcW w:w="515" w:type="pct"/>
                  <w:vAlign w:val="center"/>
                </w:tcPr>
                <w:p w14:paraId="2010E1CF">
                  <w:pPr>
                    <w:pStyle w:val="17"/>
                    <w:jc w:val="center"/>
                    <w:rPr>
                      <w:rFonts w:hint="default"/>
                      <w:color w:val="auto"/>
                      <w:vertAlign w:val="baseline"/>
                      <w:lang w:val="en-US" w:eastAsia="zh-CN"/>
                    </w:rPr>
                  </w:pPr>
                  <w:r>
                    <w:rPr>
                      <w:rFonts w:hint="eastAsia"/>
                      <w:color w:val="auto"/>
                      <w:vertAlign w:val="baseline"/>
                      <w:lang w:val="en-US" w:eastAsia="zh-CN"/>
                    </w:rPr>
                    <w:t>0.8605</w:t>
                  </w:r>
                </w:p>
              </w:tc>
              <w:tc>
                <w:tcPr>
                  <w:tcW w:w="441" w:type="pct"/>
                  <w:vAlign w:val="center"/>
                </w:tcPr>
                <w:p w14:paraId="0832C52C">
                  <w:pPr>
                    <w:pStyle w:val="17"/>
                    <w:jc w:val="center"/>
                    <w:rPr>
                      <w:rFonts w:hint="default"/>
                      <w:color w:val="auto"/>
                      <w:vertAlign w:val="baseline"/>
                      <w:lang w:val="en-US" w:eastAsia="zh-CN"/>
                    </w:rPr>
                  </w:pPr>
                  <w:r>
                    <w:rPr>
                      <w:rFonts w:hint="eastAsia"/>
                      <w:color w:val="auto"/>
                      <w:vertAlign w:val="baseline"/>
                      <w:lang w:val="en-US" w:eastAsia="zh-CN"/>
                    </w:rPr>
                    <w:t>/</w:t>
                  </w:r>
                </w:p>
              </w:tc>
            </w:tr>
            <w:tr w14:paraId="2F516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11" w:type="pct"/>
                  <w:vAlign w:val="center"/>
                </w:tcPr>
                <w:p w14:paraId="03C72B1B">
                  <w:pPr>
                    <w:pStyle w:val="17"/>
                    <w:jc w:val="center"/>
                    <w:rPr>
                      <w:rFonts w:hint="default"/>
                      <w:color w:val="auto"/>
                      <w:vertAlign w:val="baseline"/>
                      <w:lang w:val="en-US" w:eastAsia="zh-CN"/>
                    </w:rPr>
                  </w:pPr>
                  <w:r>
                    <w:rPr>
                      <w:rFonts w:hint="eastAsia"/>
                      <w:color w:val="auto"/>
                      <w:vertAlign w:val="baseline"/>
                      <w:lang w:val="en-US" w:eastAsia="zh-CN"/>
                    </w:rPr>
                    <w:t>搅拌粉尘</w:t>
                  </w:r>
                </w:p>
              </w:tc>
              <w:tc>
                <w:tcPr>
                  <w:tcW w:w="431" w:type="pct"/>
                  <w:vAlign w:val="center"/>
                </w:tcPr>
                <w:p w14:paraId="71A14CF8">
                  <w:pPr>
                    <w:pStyle w:val="17"/>
                    <w:jc w:val="center"/>
                    <w:rPr>
                      <w:rFonts w:hint="default"/>
                      <w:color w:val="auto"/>
                      <w:vertAlign w:val="baseline"/>
                      <w:lang w:val="en-US" w:eastAsia="zh-CN"/>
                    </w:rPr>
                  </w:pPr>
                  <w:r>
                    <w:rPr>
                      <w:rFonts w:hint="eastAsia"/>
                      <w:color w:val="auto"/>
                      <w:vertAlign w:val="baseline"/>
                      <w:lang w:val="en-US" w:eastAsia="zh-CN"/>
                    </w:rPr>
                    <w:t>颗粒物</w:t>
                  </w:r>
                </w:p>
              </w:tc>
              <w:tc>
                <w:tcPr>
                  <w:tcW w:w="403" w:type="pct"/>
                  <w:vAlign w:val="center"/>
                </w:tcPr>
                <w:p w14:paraId="3165E797">
                  <w:pPr>
                    <w:pStyle w:val="17"/>
                    <w:jc w:val="center"/>
                    <w:rPr>
                      <w:rFonts w:hint="default"/>
                      <w:color w:val="auto"/>
                      <w:vertAlign w:val="baseline"/>
                      <w:lang w:val="en-US" w:eastAsia="zh-CN"/>
                    </w:rPr>
                  </w:pPr>
                  <w:r>
                    <w:rPr>
                      <w:rFonts w:hint="eastAsia"/>
                      <w:color w:val="auto"/>
                      <w:vertAlign w:val="baseline"/>
                      <w:lang w:val="en-US" w:eastAsia="zh-CN"/>
                    </w:rPr>
                    <w:t>有组织</w:t>
                  </w:r>
                </w:p>
              </w:tc>
              <w:tc>
                <w:tcPr>
                  <w:tcW w:w="393" w:type="pct"/>
                  <w:vAlign w:val="center"/>
                </w:tcPr>
                <w:p w14:paraId="0A0D9844">
                  <w:pPr>
                    <w:pStyle w:val="17"/>
                    <w:jc w:val="center"/>
                    <w:rPr>
                      <w:rFonts w:hint="default"/>
                      <w:color w:val="auto"/>
                      <w:vertAlign w:val="baseline"/>
                      <w:lang w:val="en-US" w:eastAsia="zh-CN"/>
                    </w:rPr>
                  </w:pPr>
                  <w:r>
                    <w:rPr>
                      <w:rFonts w:hint="eastAsia"/>
                      <w:color w:val="auto"/>
                      <w:vertAlign w:val="baseline"/>
                      <w:lang w:val="en-US" w:eastAsia="zh-CN"/>
                    </w:rPr>
                    <w:t>DA002</w:t>
                  </w:r>
                </w:p>
              </w:tc>
              <w:tc>
                <w:tcPr>
                  <w:tcW w:w="431" w:type="pct"/>
                  <w:vAlign w:val="center"/>
                </w:tcPr>
                <w:p w14:paraId="10F75F44">
                  <w:pPr>
                    <w:pStyle w:val="17"/>
                    <w:jc w:val="center"/>
                    <w:rPr>
                      <w:rFonts w:hint="default"/>
                      <w:color w:val="auto"/>
                      <w:vertAlign w:val="baseline"/>
                      <w:lang w:val="en-US" w:eastAsia="zh-CN"/>
                    </w:rPr>
                  </w:pPr>
                  <w:r>
                    <w:rPr>
                      <w:rFonts w:hint="eastAsia"/>
                      <w:color w:val="auto"/>
                      <w:vertAlign w:val="baseline"/>
                      <w:lang w:val="en-US" w:eastAsia="zh-CN"/>
                    </w:rPr>
                    <w:t>96.1013</w:t>
                  </w:r>
                </w:p>
              </w:tc>
              <w:tc>
                <w:tcPr>
                  <w:tcW w:w="598" w:type="pct"/>
                  <w:vAlign w:val="center"/>
                </w:tcPr>
                <w:p w14:paraId="07706DD6">
                  <w:pPr>
                    <w:pStyle w:val="17"/>
                    <w:jc w:val="center"/>
                    <w:rPr>
                      <w:rFonts w:hint="default"/>
                      <w:color w:val="auto"/>
                      <w:vertAlign w:val="baseline"/>
                      <w:lang w:val="en-US" w:eastAsia="zh-CN"/>
                    </w:rPr>
                  </w:pPr>
                  <w:r>
                    <w:rPr>
                      <w:rFonts w:hint="eastAsia"/>
                      <w:color w:val="auto"/>
                      <w:vertAlign w:val="baseline"/>
                      <w:lang w:val="en-US" w:eastAsia="zh-CN"/>
                    </w:rPr>
                    <w:t>2669.4806</w:t>
                  </w:r>
                </w:p>
              </w:tc>
              <w:tc>
                <w:tcPr>
                  <w:tcW w:w="329" w:type="pct"/>
                  <w:vAlign w:val="center"/>
                </w:tcPr>
                <w:p w14:paraId="44E01D9E">
                  <w:pPr>
                    <w:pStyle w:val="17"/>
                    <w:jc w:val="center"/>
                    <w:rPr>
                      <w:rFonts w:hint="default"/>
                      <w:color w:val="auto"/>
                      <w:vertAlign w:val="baseline"/>
                      <w:lang w:val="en-US" w:eastAsia="zh-CN"/>
                    </w:rPr>
                  </w:pPr>
                  <w:r>
                    <w:rPr>
                      <w:rFonts w:hint="eastAsia"/>
                      <w:color w:val="auto"/>
                      <w:vertAlign w:val="baseline"/>
                      <w:lang w:val="en-US" w:eastAsia="zh-CN"/>
                    </w:rPr>
                    <w:t>/</w:t>
                  </w:r>
                </w:p>
              </w:tc>
              <w:tc>
                <w:tcPr>
                  <w:tcW w:w="318" w:type="pct"/>
                  <w:vAlign w:val="center"/>
                </w:tcPr>
                <w:p w14:paraId="135CEAD8">
                  <w:pPr>
                    <w:pStyle w:val="17"/>
                    <w:jc w:val="center"/>
                    <w:rPr>
                      <w:rFonts w:hint="default"/>
                      <w:color w:val="auto"/>
                      <w:vertAlign w:val="baseline"/>
                      <w:lang w:val="en-US" w:eastAsia="zh-CN"/>
                    </w:rPr>
                  </w:pPr>
                  <w:r>
                    <w:rPr>
                      <w:rFonts w:hint="eastAsia"/>
                      <w:color w:val="auto"/>
                      <w:vertAlign w:val="baseline"/>
                      <w:lang w:val="en-US" w:eastAsia="zh-CN"/>
                    </w:rPr>
                    <w:t>100</w:t>
                  </w:r>
                </w:p>
              </w:tc>
              <w:tc>
                <w:tcPr>
                  <w:tcW w:w="281" w:type="pct"/>
                  <w:vAlign w:val="center"/>
                </w:tcPr>
                <w:p w14:paraId="400D792F">
                  <w:pPr>
                    <w:pStyle w:val="17"/>
                    <w:jc w:val="center"/>
                    <w:rPr>
                      <w:rFonts w:hint="default"/>
                      <w:color w:val="auto"/>
                      <w:vertAlign w:val="baseline"/>
                      <w:lang w:val="en-US" w:eastAsia="zh-CN"/>
                    </w:rPr>
                  </w:pPr>
                  <w:r>
                    <w:rPr>
                      <w:rFonts w:hint="eastAsia"/>
                      <w:color w:val="auto"/>
                      <w:vertAlign w:val="baseline"/>
                      <w:lang w:val="en-US" w:eastAsia="zh-CN"/>
                    </w:rPr>
                    <w:t>99.7</w:t>
                  </w:r>
                </w:p>
              </w:tc>
              <w:tc>
                <w:tcPr>
                  <w:tcW w:w="543" w:type="pct"/>
                  <w:vAlign w:val="center"/>
                </w:tcPr>
                <w:p w14:paraId="61B04D44">
                  <w:pPr>
                    <w:pStyle w:val="17"/>
                    <w:jc w:val="center"/>
                    <w:rPr>
                      <w:rFonts w:hint="default"/>
                      <w:color w:val="auto"/>
                      <w:vertAlign w:val="baseline"/>
                      <w:lang w:val="en-US" w:eastAsia="zh-CN"/>
                    </w:rPr>
                  </w:pPr>
                  <w:r>
                    <w:rPr>
                      <w:rFonts w:hint="eastAsia"/>
                      <w:color w:val="auto"/>
                      <w:vertAlign w:val="baseline"/>
                      <w:lang w:val="en-US" w:eastAsia="zh-CN"/>
                    </w:rPr>
                    <w:t>是</w:t>
                  </w:r>
                </w:p>
              </w:tc>
              <w:tc>
                <w:tcPr>
                  <w:tcW w:w="515" w:type="pct"/>
                  <w:vAlign w:val="center"/>
                </w:tcPr>
                <w:p w14:paraId="45ECC356">
                  <w:pPr>
                    <w:pStyle w:val="17"/>
                    <w:jc w:val="center"/>
                    <w:rPr>
                      <w:rFonts w:hint="default"/>
                      <w:color w:val="auto"/>
                      <w:vertAlign w:val="baseline"/>
                      <w:lang w:val="en-US" w:eastAsia="zh-CN"/>
                    </w:rPr>
                  </w:pPr>
                  <w:r>
                    <w:rPr>
                      <w:rFonts w:hint="eastAsia"/>
                      <w:color w:val="auto"/>
                      <w:vertAlign w:val="baseline"/>
                      <w:lang w:val="en-US" w:eastAsia="zh-CN"/>
                    </w:rPr>
                    <w:t>0.2883</w:t>
                  </w:r>
                </w:p>
              </w:tc>
              <w:tc>
                <w:tcPr>
                  <w:tcW w:w="441" w:type="pct"/>
                  <w:vAlign w:val="center"/>
                </w:tcPr>
                <w:p w14:paraId="4C9C41A7">
                  <w:pPr>
                    <w:pStyle w:val="17"/>
                    <w:jc w:val="center"/>
                    <w:rPr>
                      <w:rFonts w:hint="default"/>
                      <w:color w:val="auto"/>
                      <w:vertAlign w:val="baseline"/>
                      <w:lang w:val="en-US" w:eastAsia="zh-CN"/>
                    </w:rPr>
                  </w:pPr>
                  <w:r>
                    <w:rPr>
                      <w:rFonts w:hint="eastAsia"/>
                      <w:color w:val="auto"/>
                      <w:vertAlign w:val="baseline"/>
                      <w:lang w:val="en-US" w:eastAsia="zh-CN"/>
                    </w:rPr>
                    <w:t>8.0084</w:t>
                  </w:r>
                </w:p>
              </w:tc>
            </w:tr>
            <w:tr w14:paraId="712E0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11" w:type="pct"/>
                  <w:vAlign w:val="center"/>
                </w:tcPr>
                <w:p w14:paraId="7C6C77F9">
                  <w:pPr>
                    <w:pStyle w:val="17"/>
                    <w:jc w:val="center"/>
                    <w:rPr>
                      <w:rFonts w:hint="default"/>
                      <w:color w:val="auto"/>
                      <w:vertAlign w:val="baseline"/>
                      <w:lang w:val="en-US" w:eastAsia="zh-CN"/>
                    </w:rPr>
                  </w:pPr>
                  <w:r>
                    <w:rPr>
                      <w:rFonts w:hint="eastAsia"/>
                      <w:color w:val="auto"/>
                      <w:vertAlign w:val="baseline"/>
                      <w:lang w:val="en-US" w:eastAsia="zh-CN"/>
                    </w:rPr>
                    <w:t>水泥装卸/储存</w:t>
                  </w:r>
                </w:p>
              </w:tc>
              <w:tc>
                <w:tcPr>
                  <w:tcW w:w="431" w:type="pct"/>
                  <w:vAlign w:val="center"/>
                </w:tcPr>
                <w:p w14:paraId="41F4D6FB">
                  <w:pPr>
                    <w:pStyle w:val="17"/>
                    <w:jc w:val="center"/>
                    <w:rPr>
                      <w:rFonts w:hint="default"/>
                      <w:color w:val="auto"/>
                      <w:vertAlign w:val="baseline"/>
                      <w:lang w:val="en-US" w:eastAsia="zh-CN"/>
                    </w:rPr>
                  </w:pPr>
                  <w:r>
                    <w:rPr>
                      <w:rFonts w:hint="eastAsia"/>
                      <w:color w:val="auto"/>
                      <w:vertAlign w:val="baseline"/>
                      <w:lang w:val="en-US" w:eastAsia="zh-CN"/>
                    </w:rPr>
                    <w:t>颗粒物</w:t>
                  </w:r>
                </w:p>
              </w:tc>
              <w:tc>
                <w:tcPr>
                  <w:tcW w:w="403" w:type="pct"/>
                  <w:vAlign w:val="center"/>
                </w:tcPr>
                <w:p w14:paraId="7CEC8B75">
                  <w:pPr>
                    <w:pStyle w:val="17"/>
                    <w:jc w:val="center"/>
                    <w:rPr>
                      <w:rFonts w:hint="default"/>
                      <w:color w:val="auto"/>
                      <w:vertAlign w:val="baseline"/>
                      <w:lang w:val="en-US" w:eastAsia="zh-CN"/>
                    </w:rPr>
                  </w:pPr>
                  <w:r>
                    <w:rPr>
                      <w:rFonts w:hint="eastAsia"/>
                      <w:color w:val="auto"/>
                      <w:vertAlign w:val="baseline"/>
                      <w:lang w:val="en-US" w:eastAsia="zh-CN"/>
                    </w:rPr>
                    <w:t>无组织</w:t>
                  </w:r>
                </w:p>
              </w:tc>
              <w:tc>
                <w:tcPr>
                  <w:tcW w:w="393" w:type="pct"/>
                  <w:vAlign w:val="center"/>
                </w:tcPr>
                <w:p w14:paraId="6F923FA3">
                  <w:pPr>
                    <w:pStyle w:val="17"/>
                    <w:jc w:val="center"/>
                    <w:rPr>
                      <w:rFonts w:hint="default"/>
                      <w:color w:val="auto"/>
                      <w:vertAlign w:val="baseline"/>
                      <w:lang w:val="en-US" w:eastAsia="zh-CN"/>
                    </w:rPr>
                  </w:pPr>
                  <w:r>
                    <w:rPr>
                      <w:rFonts w:hint="eastAsia"/>
                      <w:color w:val="auto"/>
                      <w:vertAlign w:val="baseline"/>
                      <w:lang w:val="en-US" w:eastAsia="zh-CN"/>
                    </w:rPr>
                    <w:t>/</w:t>
                  </w:r>
                </w:p>
              </w:tc>
              <w:tc>
                <w:tcPr>
                  <w:tcW w:w="431" w:type="pct"/>
                  <w:vAlign w:val="center"/>
                </w:tcPr>
                <w:p w14:paraId="197B534E">
                  <w:pPr>
                    <w:pStyle w:val="17"/>
                    <w:jc w:val="center"/>
                    <w:rPr>
                      <w:rFonts w:hint="default"/>
                      <w:color w:val="auto"/>
                      <w:vertAlign w:val="baseline"/>
                      <w:lang w:val="en-US" w:eastAsia="zh-CN"/>
                    </w:rPr>
                  </w:pPr>
                  <w:r>
                    <w:rPr>
                      <w:rFonts w:hint="eastAsia"/>
                      <w:color w:val="auto"/>
                      <w:vertAlign w:val="baseline"/>
                      <w:lang w:val="en-US" w:eastAsia="zh-CN"/>
                    </w:rPr>
                    <w:t>34.9125</w:t>
                  </w:r>
                </w:p>
              </w:tc>
              <w:tc>
                <w:tcPr>
                  <w:tcW w:w="598" w:type="pct"/>
                  <w:vAlign w:val="center"/>
                </w:tcPr>
                <w:p w14:paraId="0D3D46AD">
                  <w:pPr>
                    <w:pStyle w:val="17"/>
                    <w:jc w:val="center"/>
                    <w:rPr>
                      <w:rFonts w:hint="default"/>
                      <w:color w:val="auto"/>
                      <w:vertAlign w:val="baseline"/>
                      <w:lang w:val="en-US" w:eastAsia="zh-CN"/>
                    </w:rPr>
                  </w:pPr>
                  <w:r>
                    <w:rPr>
                      <w:rFonts w:hint="eastAsia"/>
                      <w:color w:val="auto"/>
                      <w:vertAlign w:val="baseline"/>
                      <w:lang w:val="en-US" w:eastAsia="zh-CN"/>
                    </w:rPr>
                    <w:t>/</w:t>
                  </w:r>
                </w:p>
              </w:tc>
              <w:tc>
                <w:tcPr>
                  <w:tcW w:w="329" w:type="pct"/>
                  <w:vAlign w:val="center"/>
                </w:tcPr>
                <w:p w14:paraId="0C90A9E2">
                  <w:pPr>
                    <w:pStyle w:val="17"/>
                    <w:jc w:val="center"/>
                    <w:rPr>
                      <w:rFonts w:hint="default"/>
                      <w:color w:val="auto"/>
                      <w:vertAlign w:val="baseline"/>
                      <w:lang w:val="en-US" w:eastAsia="zh-CN"/>
                    </w:rPr>
                  </w:pPr>
                  <w:r>
                    <w:rPr>
                      <w:rFonts w:hint="eastAsia"/>
                      <w:color w:val="auto"/>
                      <w:vertAlign w:val="baseline"/>
                      <w:lang w:val="en-US" w:eastAsia="zh-CN"/>
                    </w:rPr>
                    <w:t>/</w:t>
                  </w:r>
                </w:p>
              </w:tc>
              <w:tc>
                <w:tcPr>
                  <w:tcW w:w="318" w:type="pct"/>
                  <w:vAlign w:val="center"/>
                </w:tcPr>
                <w:p w14:paraId="0455BB37">
                  <w:pPr>
                    <w:pStyle w:val="17"/>
                    <w:jc w:val="center"/>
                    <w:rPr>
                      <w:rFonts w:hint="default"/>
                      <w:color w:val="auto"/>
                      <w:vertAlign w:val="baseline"/>
                      <w:lang w:val="en-US" w:eastAsia="zh-CN"/>
                    </w:rPr>
                  </w:pPr>
                  <w:r>
                    <w:rPr>
                      <w:rFonts w:hint="eastAsia"/>
                      <w:color w:val="auto"/>
                      <w:vertAlign w:val="baseline"/>
                      <w:lang w:val="en-US" w:eastAsia="zh-CN"/>
                    </w:rPr>
                    <w:t>100</w:t>
                  </w:r>
                </w:p>
              </w:tc>
              <w:tc>
                <w:tcPr>
                  <w:tcW w:w="281" w:type="pct"/>
                  <w:vAlign w:val="center"/>
                </w:tcPr>
                <w:p w14:paraId="36A8CF95">
                  <w:pPr>
                    <w:pStyle w:val="17"/>
                    <w:jc w:val="center"/>
                    <w:rPr>
                      <w:rFonts w:hint="default"/>
                      <w:color w:val="auto"/>
                      <w:vertAlign w:val="baseline"/>
                      <w:lang w:val="en-US" w:eastAsia="zh-CN"/>
                    </w:rPr>
                  </w:pPr>
                  <w:r>
                    <w:rPr>
                      <w:rFonts w:hint="eastAsia"/>
                      <w:color w:val="auto"/>
                      <w:vertAlign w:val="baseline"/>
                      <w:lang w:val="en-US" w:eastAsia="zh-CN"/>
                    </w:rPr>
                    <w:t>99.7</w:t>
                  </w:r>
                </w:p>
              </w:tc>
              <w:tc>
                <w:tcPr>
                  <w:tcW w:w="543" w:type="pct"/>
                  <w:vAlign w:val="center"/>
                </w:tcPr>
                <w:p w14:paraId="79FD4045">
                  <w:pPr>
                    <w:pStyle w:val="17"/>
                    <w:jc w:val="center"/>
                    <w:rPr>
                      <w:rFonts w:hint="default"/>
                      <w:color w:val="auto"/>
                      <w:vertAlign w:val="baseline"/>
                      <w:lang w:val="en-US" w:eastAsia="zh-CN"/>
                    </w:rPr>
                  </w:pPr>
                  <w:r>
                    <w:rPr>
                      <w:rFonts w:hint="eastAsia"/>
                      <w:color w:val="auto"/>
                      <w:vertAlign w:val="baseline"/>
                      <w:lang w:val="en-US" w:eastAsia="zh-CN"/>
                    </w:rPr>
                    <w:t>是</w:t>
                  </w:r>
                </w:p>
              </w:tc>
              <w:tc>
                <w:tcPr>
                  <w:tcW w:w="515" w:type="pct"/>
                  <w:vAlign w:val="center"/>
                </w:tcPr>
                <w:p w14:paraId="6A7D993C">
                  <w:pPr>
                    <w:pStyle w:val="17"/>
                    <w:jc w:val="center"/>
                    <w:rPr>
                      <w:rFonts w:hint="default"/>
                      <w:color w:val="auto"/>
                      <w:vertAlign w:val="baseline"/>
                      <w:lang w:val="en-US" w:eastAsia="zh-CN"/>
                    </w:rPr>
                  </w:pPr>
                  <w:r>
                    <w:rPr>
                      <w:rFonts w:hint="eastAsia"/>
                      <w:color w:val="auto"/>
                      <w:vertAlign w:val="baseline"/>
                      <w:lang w:val="en-US" w:eastAsia="zh-CN"/>
                    </w:rPr>
                    <w:t>0.1047</w:t>
                  </w:r>
                </w:p>
              </w:tc>
              <w:tc>
                <w:tcPr>
                  <w:tcW w:w="441" w:type="pct"/>
                  <w:vAlign w:val="center"/>
                </w:tcPr>
                <w:p w14:paraId="28389BEE">
                  <w:pPr>
                    <w:pStyle w:val="17"/>
                    <w:jc w:val="center"/>
                    <w:rPr>
                      <w:rFonts w:hint="default"/>
                      <w:color w:val="auto"/>
                      <w:vertAlign w:val="baseline"/>
                      <w:lang w:val="en-US" w:eastAsia="zh-CN"/>
                    </w:rPr>
                  </w:pPr>
                  <w:r>
                    <w:rPr>
                      <w:rFonts w:hint="eastAsia"/>
                      <w:color w:val="auto"/>
                      <w:vertAlign w:val="baseline"/>
                      <w:lang w:val="en-US" w:eastAsia="zh-CN"/>
                    </w:rPr>
                    <w:t>/</w:t>
                  </w:r>
                </w:p>
              </w:tc>
            </w:tr>
            <w:tr w14:paraId="72928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11" w:type="pct"/>
                  <w:vAlign w:val="center"/>
                </w:tcPr>
                <w:p w14:paraId="1574DF2D">
                  <w:pPr>
                    <w:pStyle w:val="17"/>
                    <w:jc w:val="center"/>
                    <w:rPr>
                      <w:rFonts w:hint="default"/>
                      <w:color w:val="auto"/>
                      <w:vertAlign w:val="baseline"/>
                      <w:lang w:val="en-US" w:eastAsia="zh-CN"/>
                    </w:rPr>
                  </w:pPr>
                  <w:r>
                    <w:rPr>
                      <w:rFonts w:hint="eastAsia"/>
                      <w:color w:val="auto"/>
                      <w:vertAlign w:val="baseline"/>
                      <w:lang w:val="en-US" w:eastAsia="zh-CN"/>
                    </w:rPr>
                    <w:t>运输车辆尾气</w:t>
                  </w:r>
                </w:p>
              </w:tc>
              <w:tc>
                <w:tcPr>
                  <w:tcW w:w="431" w:type="pct"/>
                  <w:vAlign w:val="center"/>
                </w:tcPr>
                <w:p w14:paraId="24B3B000">
                  <w:pPr>
                    <w:pStyle w:val="17"/>
                    <w:jc w:val="center"/>
                    <w:rPr>
                      <w:rFonts w:hint="default"/>
                      <w:color w:val="auto"/>
                      <w:vertAlign w:val="baseline"/>
                      <w:lang w:val="en-US" w:eastAsia="zh-CN"/>
                    </w:rPr>
                  </w:pPr>
                  <w:r>
                    <w:rPr>
                      <w:rFonts w:hint="eastAsia"/>
                      <w:color w:val="auto"/>
                      <w:vertAlign w:val="baseline"/>
                      <w:lang w:val="en-US" w:eastAsia="zh-CN"/>
                    </w:rPr>
                    <w:t>CO、NO</w:t>
                  </w:r>
                  <w:r>
                    <w:rPr>
                      <w:rFonts w:hint="eastAsia"/>
                      <w:color w:val="auto"/>
                      <w:vertAlign w:val="subscript"/>
                      <w:lang w:val="en-US" w:eastAsia="zh-CN"/>
                    </w:rPr>
                    <w:t>X</w:t>
                  </w:r>
                  <w:r>
                    <w:rPr>
                      <w:rFonts w:hint="eastAsia"/>
                      <w:color w:val="auto"/>
                      <w:vertAlign w:val="baseline"/>
                      <w:lang w:val="en-US" w:eastAsia="zh-CN"/>
                    </w:rPr>
                    <w:t>、THC等</w:t>
                  </w:r>
                </w:p>
              </w:tc>
              <w:tc>
                <w:tcPr>
                  <w:tcW w:w="403" w:type="pct"/>
                  <w:vAlign w:val="center"/>
                </w:tcPr>
                <w:p w14:paraId="73CA6CE4">
                  <w:pPr>
                    <w:pStyle w:val="17"/>
                    <w:jc w:val="center"/>
                    <w:rPr>
                      <w:rFonts w:hint="default"/>
                      <w:color w:val="auto"/>
                      <w:vertAlign w:val="baseline"/>
                      <w:lang w:val="en-US" w:eastAsia="zh-CN"/>
                    </w:rPr>
                  </w:pPr>
                  <w:r>
                    <w:rPr>
                      <w:rFonts w:hint="eastAsia"/>
                      <w:color w:val="auto"/>
                      <w:vertAlign w:val="baseline"/>
                      <w:lang w:val="en-US" w:eastAsia="zh-CN"/>
                    </w:rPr>
                    <w:t>无组织</w:t>
                  </w:r>
                </w:p>
              </w:tc>
              <w:tc>
                <w:tcPr>
                  <w:tcW w:w="393" w:type="pct"/>
                  <w:vAlign w:val="center"/>
                </w:tcPr>
                <w:p w14:paraId="0122F429">
                  <w:pPr>
                    <w:pStyle w:val="17"/>
                    <w:jc w:val="center"/>
                    <w:rPr>
                      <w:rFonts w:hint="default"/>
                      <w:color w:val="auto"/>
                      <w:vertAlign w:val="baseline"/>
                      <w:lang w:val="en-US" w:eastAsia="zh-CN"/>
                    </w:rPr>
                  </w:pPr>
                  <w:r>
                    <w:rPr>
                      <w:rFonts w:hint="eastAsia"/>
                      <w:color w:val="auto"/>
                      <w:vertAlign w:val="baseline"/>
                      <w:lang w:val="en-US" w:eastAsia="zh-CN"/>
                    </w:rPr>
                    <w:t>/</w:t>
                  </w:r>
                </w:p>
              </w:tc>
              <w:tc>
                <w:tcPr>
                  <w:tcW w:w="431" w:type="pct"/>
                  <w:vAlign w:val="center"/>
                </w:tcPr>
                <w:p w14:paraId="5A067D9C">
                  <w:pPr>
                    <w:pStyle w:val="17"/>
                    <w:jc w:val="center"/>
                    <w:rPr>
                      <w:rFonts w:hint="default"/>
                      <w:color w:val="auto"/>
                      <w:vertAlign w:val="baseline"/>
                      <w:lang w:val="en-US" w:eastAsia="zh-CN"/>
                    </w:rPr>
                  </w:pPr>
                  <w:r>
                    <w:rPr>
                      <w:rFonts w:hint="eastAsia"/>
                      <w:color w:val="auto"/>
                      <w:vertAlign w:val="baseline"/>
                      <w:lang w:val="en-US" w:eastAsia="zh-CN"/>
                    </w:rPr>
                    <w:t>少量</w:t>
                  </w:r>
                </w:p>
              </w:tc>
              <w:tc>
                <w:tcPr>
                  <w:tcW w:w="598" w:type="pct"/>
                  <w:vAlign w:val="center"/>
                </w:tcPr>
                <w:p w14:paraId="77A265D8">
                  <w:pPr>
                    <w:pStyle w:val="17"/>
                    <w:jc w:val="center"/>
                    <w:rPr>
                      <w:rFonts w:hint="default"/>
                      <w:color w:val="auto"/>
                      <w:vertAlign w:val="baseline"/>
                      <w:lang w:val="en-US" w:eastAsia="zh-CN"/>
                    </w:rPr>
                  </w:pPr>
                  <w:r>
                    <w:rPr>
                      <w:rFonts w:hint="eastAsia"/>
                      <w:color w:val="auto"/>
                      <w:vertAlign w:val="baseline"/>
                      <w:lang w:val="en-US" w:eastAsia="zh-CN"/>
                    </w:rPr>
                    <w:t>/</w:t>
                  </w:r>
                </w:p>
              </w:tc>
              <w:tc>
                <w:tcPr>
                  <w:tcW w:w="329" w:type="pct"/>
                  <w:vAlign w:val="center"/>
                </w:tcPr>
                <w:p w14:paraId="137167A7">
                  <w:pPr>
                    <w:pStyle w:val="17"/>
                    <w:jc w:val="center"/>
                    <w:rPr>
                      <w:rFonts w:hint="default"/>
                      <w:color w:val="auto"/>
                      <w:vertAlign w:val="baseline"/>
                      <w:lang w:val="en-US" w:eastAsia="zh-CN"/>
                    </w:rPr>
                  </w:pPr>
                  <w:r>
                    <w:rPr>
                      <w:rFonts w:hint="eastAsia"/>
                      <w:color w:val="auto"/>
                      <w:vertAlign w:val="baseline"/>
                      <w:lang w:val="en-US" w:eastAsia="zh-CN"/>
                    </w:rPr>
                    <w:t>/</w:t>
                  </w:r>
                </w:p>
              </w:tc>
              <w:tc>
                <w:tcPr>
                  <w:tcW w:w="318" w:type="pct"/>
                  <w:vAlign w:val="center"/>
                </w:tcPr>
                <w:p w14:paraId="12A73C82">
                  <w:pPr>
                    <w:pStyle w:val="17"/>
                    <w:jc w:val="center"/>
                    <w:rPr>
                      <w:rFonts w:hint="default"/>
                      <w:color w:val="auto"/>
                      <w:vertAlign w:val="baseline"/>
                      <w:lang w:val="en-US" w:eastAsia="zh-CN"/>
                    </w:rPr>
                  </w:pPr>
                  <w:r>
                    <w:rPr>
                      <w:rFonts w:hint="eastAsia"/>
                      <w:color w:val="auto"/>
                      <w:vertAlign w:val="baseline"/>
                      <w:lang w:val="en-US" w:eastAsia="zh-CN"/>
                    </w:rPr>
                    <w:t>/</w:t>
                  </w:r>
                </w:p>
              </w:tc>
              <w:tc>
                <w:tcPr>
                  <w:tcW w:w="281" w:type="pct"/>
                  <w:vAlign w:val="center"/>
                </w:tcPr>
                <w:p w14:paraId="5D131808">
                  <w:pPr>
                    <w:pStyle w:val="17"/>
                    <w:jc w:val="center"/>
                    <w:rPr>
                      <w:rFonts w:hint="default"/>
                      <w:color w:val="auto"/>
                      <w:vertAlign w:val="baseline"/>
                      <w:lang w:val="en-US" w:eastAsia="zh-CN"/>
                    </w:rPr>
                  </w:pPr>
                  <w:r>
                    <w:rPr>
                      <w:rFonts w:hint="eastAsia"/>
                      <w:color w:val="auto"/>
                      <w:vertAlign w:val="baseline"/>
                      <w:lang w:val="en-US" w:eastAsia="zh-CN"/>
                    </w:rPr>
                    <w:t>/</w:t>
                  </w:r>
                </w:p>
              </w:tc>
              <w:tc>
                <w:tcPr>
                  <w:tcW w:w="543" w:type="pct"/>
                  <w:vAlign w:val="center"/>
                </w:tcPr>
                <w:p w14:paraId="0C36D9E9">
                  <w:pPr>
                    <w:pStyle w:val="17"/>
                    <w:jc w:val="center"/>
                    <w:rPr>
                      <w:rFonts w:hint="default"/>
                      <w:color w:val="auto"/>
                      <w:vertAlign w:val="baseline"/>
                      <w:lang w:val="en-US" w:eastAsia="zh-CN"/>
                    </w:rPr>
                  </w:pPr>
                  <w:r>
                    <w:rPr>
                      <w:rFonts w:hint="eastAsia"/>
                      <w:color w:val="auto"/>
                      <w:vertAlign w:val="baseline"/>
                      <w:lang w:val="en-US" w:eastAsia="zh-CN"/>
                    </w:rPr>
                    <w:t>是</w:t>
                  </w:r>
                </w:p>
              </w:tc>
              <w:tc>
                <w:tcPr>
                  <w:tcW w:w="515" w:type="pct"/>
                  <w:vAlign w:val="center"/>
                </w:tcPr>
                <w:p w14:paraId="55F27D6F">
                  <w:pPr>
                    <w:pStyle w:val="17"/>
                    <w:jc w:val="center"/>
                    <w:rPr>
                      <w:rFonts w:hint="default"/>
                      <w:color w:val="auto"/>
                      <w:vertAlign w:val="baseline"/>
                      <w:lang w:val="en-US" w:eastAsia="zh-CN"/>
                    </w:rPr>
                  </w:pPr>
                  <w:r>
                    <w:rPr>
                      <w:rFonts w:hint="eastAsia"/>
                      <w:color w:val="auto"/>
                      <w:vertAlign w:val="baseline"/>
                      <w:lang w:val="en-US" w:eastAsia="zh-CN"/>
                    </w:rPr>
                    <w:t>少量</w:t>
                  </w:r>
                </w:p>
              </w:tc>
              <w:tc>
                <w:tcPr>
                  <w:tcW w:w="441" w:type="pct"/>
                  <w:vAlign w:val="center"/>
                </w:tcPr>
                <w:p w14:paraId="029FB911">
                  <w:pPr>
                    <w:pStyle w:val="17"/>
                    <w:jc w:val="center"/>
                    <w:rPr>
                      <w:rFonts w:hint="default"/>
                      <w:color w:val="auto"/>
                      <w:vertAlign w:val="baseline"/>
                      <w:lang w:val="en-US" w:eastAsia="zh-CN"/>
                    </w:rPr>
                  </w:pPr>
                  <w:r>
                    <w:rPr>
                      <w:rFonts w:hint="eastAsia"/>
                      <w:color w:val="auto"/>
                      <w:vertAlign w:val="baseline"/>
                      <w:lang w:val="en-US" w:eastAsia="zh-CN"/>
                    </w:rPr>
                    <w:t>/</w:t>
                  </w:r>
                </w:p>
              </w:tc>
            </w:tr>
            <w:tr w14:paraId="58D44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11" w:type="pct"/>
                  <w:vAlign w:val="center"/>
                </w:tcPr>
                <w:p w14:paraId="4CE8F72D">
                  <w:pPr>
                    <w:pStyle w:val="17"/>
                    <w:jc w:val="center"/>
                    <w:rPr>
                      <w:rFonts w:hint="default"/>
                      <w:color w:val="auto"/>
                      <w:vertAlign w:val="baseline"/>
                      <w:lang w:val="en-US" w:eastAsia="zh-CN"/>
                    </w:rPr>
                  </w:pPr>
                  <w:r>
                    <w:rPr>
                      <w:rFonts w:hint="eastAsia"/>
                      <w:color w:val="auto"/>
                      <w:vertAlign w:val="baseline"/>
                      <w:lang w:val="en-US" w:eastAsia="zh-CN"/>
                    </w:rPr>
                    <w:t>食堂油烟</w:t>
                  </w:r>
                </w:p>
              </w:tc>
              <w:tc>
                <w:tcPr>
                  <w:tcW w:w="431" w:type="pct"/>
                  <w:vAlign w:val="center"/>
                </w:tcPr>
                <w:p w14:paraId="55D8E210">
                  <w:pPr>
                    <w:pStyle w:val="17"/>
                    <w:jc w:val="center"/>
                    <w:rPr>
                      <w:rFonts w:hint="default"/>
                      <w:color w:val="auto"/>
                      <w:vertAlign w:val="baseline"/>
                      <w:lang w:val="en-US" w:eastAsia="zh-CN"/>
                    </w:rPr>
                  </w:pPr>
                  <w:r>
                    <w:rPr>
                      <w:rFonts w:hint="eastAsia"/>
                      <w:color w:val="auto"/>
                      <w:vertAlign w:val="baseline"/>
                      <w:lang w:val="en-US" w:eastAsia="zh-CN"/>
                    </w:rPr>
                    <w:t>油烟</w:t>
                  </w:r>
                </w:p>
              </w:tc>
              <w:tc>
                <w:tcPr>
                  <w:tcW w:w="403" w:type="pct"/>
                  <w:vAlign w:val="center"/>
                </w:tcPr>
                <w:p w14:paraId="35A9E1D7">
                  <w:pPr>
                    <w:pStyle w:val="17"/>
                    <w:jc w:val="center"/>
                    <w:rPr>
                      <w:rFonts w:hint="default"/>
                      <w:color w:val="auto"/>
                      <w:vertAlign w:val="baseline"/>
                      <w:lang w:val="en-US" w:eastAsia="zh-CN"/>
                    </w:rPr>
                  </w:pPr>
                  <w:r>
                    <w:rPr>
                      <w:rFonts w:hint="eastAsia"/>
                      <w:color w:val="auto"/>
                      <w:vertAlign w:val="baseline"/>
                      <w:lang w:val="en-US" w:eastAsia="zh-CN"/>
                    </w:rPr>
                    <w:t>有组织</w:t>
                  </w:r>
                </w:p>
              </w:tc>
              <w:tc>
                <w:tcPr>
                  <w:tcW w:w="393" w:type="pct"/>
                  <w:vAlign w:val="center"/>
                </w:tcPr>
                <w:p w14:paraId="7E4BE6F2">
                  <w:pPr>
                    <w:pStyle w:val="17"/>
                    <w:jc w:val="center"/>
                    <w:rPr>
                      <w:rFonts w:hint="default"/>
                      <w:color w:val="auto"/>
                      <w:vertAlign w:val="baseline"/>
                      <w:lang w:val="en-US" w:eastAsia="zh-CN"/>
                    </w:rPr>
                  </w:pPr>
                  <w:r>
                    <w:rPr>
                      <w:rFonts w:hint="eastAsia"/>
                      <w:color w:val="auto"/>
                      <w:vertAlign w:val="baseline"/>
                      <w:lang w:val="en-US" w:eastAsia="zh-CN"/>
                    </w:rPr>
                    <w:t>排烟竖井</w:t>
                  </w:r>
                </w:p>
              </w:tc>
              <w:tc>
                <w:tcPr>
                  <w:tcW w:w="431" w:type="pct"/>
                  <w:vAlign w:val="center"/>
                </w:tcPr>
                <w:p w14:paraId="1EC21ED5">
                  <w:pPr>
                    <w:pStyle w:val="17"/>
                    <w:jc w:val="center"/>
                    <w:rPr>
                      <w:rFonts w:hint="default"/>
                      <w:color w:val="auto"/>
                      <w:vertAlign w:val="baseline"/>
                      <w:lang w:val="en-US" w:eastAsia="zh-CN"/>
                    </w:rPr>
                  </w:pPr>
                  <w:r>
                    <w:rPr>
                      <w:rFonts w:hint="eastAsia"/>
                      <w:color w:val="auto"/>
                      <w:vertAlign w:val="baseline"/>
                      <w:lang w:val="en-US" w:eastAsia="zh-CN"/>
                    </w:rPr>
                    <w:t>0.0054</w:t>
                  </w:r>
                </w:p>
              </w:tc>
              <w:tc>
                <w:tcPr>
                  <w:tcW w:w="598" w:type="pct"/>
                  <w:vAlign w:val="center"/>
                </w:tcPr>
                <w:p w14:paraId="4BEC2B44">
                  <w:pPr>
                    <w:pStyle w:val="17"/>
                    <w:jc w:val="center"/>
                    <w:rPr>
                      <w:rFonts w:hint="default"/>
                      <w:color w:val="auto"/>
                      <w:vertAlign w:val="baseline"/>
                      <w:lang w:val="en-US" w:eastAsia="zh-CN"/>
                    </w:rPr>
                  </w:pPr>
                  <w:r>
                    <w:rPr>
                      <w:rFonts w:hint="eastAsia"/>
                      <w:color w:val="auto"/>
                      <w:vertAlign w:val="baseline"/>
                      <w:lang w:val="en-US" w:eastAsia="zh-CN"/>
                    </w:rPr>
                    <w:t>2.25</w:t>
                  </w:r>
                </w:p>
              </w:tc>
              <w:tc>
                <w:tcPr>
                  <w:tcW w:w="329" w:type="pct"/>
                  <w:vAlign w:val="center"/>
                </w:tcPr>
                <w:p w14:paraId="166575FE">
                  <w:pPr>
                    <w:pStyle w:val="17"/>
                    <w:jc w:val="center"/>
                    <w:rPr>
                      <w:rFonts w:hint="default"/>
                      <w:color w:val="auto"/>
                      <w:vertAlign w:val="baseline"/>
                      <w:lang w:val="en-US" w:eastAsia="zh-CN"/>
                    </w:rPr>
                  </w:pPr>
                  <w:r>
                    <w:rPr>
                      <w:rFonts w:hint="eastAsia"/>
                      <w:color w:val="auto"/>
                      <w:vertAlign w:val="baseline"/>
                      <w:lang w:val="en-US" w:eastAsia="zh-CN"/>
                    </w:rPr>
                    <w:t>/</w:t>
                  </w:r>
                </w:p>
              </w:tc>
              <w:tc>
                <w:tcPr>
                  <w:tcW w:w="318" w:type="pct"/>
                  <w:vAlign w:val="center"/>
                </w:tcPr>
                <w:p w14:paraId="433D72C9">
                  <w:pPr>
                    <w:pStyle w:val="17"/>
                    <w:jc w:val="center"/>
                    <w:rPr>
                      <w:rFonts w:hint="default"/>
                      <w:color w:val="auto"/>
                      <w:vertAlign w:val="baseline"/>
                      <w:lang w:val="en-US" w:eastAsia="zh-CN"/>
                    </w:rPr>
                  </w:pPr>
                  <w:r>
                    <w:rPr>
                      <w:rFonts w:hint="eastAsia"/>
                      <w:color w:val="auto"/>
                      <w:vertAlign w:val="baseline"/>
                      <w:lang w:val="en-US" w:eastAsia="zh-CN"/>
                    </w:rPr>
                    <w:t>/</w:t>
                  </w:r>
                </w:p>
              </w:tc>
              <w:tc>
                <w:tcPr>
                  <w:tcW w:w="281" w:type="pct"/>
                  <w:vAlign w:val="center"/>
                </w:tcPr>
                <w:p w14:paraId="0004A849">
                  <w:pPr>
                    <w:pStyle w:val="17"/>
                    <w:jc w:val="center"/>
                    <w:rPr>
                      <w:rFonts w:hint="default"/>
                      <w:color w:val="auto"/>
                      <w:vertAlign w:val="baseline"/>
                      <w:lang w:val="en-US" w:eastAsia="zh-CN"/>
                    </w:rPr>
                  </w:pPr>
                  <w:r>
                    <w:rPr>
                      <w:rFonts w:hint="eastAsia"/>
                      <w:color w:val="auto"/>
                      <w:vertAlign w:val="baseline"/>
                      <w:lang w:val="en-US" w:eastAsia="zh-CN"/>
                    </w:rPr>
                    <w:t>75</w:t>
                  </w:r>
                </w:p>
              </w:tc>
              <w:tc>
                <w:tcPr>
                  <w:tcW w:w="543" w:type="pct"/>
                  <w:vAlign w:val="center"/>
                </w:tcPr>
                <w:p w14:paraId="22BEA84E">
                  <w:pPr>
                    <w:pStyle w:val="17"/>
                    <w:jc w:val="center"/>
                    <w:rPr>
                      <w:rFonts w:hint="default"/>
                      <w:color w:val="auto"/>
                      <w:vertAlign w:val="baseline"/>
                      <w:lang w:val="en-US" w:eastAsia="zh-CN"/>
                    </w:rPr>
                  </w:pPr>
                  <w:r>
                    <w:rPr>
                      <w:rFonts w:hint="eastAsia"/>
                      <w:color w:val="auto"/>
                      <w:vertAlign w:val="baseline"/>
                      <w:lang w:val="en-US" w:eastAsia="zh-CN"/>
                    </w:rPr>
                    <w:t>是</w:t>
                  </w:r>
                </w:p>
              </w:tc>
              <w:tc>
                <w:tcPr>
                  <w:tcW w:w="515" w:type="pct"/>
                  <w:vAlign w:val="center"/>
                </w:tcPr>
                <w:p w14:paraId="5609AAE3">
                  <w:pPr>
                    <w:pStyle w:val="17"/>
                    <w:jc w:val="center"/>
                    <w:rPr>
                      <w:rFonts w:hint="default"/>
                      <w:color w:val="auto"/>
                      <w:vertAlign w:val="baseline"/>
                      <w:lang w:val="en-US" w:eastAsia="zh-CN"/>
                    </w:rPr>
                  </w:pPr>
                  <w:r>
                    <w:rPr>
                      <w:rFonts w:hint="eastAsia"/>
                      <w:color w:val="auto"/>
                      <w:vertAlign w:val="baseline"/>
                      <w:lang w:val="en-US" w:eastAsia="zh-CN"/>
                    </w:rPr>
                    <w:t>0.0014</w:t>
                  </w:r>
                </w:p>
              </w:tc>
              <w:tc>
                <w:tcPr>
                  <w:tcW w:w="441" w:type="pct"/>
                  <w:vAlign w:val="center"/>
                </w:tcPr>
                <w:p w14:paraId="69EE3796">
                  <w:pPr>
                    <w:pStyle w:val="17"/>
                    <w:jc w:val="center"/>
                    <w:rPr>
                      <w:rFonts w:hint="default"/>
                      <w:color w:val="auto"/>
                      <w:vertAlign w:val="baseline"/>
                      <w:lang w:val="en-US" w:eastAsia="zh-CN"/>
                    </w:rPr>
                  </w:pPr>
                  <w:r>
                    <w:rPr>
                      <w:rFonts w:hint="eastAsia"/>
                      <w:color w:val="auto"/>
                      <w:vertAlign w:val="baseline"/>
                      <w:lang w:val="en-US" w:eastAsia="zh-CN"/>
                    </w:rPr>
                    <w:t>0.5625</w:t>
                  </w:r>
                </w:p>
              </w:tc>
            </w:tr>
          </w:tbl>
          <w:p w14:paraId="6AD7E8DD">
            <w:pPr>
              <w:bidi w:val="0"/>
              <w:rPr>
                <w:rFonts w:hint="eastAsia"/>
                <w:color w:val="auto"/>
                <w:lang w:val="en-US" w:eastAsia="zh-CN"/>
              </w:rPr>
            </w:pPr>
            <w:r>
              <w:rPr>
                <w:rFonts w:hint="eastAsia"/>
                <w:color w:val="auto"/>
                <w:lang w:val="en-US" w:eastAsia="zh-CN"/>
              </w:rPr>
              <w:t>由上表可知，本项目无组织排放的废气为颗粒物：2.2814t/a，有组织排放的废气为DA001颗粒物：0.567t/a（39.375mg/m</w:t>
            </w:r>
            <w:r>
              <w:rPr>
                <w:rFonts w:hint="eastAsia"/>
                <w:color w:val="auto"/>
                <w:vertAlign w:val="superscript"/>
                <w:lang w:val="en-US" w:eastAsia="zh-CN"/>
              </w:rPr>
              <w:t>3</w:t>
            </w:r>
            <w:r>
              <w:rPr>
                <w:rFonts w:hint="eastAsia"/>
                <w:color w:val="auto"/>
                <w:lang w:val="en-US" w:eastAsia="zh-CN"/>
              </w:rPr>
              <w:t>），DA002颗粒物：0.2883t/a（8.0084mg/m</w:t>
            </w:r>
            <w:r>
              <w:rPr>
                <w:rFonts w:hint="eastAsia"/>
                <w:color w:val="auto"/>
                <w:vertAlign w:val="superscript"/>
                <w:lang w:val="en-US" w:eastAsia="zh-CN"/>
              </w:rPr>
              <w:t>3</w:t>
            </w:r>
            <w:r>
              <w:rPr>
                <w:rFonts w:hint="eastAsia"/>
                <w:color w:val="auto"/>
                <w:lang w:val="en-US" w:eastAsia="zh-CN"/>
              </w:rPr>
              <w:t>），油烟0.0014t/a（0.5625mg/m</w:t>
            </w:r>
            <w:r>
              <w:rPr>
                <w:rFonts w:hint="eastAsia"/>
                <w:color w:val="auto"/>
                <w:vertAlign w:val="superscript"/>
                <w:lang w:val="en-US" w:eastAsia="zh-CN"/>
              </w:rPr>
              <w:t>3</w:t>
            </w:r>
            <w:r>
              <w:rPr>
                <w:rFonts w:hint="eastAsia"/>
                <w:color w:val="auto"/>
                <w:lang w:val="en-US" w:eastAsia="zh-CN"/>
              </w:rPr>
              <w:t>）。</w:t>
            </w:r>
          </w:p>
          <w:p w14:paraId="7A471C80">
            <w:pPr>
              <w:pStyle w:val="5"/>
              <w:bidi w:val="0"/>
              <w:rPr>
                <w:rFonts w:hint="eastAsia"/>
                <w:color w:val="auto"/>
                <w:lang w:val="en-US" w:eastAsia="zh-CN"/>
              </w:rPr>
            </w:pPr>
            <w:bookmarkStart w:id="387" w:name="_Toc10669"/>
            <w:bookmarkStart w:id="388" w:name="_Toc7980"/>
            <w:bookmarkStart w:id="389" w:name="_Toc28973"/>
            <w:bookmarkStart w:id="390" w:name="_Toc22053"/>
            <w:bookmarkStart w:id="391" w:name="_Toc20569"/>
            <w:r>
              <w:rPr>
                <w:rFonts w:hint="eastAsia"/>
                <w:color w:val="auto"/>
                <w:lang w:val="en-US" w:eastAsia="zh-CN"/>
              </w:rPr>
              <w:t>2.2 非正常工况分析</w:t>
            </w:r>
            <w:bookmarkEnd w:id="387"/>
            <w:bookmarkEnd w:id="388"/>
            <w:bookmarkEnd w:id="389"/>
            <w:bookmarkEnd w:id="390"/>
            <w:bookmarkEnd w:id="391"/>
          </w:p>
          <w:p w14:paraId="48AE6302">
            <w:pPr>
              <w:rPr>
                <w:rFonts w:hint="eastAsia"/>
                <w:color w:val="auto"/>
                <w:lang w:val="en-US" w:eastAsia="zh-CN"/>
              </w:rPr>
            </w:pPr>
            <w:r>
              <w:rPr>
                <w:rFonts w:hint="default"/>
                <w:color w:val="auto"/>
                <w:lang w:val="en-US" w:eastAsia="zh-CN"/>
              </w:rPr>
              <w:t>非正常排放是指生产过程中开停车（工、炉）、设备检修、工艺设备运转异常等非正常工况下的污染物排放，以及污染物排放控制措施达不到应有效率等情况下的排放。本项目废气非正常工况排放主要为</w:t>
            </w:r>
            <w:r>
              <w:rPr>
                <w:rFonts w:hint="eastAsia"/>
                <w:color w:val="auto"/>
                <w:lang w:val="en-US" w:eastAsia="zh-CN"/>
              </w:rPr>
              <w:t>各类废气处理装置故障</w:t>
            </w:r>
            <w:r>
              <w:rPr>
                <w:rFonts w:hint="default"/>
                <w:color w:val="auto"/>
                <w:lang w:val="en-US" w:eastAsia="zh-CN"/>
              </w:rPr>
              <w:t>本项目废气非正常排放情况</w:t>
            </w:r>
            <w:r>
              <w:rPr>
                <w:rFonts w:hint="eastAsia"/>
                <w:color w:val="auto"/>
                <w:lang w:val="en-US" w:eastAsia="zh-CN"/>
              </w:rPr>
              <w:t>详</w:t>
            </w:r>
            <w:r>
              <w:rPr>
                <w:rFonts w:hint="default"/>
                <w:color w:val="auto"/>
                <w:lang w:val="en-US" w:eastAsia="zh-CN"/>
              </w:rPr>
              <w:t>见表</w:t>
            </w:r>
            <w:r>
              <w:rPr>
                <w:rFonts w:hint="eastAsia"/>
                <w:color w:val="auto"/>
                <w:lang w:val="en-US" w:eastAsia="zh-CN"/>
              </w:rPr>
              <w:t>4-8。</w:t>
            </w:r>
          </w:p>
          <w:p w14:paraId="377E8708">
            <w:pPr>
              <w:pStyle w:val="18"/>
              <w:bidi w:val="0"/>
              <w:rPr>
                <w:rFonts w:hint="eastAsia"/>
                <w:color w:val="auto"/>
                <w:lang w:val="en-US" w:eastAsia="zh-CN"/>
              </w:rPr>
            </w:pPr>
            <w:r>
              <w:rPr>
                <w:rFonts w:hint="eastAsia"/>
                <w:color w:val="auto"/>
                <w:lang w:val="en-US" w:eastAsia="zh-CN"/>
              </w:rPr>
              <w:t>表4-8 非正常工况废气排放情况一览表</w:t>
            </w:r>
          </w:p>
          <w:tbl>
            <w:tblPr>
              <w:tblStyle w:val="13"/>
              <w:tblpPr w:leftFromText="180" w:rightFromText="180" w:vertAnchor="text" w:horzAnchor="page" w:tblpX="162" w:tblpY="40"/>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60"/>
              <w:gridCol w:w="769"/>
              <w:gridCol w:w="1030"/>
              <w:gridCol w:w="1014"/>
              <w:gridCol w:w="1166"/>
              <w:gridCol w:w="1014"/>
              <w:gridCol w:w="786"/>
              <w:gridCol w:w="756"/>
              <w:gridCol w:w="1006"/>
            </w:tblGrid>
            <w:tr w14:paraId="5B1DF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6" w:hRule="atLeast"/>
              </w:trPr>
              <w:tc>
                <w:tcPr>
                  <w:tcW w:w="287" w:type="pct"/>
                  <w:vAlign w:val="center"/>
                </w:tcPr>
                <w:p w14:paraId="341BBAA5">
                  <w:pPr>
                    <w:pStyle w:val="17"/>
                    <w:jc w:val="center"/>
                    <w:rPr>
                      <w:rFonts w:hint="default"/>
                      <w:color w:val="auto"/>
                      <w:vertAlign w:val="baseline"/>
                      <w:lang w:val="en-US" w:eastAsia="zh-CN"/>
                    </w:rPr>
                  </w:pPr>
                  <w:r>
                    <w:rPr>
                      <w:rFonts w:hint="eastAsia"/>
                      <w:color w:val="auto"/>
                      <w:vertAlign w:val="baseline"/>
                      <w:lang w:val="en-US" w:eastAsia="zh-CN"/>
                    </w:rPr>
                    <w:t>序号</w:t>
                  </w:r>
                </w:p>
              </w:tc>
              <w:tc>
                <w:tcPr>
                  <w:tcW w:w="480" w:type="pct"/>
                  <w:vAlign w:val="center"/>
                </w:tcPr>
                <w:p w14:paraId="20B0E654">
                  <w:pPr>
                    <w:pStyle w:val="17"/>
                    <w:jc w:val="center"/>
                    <w:rPr>
                      <w:rFonts w:hint="default"/>
                      <w:color w:val="auto"/>
                      <w:vertAlign w:val="baseline"/>
                      <w:lang w:val="en-US" w:eastAsia="zh-CN"/>
                    </w:rPr>
                  </w:pPr>
                  <w:r>
                    <w:rPr>
                      <w:rFonts w:hint="eastAsia"/>
                      <w:color w:val="auto"/>
                      <w:vertAlign w:val="baseline"/>
                      <w:lang w:val="en-US" w:eastAsia="zh-CN"/>
                    </w:rPr>
                    <w:t>污染源</w:t>
                  </w:r>
                </w:p>
              </w:tc>
              <w:tc>
                <w:tcPr>
                  <w:tcW w:w="643" w:type="pct"/>
                  <w:vAlign w:val="center"/>
                </w:tcPr>
                <w:p w14:paraId="6E8CF588">
                  <w:pPr>
                    <w:pStyle w:val="17"/>
                    <w:jc w:val="center"/>
                    <w:rPr>
                      <w:rFonts w:hint="default"/>
                      <w:color w:val="auto"/>
                      <w:vertAlign w:val="baseline"/>
                      <w:lang w:val="en-US" w:eastAsia="zh-CN"/>
                    </w:rPr>
                  </w:pPr>
                  <w:r>
                    <w:rPr>
                      <w:rFonts w:hint="eastAsia"/>
                      <w:color w:val="auto"/>
                      <w:vertAlign w:val="baseline"/>
                      <w:lang w:val="en-US" w:eastAsia="zh-CN"/>
                    </w:rPr>
                    <w:t>非正常排放原因</w:t>
                  </w:r>
                </w:p>
              </w:tc>
              <w:tc>
                <w:tcPr>
                  <w:tcW w:w="633" w:type="pct"/>
                  <w:vAlign w:val="center"/>
                </w:tcPr>
                <w:p w14:paraId="3455175D">
                  <w:pPr>
                    <w:pStyle w:val="17"/>
                    <w:jc w:val="center"/>
                    <w:rPr>
                      <w:rFonts w:hint="default"/>
                      <w:color w:val="auto"/>
                      <w:vertAlign w:val="baseline"/>
                      <w:lang w:val="en-US" w:eastAsia="zh-CN"/>
                    </w:rPr>
                  </w:pPr>
                  <w:r>
                    <w:rPr>
                      <w:rFonts w:hint="eastAsia"/>
                      <w:color w:val="auto"/>
                      <w:vertAlign w:val="baseline"/>
                      <w:lang w:val="en-US" w:eastAsia="zh-CN"/>
                    </w:rPr>
                    <w:t>污染物</w:t>
                  </w:r>
                </w:p>
              </w:tc>
              <w:tc>
                <w:tcPr>
                  <w:tcW w:w="728" w:type="pct"/>
                  <w:vAlign w:val="center"/>
                </w:tcPr>
                <w:p w14:paraId="41EB8697">
                  <w:pPr>
                    <w:pStyle w:val="17"/>
                    <w:jc w:val="center"/>
                    <w:rPr>
                      <w:rFonts w:hint="eastAsia"/>
                      <w:color w:val="auto"/>
                      <w:vertAlign w:val="baseline"/>
                      <w:lang w:val="en-US" w:eastAsia="zh-CN"/>
                    </w:rPr>
                  </w:pPr>
                  <w:r>
                    <w:rPr>
                      <w:rFonts w:hint="eastAsia"/>
                      <w:color w:val="auto"/>
                      <w:vertAlign w:val="baseline"/>
                      <w:lang w:val="en-US" w:eastAsia="zh-CN"/>
                    </w:rPr>
                    <w:t>非正常排放浓度</w:t>
                  </w:r>
                </w:p>
                <w:p w14:paraId="4424ADE6">
                  <w:pPr>
                    <w:pStyle w:val="17"/>
                    <w:bidi w:val="0"/>
                    <w:jc w:val="center"/>
                    <w:rPr>
                      <w:rFonts w:hint="default"/>
                      <w:color w:val="auto"/>
                      <w:lang w:val="en-US" w:eastAsia="zh-CN"/>
                    </w:rPr>
                  </w:pPr>
                  <w:r>
                    <w:rPr>
                      <w:rFonts w:hint="eastAsia"/>
                      <w:color w:val="auto"/>
                      <w:lang w:val="en-US" w:eastAsia="zh-CN"/>
                    </w:rPr>
                    <w:t>mg/m</w:t>
                  </w:r>
                  <w:r>
                    <w:rPr>
                      <w:rFonts w:hint="eastAsia"/>
                      <w:color w:val="auto"/>
                      <w:vertAlign w:val="superscript"/>
                      <w:lang w:val="en-US" w:eastAsia="zh-CN"/>
                    </w:rPr>
                    <w:t>3</w:t>
                  </w:r>
                </w:p>
              </w:tc>
              <w:tc>
                <w:tcPr>
                  <w:tcW w:w="633" w:type="pct"/>
                  <w:vAlign w:val="center"/>
                </w:tcPr>
                <w:p w14:paraId="1067A0D9">
                  <w:pPr>
                    <w:pStyle w:val="17"/>
                    <w:jc w:val="center"/>
                    <w:rPr>
                      <w:rFonts w:hint="eastAsia"/>
                      <w:color w:val="auto"/>
                      <w:vertAlign w:val="baseline"/>
                      <w:lang w:val="en-US" w:eastAsia="zh-CN"/>
                    </w:rPr>
                  </w:pPr>
                  <w:r>
                    <w:rPr>
                      <w:rFonts w:hint="eastAsia"/>
                      <w:color w:val="auto"/>
                      <w:vertAlign w:val="baseline"/>
                      <w:lang w:val="en-US" w:eastAsia="zh-CN"/>
                    </w:rPr>
                    <w:t>非正常排放速率</w:t>
                  </w:r>
                </w:p>
                <w:p w14:paraId="237443AB">
                  <w:pPr>
                    <w:pStyle w:val="17"/>
                    <w:jc w:val="center"/>
                    <w:rPr>
                      <w:rFonts w:hint="default"/>
                      <w:color w:val="auto"/>
                      <w:vertAlign w:val="baseline"/>
                      <w:lang w:val="en-US" w:eastAsia="zh-CN"/>
                    </w:rPr>
                  </w:pPr>
                  <w:r>
                    <w:rPr>
                      <w:rFonts w:hint="eastAsia"/>
                      <w:color w:val="auto"/>
                      <w:vertAlign w:val="baseline"/>
                      <w:lang w:val="en-US" w:eastAsia="zh-CN"/>
                    </w:rPr>
                    <w:t>kg/h</w:t>
                  </w:r>
                </w:p>
              </w:tc>
              <w:tc>
                <w:tcPr>
                  <w:tcW w:w="491" w:type="pct"/>
                  <w:vAlign w:val="center"/>
                </w:tcPr>
                <w:p w14:paraId="7AC816EA">
                  <w:pPr>
                    <w:pStyle w:val="17"/>
                    <w:jc w:val="center"/>
                    <w:rPr>
                      <w:rFonts w:hint="default"/>
                      <w:color w:val="auto"/>
                      <w:vertAlign w:val="baseline"/>
                      <w:lang w:val="en-US" w:eastAsia="zh-CN"/>
                    </w:rPr>
                  </w:pPr>
                  <w:r>
                    <w:rPr>
                      <w:rFonts w:hint="eastAsia"/>
                      <w:color w:val="auto"/>
                      <w:vertAlign w:val="baseline"/>
                      <w:lang w:val="en-US" w:eastAsia="zh-CN"/>
                    </w:rPr>
                    <w:t>单次持续时间（h）</w:t>
                  </w:r>
                </w:p>
              </w:tc>
              <w:tc>
                <w:tcPr>
                  <w:tcW w:w="472" w:type="pct"/>
                  <w:vAlign w:val="center"/>
                </w:tcPr>
                <w:p w14:paraId="53D1C01D">
                  <w:pPr>
                    <w:pStyle w:val="17"/>
                    <w:jc w:val="center"/>
                    <w:rPr>
                      <w:rFonts w:hint="default"/>
                      <w:color w:val="auto"/>
                      <w:vertAlign w:val="baseline"/>
                      <w:lang w:val="en-US" w:eastAsia="zh-CN"/>
                    </w:rPr>
                  </w:pPr>
                  <w:r>
                    <w:rPr>
                      <w:rFonts w:hint="eastAsia"/>
                      <w:color w:val="auto"/>
                      <w:vertAlign w:val="baseline"/>
                      <w:lang w:val="en-US" w:eastAsia="zh-CN"/>
                    </w:rPr>
                    <w:t>年发生频率（次）</w:t>
                  </w:r>
                </w:p>
              </w:tc>
              <w:tc>
                <w:tcPr>
                  <w:tcW w:w="628" w:type="pct"/>
                  <w:vAlign w:val="center"/>
                </w:tcPr>
                <w:p w14:paraId="3ACC24C5">
                  <w:pPr>
                    <w:pStyle w:val="17"/>
                    <w:jc w:val="center"/>
                    <w:rPr>
                      <w:rFonts w:hint="default"/>
                      <w:color w:val="auto"/>
                      <w:vertAlign w:val="baseline"/>
                      <w:lang w:val="en-US" w:eastAsia="zh-CN"/>
                    </w:rPr>
                  </w:pPr>
                  <w:r>
                    <w:rPr>
                      <w:rFonts w:hint="eastAsia"/>
                      <w:color w:val="auto"/>
                      <w:vertAlign w:val="baseline"/>
                      <w:lang w:val="en-US" w:eastAsia="zh-CN"/>
                    </w:rPr>
                    <w:t>应对措施</w:t>
                  </w:r>
                </w:p>
              </w:tc>
            </w:tr>
            <w:tr w14:paraId="22AD8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6" w:hRule="atLeast"/>
              </w:trPr>
              <w:tc>
                <w:tcPr>
                  <w:tcW w:w="287" w:type="pct"/>
                  <w:vAlign w:val="center"/>
                </w:tcPr>
                <w:p w14:paraId="2D0642BC">
                  <w:pPr>
                    <w:pStyle w:val="17"/>
                    <w:jc w:val="center"/>
                    <w:rPr>
                      <w:rFonts w:hint="default"/>
                      <w:color w:val="auto"/>
                      <w:vertAlign w:val="baseline"/>
                      <w:lang w:val="en-US" w:eastAsia="zh-CN"/>
                    </w:rPr>
                  </w:pPr>
                  <w:r>
                    <w:rPr>
                      <w:rFonts w:hint="eastAsia"/>
                      <w:color w:val="auto"/>
                      <w:vertAlign w:val="baseline"/>
                      <w:lang w:val="en-US" w:eastAsia="zh-CN"/>
                    </w:rPr>
                    <w:t>1</w:t>
                  </w:r>
                </w:p>
              </w:tc>
              <w:tc>
                <w:tcPr>
                  <w:tcW w:w="480" w:type="pct"/>
                  <w:vAlign w:val="center"/>
                </w:tcPr>
                <w:p w14:paraId="3CB0B1F9">
                  <w:pPr>
                    <w:pStyle w:val="17"/>
                    <w:jc w:val="center"/>
                    <w:rPr>
                      <w:rFonts w:hint="default"/>
                      <w:color w:val="auto"/>
                      <w:vertAlign w:val="baseline"/>
                      <w:lang w:val="en-US" w:eastAsia="zh-CN"/>
                    </w:rPr>
                  </w:pPr>
                  <w:r>
                    <w:rPr>
                      <w:rFonts w:hint="eastAsia"/>
                      <w:color w:val="auto"/>
                      <w:vertAlign w:val="baseline"/>
                      <w:lang w:val="en-US" w:eastAsia="zh-CN"/>
                    </w:rPr>
                    <w:t>二级破碎筛分</w:t>
                  </w:r>
                </w:p>
              </w:tc>
              <w:tc>
                <w:tcPr>
                  <w:tcW w:w="643" w:type="pct"/>
                  <w:vMerge w:val="restart"/>
                  <w:vAlign w:val="center"/>
                </w:tcPr>
                <w:p w14:paraId="710EEE0D">
                  <w:pPr>
                    <w:pStyle w:val="17"/>
                    <w:jc w:val="center"/>
                    <w:rPr>
                      <w:rFonts w:hint="eastAsia"/>
                      <w:color w:val="auto"/>
                      <w:vertAlign w:val="baseline"/>
                      <w:lang w:val="en-US" w:eastAsia="zh-CN"/>
                    </w:rPr>
                  </w:pPr>
                  <w:r>
                    <w:rPr>
                      <w:rFonts w:hint="eastAsia"/>
                      <w:color w:val="auto"/>
                      <w:vertAlign w:val="baseline"/>
                      <w:lang w:val="en-US" w:eastAsia="zh-CN"/>
                    </w:rPr>
                    <w:t>废气治理设备故障</w:t>
                  </w:r>
                </w:p>
              </w:tc>
              <w:tc>
                <w:tcPr>
                  <w:tcW w:w="633" w:type="pct"/>
                  <w:vAlign w:val="center"/>
                </w:tcPr>
                <w:p w14:paraId="3D6BA5B7">
                  <w:pPr>
                    <w:pStyle w:val="17"/>
                    <w:jc w:val="center"/>
                    <w:rPr>
                      <w:rFonts w:hint="default"/>
                      <w:color w:val="auto"/>
                      <w:vertAlign w:val="baseline"/>
                      <w:lang w:val="en-US" w:eastAsia="zh-CN"/>
                    </w:rPr>
                  </w:pPr>
                  <w:r>
                    <w:rPr>
                      <w:rFonts w:hint="eastAsia"/>
                      <w:color w:val="auto"/>
                      <w:vertAlign w:val="baseline"/>
                      <w:lang w:val="en-US" w:eastAsia="zh-CN"/>
                    </w:rPr>
                    <w:t>颗粒物</w:t>
                  </w:r>
                </w:p>
              </w:tc>
              <w:tc>
                <w:tcPr>
                  <w:tcW w:w="1166" w:type="dxa"/>
                  <w:vAlign w:val="center"/>
                </w:tcPr>
                <w:p w14:paraId="5D81515E">
                  <w:pPr>
                    <w:pStyle w:val="17"/>
                    <w:ind w:firstLine="0" w:firstLineChars="0"/>
                    <w:jc w:val="center"/>
                    <w:rPr>
                      <w:rFonts w:hint="default"/>
                      <w:color w:val="auto"/>
                      <w:lang w:val="en-US" w:eastAsia="zh-CN"/>
                    </w:rPr>
                  </w:pPr>
                  <w:r>
                    <w:rPr>
                      <w:rFonts w:hint="eastAsia"/>
                      <w:color w:val="auto"/>
                      <w:vertAlign w:val="baseline"/>
                      <w:lang w:val="en-US" w:eastAsia="zh-CN"/>
                    </w:rPr>
                    <w:t>11250</w:t>
                  </w:r>
                </w:p>
              </w:tc>
              <w:tc>
                <w:tcPr>
                  <w:tcW w:w="633" w:type="pct"/>
                  <w:vAlign w:val="center"/>
                </w:tcPr>
                <w:p w14:paraId="540E2004">
                  <w:pPr>
                    <w:pStyle w:val="17"/>
                    <w:jc w:val="center"/>
                    <w:rPr>
                      <w:rFonts w:hint="default"/>
                      <w:color w:val="auto"/>
                      <w:vertAlign w:val="baseline"/>
                      <w:lang w:val="en-US" w:eastAsia="zh-CN"/>
                    </w:rPr>
                  </w:pPr>
                  <w:r>
                    <w:rPr>
                      <w:rFonts w:hint="eastAsia"/>
                      <w:color w:val="auto"/>
                      <w:vertAlign w:val="baseline"/>
                      <w:lang w:val="en-US" w:eastAsia="zh-CN"/>
                    </w:rPr>
                    <w:t>67.5</w:t>
                  </w:r>
                </w:p>
              </w:tc>
              <w:tc>
                <w:tcPr>
                  <w:tcW w:w="491" w:type="pct"/>
                  <w:vAlign w:val="center"/>
                </w:tcPr>
                <w:p w14:paraId="734D9ECF">
                  <w:pPr>
                    <w:pStyle w:val="17"/>
                    <w:jc w:val="center"/>
                    <w:rPr>
                      <w:rFonts w:hint="default"/>
                      <w:color w:val="auto"/>
                      <w:vertAlign w:val="baseline"/>
                      <w:lang w:val="en-US" w:eastAsia="zh-CN"/>
                    </w:rPr>
                  </w:pPr>
                  <w:r>
                    <w:rPr>
                      <w:rFonts w:hint="eastAsia"/>
                      <w:color w:val="auto"/>
                      <w:vertAlign w:val="baseline"/>
                      <w:lang w:val="en-US" w:eastAsia="zh-CN"/>
                    </w:rPr>
                    <w:t>1</w:t>
                  </w:r>
                </w:p>
              </w:tc>
              <w:tc>
                <w:tcPr>
                  <w:tcW w:w="472" w:type="pct"/>
                  <w:vAlign w:val="center"/>
                </w:tcPr>
                <w:p w14:paraId="31A86A66">
                  <w:pPr>
                    <w:pStyle w:val="17"/>
                    <w:jc w:val="center"/>
                    <w:rPr>
                      <w:rFonts w:hint="default"/>
                      <w:color w:val="auto"/>
                      <w:vertAlign w:val="baseline"/>
                      <w:lang w:val="en-US" w:eastAsia="zh-CN"/>
                    </w:rPr>
                  </w:pPr>
                  <w:r>
                    <w:rPr>
                      <w:rFonts w:hint="eastAsia"/>
                      <w:color w:val="auto"/>
                      <w:vertAlign w:val="baseline"/>
                      <w:lang w:val="en-US" w:eastAsia="zh-CN"/>
                    </w:rPr>
                    <w:t>1</w:t>
                  </w:r>
                </w:p>
              </w:tc>
              <w:tc>
                <w:tcPr>
                  <w:tcW w:w="628" w:type="pct"/>
                  <w:vMerge w:val="restart"/>
                  <w:vAlign w:val="center"/>
                </w:tcPr>
                <w:p w14:paraId="6AFF9DDF">
                  <w:pPr>
                    <w:pStyle w:val="17"/>
                    <w:jc w:val="center"/>
                    <w:rPr>
                      <w:rFonts w:hint="eastAsia"/>
                      <w:color w:val="auto"/>
                      <w:vertAlign w:val="baseline"/>
                      <w:lang w:val="en-US" w:eastAsia="zh-CN"/>
                    </w:rPr>
                  </w:pPr>
                  <w:r>
                    <w:rPr>
                      <w:rFonts w:hint="eastAsia"/>
                      <w:color w:val="auto"/>
                      <w:vertAlign w:val="baseline"/>
                      <w:lang w:val="en-US" w:eastAsia="zh-CN"/>
                    </w:rPr>
                    <w:t>停止生产，维修设备</w:t>
                  </w:r>
                </w:p>
              </w:tc>
            </w:tr>
            <w:tr w14:paraId="7F522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6" w:hRule="atLeast"/>
              </w:trPr>
              <w:tc>
                <w:tcPr>
                  <w:tcW w:w="287" w:type="pct"/>
                  <w:vAlign w:val="center"/>
                </w:tcPr>
                <w:p w14:paraId="3970EA0C">
                  <w:pPr>
                    <w:pStyle w:val="17"/>
                    <w:jc w:val="center"/>
                    <w:rPr>
                      <w:rFonts w:hint="default"/>
                      <w:color w:val="auto"/>
                      <w:vertAlign w:val="baseline"/>
                      <w:lang w:val="en-US" w:eastAsia="zh-CN"/>
                    </w:rPr>
                  </w:pPr>
                  <w:r>
                    <w:rPr>
                      <w:rFonts w:hint="eastAsia"/>
                      <w:color w:val="auto"/>
                      <w:vertAlign w:val="baseline"/>
                      <w:lang w:val="en-US" w:eastAsia="zh-CN"/>
                    </w:rPr>
                    <w:t>2</w:t>
                  </w:r>
                </w:p>
              </w:tc>
              <w:tc>
                <w:tcPr>
                  <w:tcW w:w="480" w:type="pct"/>
                  <w:vAlign w:val="center"/>
                </w:tcPr>
                <w:p w14:paraId="12E7251C">
                  <w:pPr>
                    <w:pStyle w:val="17"/>
                    <w:jc w:val="center"/>
                    <w:rPr>
                      <w:rFonts w:hint="default"/>
                      <w:color w:val="auto"/>
                      <w:vertAlign w:val="baseline"/>
                      <w:lang w:val="en-US" w:eastAsia="zh-CN"/>
                    </w:rPr>
                  </w:pPr>
                  <w:r>
                    <w:rPr>
                      <w:rFonts w:hint="eastAsia"/>
                      <w:color w:val="auto"/>
                      <w:vertAlign w:val="baseline"/>
                      <w:lang w:val="en-US" w:eastAsia="zh-CN"/>
                    </w:rPr>
                    <w:t>搅拌粉尘</w:t>
                  </w:r>
                </w:p>
              </w:tc>
              <w:tc>
                <w:tcPr>
                  <w:tcW w:w="643" w:type="pct"/>
                  <w:vMerge w:val="continue"/>
                  <w:vAlign w:val="center"/>
                </w:tcPr>
                <w:p w14:paraId="7B826676">
                  <w:pPr>
                    <w:pStyle w:val="17"/>
                    <w:jc w:val="center"/>
                    <w:rPr>
                      <w:rFonts w:hint="eastAsia"/>
                      <w:color w:val="auto"/>
                      <w:vertAlign w:val="baseline"/>
                      <w:lang w:val="en-US" w:eastAsia="zh-CN"/>
                    </w:rPr>
                  </w:pPr>
                </w:p>
              </w:tc>
              <w:tc>
                <w:tcPr>
                  <w:tcW w:w="633" w:type="pct"/>
                  <w:vAlign w:val="center"/>
                </w:tcPr>
                <w:p w14:paraId="702EA7E8">
                  <w:pPr>
                    <w:pStyle w:val="17"/>
                    <w:jc w:val="center"/>
                    <w:rPr>
                      <w:rFonts w:hint="default"/>
                      <w:color w:val="auto"/>
                      <w:vertAlign w:val="baseline"/>
                      <w:lang w:val="en-US" w:eastAsia="zh-CN"/>
                    </w:rPr>
                  </w:pPr>
                  <w:r>
                    <w:rPr>
                      <w:rFonts w:hint="eastAsia"/>
                      <w:color w:val="auto"/>
                      <w:vertAlign w:val="baseline"/>
                      <w:lang w:val="en-US" w:eastAsia="zh-CN"/>
                    </w:rPr>
                    <w:t>颗粒物</w:t>
                  </w:r>
                </w:p>
              </w:tc>
              <w:tc>
                <w:tcPr>
                  <w:tcW w:w="1166" w:type="dxa"/>
                  <w:vAlign w:val="center"/>
                </w:tcPr>
                <w:p w14:paraId="3F453B36">
                  <w:pPr>
                    <w:pStyle w:val="17"/>
                    <w:ind w:firstLine="0" w:firstLineChars="0"/>
                    <w:jc w:val="center"/>
                    <w:rPr>
                      <w:rFonts w:hint="eastAsia"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2669.4806</w:t>
                  </w:r>
                </w:p>
              </w:tc>
              <w:tc>
                <w:tcPr>
                  <w:tcW w:w="633" w:type="pct"/>
                  <w:vAlign w:val="center"/>
                </w:tcPr>
                <w:p w14:paraId="5FF40F62">
                  <w:pPr>
                    <w:pStyle w:val="17"/>
                    <w:jc w:val="center"/>
                    <w:rPr>
                      <w:rFonts w:hint="default"/>
                      <w:color w:val="auto"/>
                      <w:vertAlign w:val="baseline"/>
                      <w:lang w:val="en-US" w:eastAsia="zh-CN"/>
                    </w:rPr>
                  </w:pPr>
                  <w:r>
                    <w:rPr>
                      <w:rFonts w:hint="eastAsia"/>
                      <w:color w:val="auto"/>
                      <w:vertAlign w:val="baseline"/>
                      <w:lang w:val="en-US" w:eastAsia="zh-CN"/>
                    </w:rPr>
                    <w:t>40.0422</w:t>
                  </w:r>
                </w:p>
              </w:tc>
              <w:tc>
                <w:tcPr>
                  <w:tcW w:w="491" w:type="pct"/>
                  <w:vAlign w:val="center"/>
                </w:tcPr>
                <w:p w14:paraId="4DA6A26C">
                  <w:pPr>
                    <w:pStyle w:val="17"/>
                    <w:jc w:val="center"/>
                    <w:rPr>
                      <w:rFonts w:hint="default"/>
                      <w:color w:val="auto"/>
                      <w:vertAlign w:val="baseline"/>
                      <w:lang w:val="en-US" w:eastAsia="zh-CN"/>
                    </w:rPr>
                  </w:pPr>
                  <w:r>
                    <w:rPr>
                      <w:rFonts w:hint="eastAsia"/>
                      <w:color w:val="auto"/>
                      <w:vertAlign w:val="baseline"/>
                      <w:lang w:val="en-US" w:eastAsia="zh-CN"/>
                    </w:rPr>
                    <w:t>1</w:t>
                  </w:r>
                </w:p>
              </w:tc>
              <w:tc>
                <w:tcPr>
                  <w:tcW w:w="472" w:type="pct"/>
                  <w:vAlign w:val="center"/>
                </w:tcPr>
                <w:p w14:paraId="147EC51C">
                  <w:pPr>
                    <w:pStyle w:val="17"/>
                    <w:jc w:val="center"/>
                    <w:rPr>
                      <w:rFonts w:hint="default"/>
                      <w:color w:val="auto"/>
                      <w:vertAlign w:val="baseline"/>
                      <w:lang w:val="en-US" w:eastAsia="zh-CN"/>
                    </w:rPr>
                  </w:pPr>
                  <w:r>
                    <w:rPr>
                      <w:rFonts w:hint="eastAsia"/>
                      <w:color w:val="auto"/>
                      <w:vertAlign w:val="baseline"/>
                      <w:lang w:val="en-US" w:eastAsia="zh-CN"/>
                    </w:rPr>
                    <w:t>1</w:t>
                  </w:r>
                </w:p>
              </w:tc>
              <w:tc>
                <w:tcPr>
                  <w:tcW w:w="628" w:type="pct"/>
                  <w:vMerge w:val="continue"/>
                  <w:vAlign w:val="center"/>
                </w:tcPr>
                <w:p w14:paraId="086108E7">
                  <w:pPr>
                    <w:pStyle w:val="17"/>
                    <w:jc w:val="center"/>
                    <w:rPr>
                      <w:rFonts w:hint="eastAsia"/>
                      <w:color w:val="auto"/>
                      <w:vertAlign w:val="baseline"/>
                      <w:lang w:val="en-US" w:eastAsia="zh-CN"/>
                    </w:rPr>
                  </w:pPr>
                </w:p>
              </w:tc>
            </w:tr>
            <w:tr w14:paraId="2C182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6" w:hRule="atLeast"/>
              </w:trPr>
              <w:tc>
                <w:tcPr>
                  <w:tcW w:w="287" w:type="pct"/>
                  <w:vAlign w:val="center"/>
                </w:tcPr>
                <w:p w14:paraId="1129A451">
                  <w:pPr>
                    <w:pStyle w:val="17"/>
                    <w:jc w:val="center"/>
                    <w:rPr>
                      <w:rFonts w:hint="default"/>
                      <w:color w:val="auto"/>
                      <w:vertAlign w:val="baseline"/>
                      <w:lang w:val="en-US" w:eastAsia="zh-CN"/>
                    </w:rPr>
                  </w:pPr>
                  <w:r>
                    <w:rPr>
                      <w:rFonts w:hint="eastAsia"/>
                      <w:color w:val="auto"/>
                      <w:vertAlign w:val="baseline"/>
                      <w:lang w:val="en-US" w:eastAsia="zh-CN"/>
                    </w:rPr>
                    <w:t>3</w:t>
                  </w:r>
                </w:p>
              </w:tc>
              <w:tc>
                <w:tcPr>
                  <w:tcW w:w="480" w:type="pct"/>
                  <w:vAlign w:val="center"/>
                </w:tcPr>
                <w:p w14:paraId="17E45DE9">
                  <w:pPr>
                    <w:pStyle w:val="17"/>
                    <w:jc w:val="center"/>
                    <w:rPr>
                      <w:rFonts w:hint="default"/>
                      <w:color w:val="auto"/>
                      <w:vertAlign w:val="baseline"/>
                      <w:lang w:val="en-US" w:eastAsia="zh-CN"/>
                    </w:rPr>
                  </w:pPr>
                  <w:r>
                    <w:rPr>
                      <w:rFonts w:hint="eastAsia"/>
                      <w:color w:val="auto"/>
                      <w:vertAlign w:val="baseline"/>
                      <w:lang w:val="en-US" w:eastAsia="zh-CN"/>
                    </w:rPr>
                    <w:t>食堂油烟</w:t>
                  </w:r>
                </w:p>
              </w:tc>
              <w:tc>
                <w:tcPr>
                  <w:tcW w:w="643" w:type="pct"/>
                  <w:vMerge w:val="continue"/>
                  <w:vAlign w:val="center"/>
                </w:tcPr>
                <w:p w14:paraId="7EE4F50D">
                  <w:pPr>
                    <w:pStyle w:val="17"/>
                    <w:jc w:val="center"/>
                    <w:rPr>
                      <w:rFonts w:hint="eastAsia"/>
                      <w:color w:val="auto"/>
                      <w:vertAlign w:val="baseline"/>
                      <w:lang w:val="en-US" w:eastAsia="zh-CN"/>
                    </w:rPr>
                  </w:pPr>
                </w:p>
              </w:tc>
              <w:tc>
                <w:tcPr>
                  <w:tcW w:w="633" w:type="pct"/>
                  <w:vAlign w:val="center"/>
                </w:tcPr>
                <w:p w14:paraId="24DE54A8">
                  <w:pPr>
                    <w:pStyle w:val="17"/>
                    <w:jc w:val="center"/>
                    <w:rPr>
                      <w:rFonts w:hint="default"/>
                      <w:color w:val="auto"/>
                      <w:vertAlign w:val="baseline"/>
                      <w:lang w:val="en-US" w:eastAsia="zh-CN"/>
                    </w:rPr>
                  </w:pPr>
                  <w:r>
                    <w:rPr>
                      <w:rFonts w:hint="eastAsia"/>
                      <w:color w:val="auto"/>
                      <w:vertAlign w:val="baseline"/>
                      <w:lang w:val="en-US" w:eastAsia="zh-CN"/>
                    </w:rPr>
                    <w:t>油烟</w:t>
                  </w:r>
                </w:p>
              </w:tc>
              <w:tc>
                <w:tcPr>
                  <w:tcW w:w="728" w:type="pct"/>
                  <w:vAlign w:val="center"/>
                </w:tcPr>
                <w:p w14:paraId="1E8B86F6">
                  <w:pPr>
                    <w:pStyle w:val="17"/>
                    <w:bidi w:val="0"/>
                    <w:jc w:val="center"/>
                    <w:rPr>
                      <w:rFonts w:hint="default"/>
                      <w:color w:val="auto"/>
                      <w:lang w:val="en-US" w:eastAsia="zh-CN"/>
                    </w:rPr>
                  </w:pPr>
                  <w:r>
                    <w:rPr>
                      <w:rFonts w:hint="eastAsia"/>
                      <w:color w:val="auto"/>
                      <w:lang w:val="en-US" w:eastAsia="zh-CN"/>
                    </w:rPr>
                    <w:t>2.25</w:t>
                  </w:r>
                </w:p>
              </w:tc>
              <w:tc>
                <w:tcPr>
                  <w:tcW w:w="633" w:type="pct"/>
                  <w:vAlign w:val="center"/>
                </w:tcPr>
                <w:p w14:paraId="15D0B6A5">
                  <w:pPr>
                    <w:pStyle w:val="17"/>
                    <w:jc w:val="center"/>
                    <w:rPr>
                      <w:rFonts w:hint="default"/>
                      <w:color w:val="auto"/>
                      <w:vertAlign w:val="baseline"/>
                      <w:lang w:val="en-US" w:eastAsia="zh-CN"/>
                    </w:rPr>
                  </w:pPr>
                  <w:r>
                    <w:rPr>
                      <w:rFonts w:hint="eastAsia"/>
                      <w:color w:val="auto"/>
                      <w:vertAlign w:val="baseline"/>
                      <w:lang w:val="en-US" w:eastAsia="zh-CN"/>
                    </w:rPr>
                    <w:t>0.0045</w:t>
                  </w:r>
                </w:p>
              </w:tc>
              <w:tc>
                <w:tcPr>
                  <w:tcW w:w="491" w:type="pct"/>
                  <w:vAlign w:val="center"/>
                </w:tcPr>
                <w:p w14:paraId="04D9F68B">
                  <w:pPr>
                    <w:pStyle w:val="17"/>
                    <w:jc w:val="center"/>
                    <w:rPr>
                      <w:rFonts w:hint="default"/>
                      <w:color w:val="auto"/>
                      <w:vertAlign w:val="baseline"/>
                      <w:lang w:val="en-US" w:eastAsia="zh-CN"/>
                    </w:rPr>
                  </w:pPr>
                  <w:r>
                    <w:rPr>
                      <w:rFonts w:hint="eastAsia"/>
                      <w:color w:val="auto"/>
                      <w:vertAlign w:val="baseline"/>
                      <w:lang w:val="en-US" w:eastAsia="zh-CN"/>
                    </w:rPr>
                    <w:t>1</w:t>
                  </w:r>
                </w:p>
              </w:tc>
              <w:tc>
                <w:tcPr>
                  <w:tcW w:w="472" w:type="pct"/>
                  <w:vAlign w:val="center"/>
                </w:tcPr>
                <w:p w14:paraId="6BEBC9C4">
                  <w:pPr>
                    <w:pStyle w:val="17"/>
                    <w:jc w:val="center"/>
                    <w:rPr>
                      <w:rFonts w:hint="default"/>
                      <w:color w:val="auto"/>
                      <w:vertAlign w:val="baseline"/>
                      <w:lang w:val="en-US" w:eastAsia="zh-CN"/>
                    </w:rPr>
                  </w:pPr>
                  <w:r>
                    <w:rPr>
                      <w:rFonts w:hint="eastAsia"/>
                      <w:color w:val="auto"/>
                      <w:vertAlign w:val="baseline"/>
                      <w:lang w:val="en-US" w:eastAsia="zh-CN"/>
                    </w:rPr>
                    <w:t>1</w:t>
                  </w:r>
                </w:p>
              </w:tc>
              <w:tc>
                <w:tcPr>
                  <w:tcW w:w="628" w:type="pct"/>
                  <w:vAlign w:val="center"/>
                </w:tcPr>
                <w:p w14:paraId="74A19F4F">
                  <w:pPr>
                    <w:pStyle w:val="17"/>
                    <w:jc w:val="center"/>
                    <w:rPr>
                      <w:rFonts w:hint="eastAsia"/>
                      <w:color w:val="auto"/>
                      <w:vertAlign w:val="baseline"/>
                      <w:lang w:val="en-US" w:eastAsia="zh-CN"/>
                    </w:rPr>
                  </w:pPr>
                  <w:r>
                    <w:rPr>
                      <w:rFonts w:hint="eastAsia"/>
                      <w:color w:val="auto"/>
                      <w:vertAlign w:val="baseline"/>
                      <w:lang w:val="en-US" w:eastAsia="zh-CN"/>
                    </w:rPr>
                    <w:t>停止食堂运营，维修设备</w:t>
                  </w:r>
                </w:p>
              </w:tc>
            </w:tr>
          </w:tbl>
          <w:p w14:paraId="5AF77112">
            <w:pPr>
              <w:pStyle w:val="5"/>
              <w:bidi w:val="0"/>
              <w:rPr>
                <w:rFonts w:hint="eastAsia"/>
                <w:color w:val="auto"/>
                <w:lang w:val="en-US" w:eastAsia="zh-CN"/>
              </w:rPr>
            </w:pPr>
            <w:bookmarkStart w:id="392" w:name="_Toc531"/>
            <w:bookmarkStart w:id="393" w:name="_Toc20479"/>
            <w:bookmarkStart w:id="394" w:name="_Toc14598"/>
            <w:bookmarkStart w:id="395" w:name="_Toc27984"/>
            <w:bookmarkStart w:id="396" w:name="_Toc19648"/>
            <w:r>
              <w:rPr>
                <w:rFonts w:hint="eastAsia"/>
                <w:color w:val="auto"/>
                <w:lang w:val="en-US" w:eastAsia="zh-CN"/>
              </w:rPr>
              <w:t>2.3 措施可行性分析</w:t>
            </w:r>
            <w:bookmarkEnd w:id="392"/>
            <w:bookmarkEnd w:id="393"/>
            <w:bookmarkEnd w:id="394"/>
            <w:bookmarkEnd w:id="395"/>
            <w:bookmarkEnd w:id="396"/>
          </w:p>
          <w:p w14:paraId="038D0F8A">
            <w:pPr>
              <w:rPr>
                <w:rFonts w:hint="default"/>
                <w:color w:val="auto"/>
                <w:lang w:val="en-US" w:eastAsia="zh-CN"/>
              </w:rPr>
            </w:pPr>
            <w:r>
              <w:rPr>
                <w:rFonts w:hint="eastAsia"/>
                <w:color w:val="auto"/>
                <w:lang w:val="en-US" w:eastAsia="zh-CN"/>
              </w:rPr>
              <w:t>（1）袋式除尘技术</w:t>
            </w:r>
          </w:p>
          <w:p w14:paraId="76BB3F1F">
            <w:pPr>
              <w:bidi w:val="0"/>
              <w:rPr>
                <w:rFonts w:hint="default"/>
                <w:color w:val="auto"/>
                <w:lang w:val="en-US" w:eastAsia="zh-CN"/>
              </w:rPr>
            </w:pPr>
            <w:r>
              <w:rPr>
                <w:rFonts w:hint="eastAsia"/>
                <w:color w:val="auto"/>
                <w:lang w:val="en-US" w:eastAsia="zh-CN"/>
              </w:rPr>
              <w:t>袋式除尘技术是利用纤维织物的过滤作用对含尘气体进行过滤，当含尘气体进入袋式除尘器后，颗粒大、比重大的颗粒物由于重力作用沉降下来，落入灰斗；含有较细小颗粒物的气体在通过滤料时，烟尘被阻留，使气体得到净化。属于《水泥工业污染防治可行技术指南》（环境保护部公告2014年第81号）、《排污许可证申请与核发技术规范 水泥工业》（HJ 847-2017）中可行技术。</w:t>
            </w:r>
          </w:p>
          <w:p w14:paraId="41E30962">
            <w:pPr>
              <w:rPr>
                <w:rFonts w:hint="eastAsia"/>
                <w:color w:val="auto"/>
                <w:lang w:val="en-US" w:eastAsia="zh-CN"/>
              </w:rPr>
            </w:pPr>
            <w:r>
              <w:rPr>
                <w:rFonts w:hint="eastAsia"/>
                <w:color w:val="auto"/>
                <w:lang w:val="en-US" w:eastAsia="zh-CN"/>
              </w:rPr>
              <w:t>（2）旋风除尘器</w:t>
            </w:r>
          </w:p>
          <w:p w14:paraId="76A6CAF1">
            <w:pPr>
              <w:rPr>
                <w:rFonts w:hint="default"/>
                <w:color w:val="auto"/>
                <w:lang w:val="en-US" w:eastAsia="zh-CN"/>
              </w:rPr>
            </w:pPr>
            <w:r>
              <w:rPr>
                <w:rFonts w:hint="default"/>
                <w:color w:val="auto"/>
                <w:lang w:val="en-US" w:eastAsia="zh-CN"/>
              </w:rPr>
              <w:t>旋风除尘器是除尘装置的一类。除尘机理是使含尘气流作旋转运动，借助于离心力将尘粒从气流中分离并捕集于器壁，再借助重力作用使尘粒落入灰斗。</w:t>
            </w:r>
          </w:p>
          <w:p w14:paraId="45BD8177">
            <w:pPr>
              <w:rPr>
                <w:rFonts w:hint="eastAsia"/>
                <w:color w:val="auto"/>
                <w:lang w:val="en-US" w:eastAsia="zh-CN"/>
              </w:rPr>
            </w:pPr>
            <w:r>
              <w:rPr>
                <w:rFonts w:hint="eastAsia"/>
                <w:color w:val="auto"/>
                <w:lang w:val="en-US" w:eastAsia="zh-CN"/>
              </w:rPr>
              <w:t>（3）洒水抑尘</w:t>
            </w:r>
          </w:p>
          <w:p w14:paraId="169F822E">
            <w:pPr>
              <w:rPr>
                <w:rFonts w:hint="default"/>
                <w:color w:val="auto"/>
                <w:lang w:val="en-US" w:eastAsia="zh-CN"/>
              </w:rPr>
            </w:pPr>
            <w:r>
              <w:rPr>
                <w:rFonts w:hint="default"/>
                <w:color w:val="auto"/>
                <w:lang w:val="en-US" w:eastAsia="zh-CN"/>
              </w:rPr>
              <w:t>洒水</w:t>
            </w:r>
            <w:r>
              <w:rPr>
                <w:rFonts w:hint="eastAsia"/>
                <w:color w:val="auto"/>
                <w:lang w:val="en-US" w:eastAsia="zh-CN"/>
              </w:rPr>
              <w:t>抑尘</w:t>
            </w:r>
            <w:r>
              <w:rPr>
                <w:rFonts w:hint="default"/>
                <w:color w:val="auto"/>
                <w:lang w:val="en-US" w:eastAsia="zh-CN"/>
              </w:rPr>
              <w:t>主要是通过增加空气湿度，其原理是利用喷雾洒水产生的微粒，由于其及其细小，表面张力基本上为零，喷洒到空气中能迅速吸附空气中的各种大小灰尘颗粒，通过增加尘粒的重量，达到降尘目的，且喷雾降尘装置由于水粒微小，不形成地表径流，减轻水污染。喷雾降尘对大型开阔范围的控尘降尘有很好的效果，是采场常用降尘措施。</w:t>
            </w:r>
          </w:p>
          <w:p w14:paraId="45998FD8">
            <w:pPr>
              <w:rPr>
                <w:rFonts w:hint="eastAsia"/>
                <w:color w:val="auto"/>
                <w:lang w:val="en-US" w:eastAsia="zh-CN"/>
              </w:rPr>
            </w:pPr>
            <w:r>
              <w:rPr>
                <w:rFonts w:hint="eastAsia"/>
                <w:color w:val="auto"/>
                <w:lang w:val="en-US" w:eastAsia="zh-CN"/>
              </w:rPr>
              <w:t>（4）封闭厂房</w:t>
            </w:r>
          </w:p>
          <w:p w14:paraId="1720AFFF">
            <w:pPr>
              <w:rPr>
                <w:rFonts w:hint="default"/>
                <w:color w:val="auto"/>
                <w:lang w:val="en-US" w:eastAsia="zh-CN"/>
              </w:rPr>
            </w:pPr>
            <w:r>
              <w:rPr>
                <w:rFonts w:hint="default"/>
                <w:color w:val="auto"/>
                <w:lang w:val="en-US" w:eastAsia="zh-CN"/>
              </w:rPr>
              <w:t>建设封闭</w:t>
            </w:r>
            <w:r>
              <w:rPr>
                <w:rFonts w:hint="eastAsia"/>
                <w:color w:val="auto"/>
                <w:lang w:val="en-US" w:eastAsia="zh-CN"/>
              </w:rPr>
              <w:t>厂房</w:t>
            </w:r>
            <w:r>
              <w:rPr>
                <w:rFonts w:hint="default"/>
                <w:color w:val="auto"/>
                <w:lang w:val="en-US" w:eastAsia="zh-CN"/>
              </w:rPr>
              <w:t>，主要是</w:t>
            </w:r>
            <w:r>
              <w:rPr>
                <w:rFonts w:hint="eastAsia"/>
                <w:color w:val="auto"/>
                <w:lang w:val="en-US" w:eastAsia="zh-CN"/>
              </w:rPr>
              <w:t>厂房</w:t>
            </w:r>
            <w:r>
              <w:rPr>
                <w:rFonts w:hint="default"/>
                <w:color w:val="auto"/>
                <w:lang w:val="en-US" w:eastAsia="zh-CN"/>
              </w:rPr>
              <w:t>可直接阻断风对空气的扰动，有利于粉尘的沉降；而且，降低粉尘无组织扩散的范围，控制了粉尘的影响范围。</w:t>
            </w:r>
          </w:p>
          <w:p w14:paraId="795CC39D">
            <w:pPr>
              <w:pStyle w:val="5"/>
              <w:bidi w:val="0"/>
              <w:rPr>
                <w:rFonts w:hint="eastAsia"/>
                <w:color w:val="auto"/>
                <w:lang w:val="en-US" w:eastAsia="zh-CN"/>
              </w:rPr>
            </w:pPr>
            <w:bookmarkStart w:id="397" w:name="_Toc965"/>
            <w:bookmarkStart w:id="398" w:name="_Toc21042"/>
            <w:bookmarkStart w:id="399" w:name="_Toc3498"/>
            <w:bookmarkStart w:id="400" w:name="_Toc8785"/>
            <w:bookmarkStart w:id="401" w:name="_Toc6437"/>
            <w:r>
              <w:rPr>
                <w:rFonts w:hint="eastAsia"/>
                <w:color w:val="auto"/>
                <w:lang w:val="en-US" w:eastAsia="zh-CN"/>
              </w:rPr>
              <w:t>2.4 达标可行性分析</w:t>
            </w:r>
            <w:bookmarkEnd w:id="397"/>
            <w:bookmarkEnd w:id="398"/>
            <w:bookmarkEnd w:id="399"/>
            <w:bookmarkEnd w:id="400"/>
            <w:bookmarkEnd w:id="401"/>
          </w:p>
          <w:p w14:paraId="724CE703">
            <w:pPr>
              <w:rPr>
                <w:rFonts w:hint="eastAsia"/>
                <w:color w:val="auto"/>
                <w:lang w:val="en-US" w:eastAsia="zh-CN"/>
              </w:rPr>
            </w:pPr>
            <w:r>
              <w:rPr>
                <w:rFonts w:hint="eastAsia"/>
                <w:color w:val="auto"/>
                <w:lang w:val="en-US" w:eastAsia="zh-CN"/>
              </w:rPr>
              <w:t>本项目排放口基本情况详见表4-9。</w:t>
            </w:r>
          </w:p>
          <w:p w14:paraId="3E0C7647">
            <w:pPr>
              <w:pStyle w:val="18"/>
              <w:bidi w:val="0"/>
              <w:rPr>
                <w:rFonts w:hint="eastAsia"/>
                <w:color w:val="auto"/>
                <w:lang w:val="en-US" w:eastAsia="zh-CN"/>
              </w:rPr>
            </w:pPr>
            <w:r>
              <w:rPr>
                <w:rFonts w:hint="eastAsia"/>
                <w:color w:val="auto"/>
                <w:lang w:val="en-US" w:eastAsia="zh-CN"/>
              </w:rPr>
              <w:t>表4-9 大气排放口基本情况表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83"/>
              <w:gridCol w:w="1102"/>
              <w:gridCol w:w="758"/>
              <w:gridCol w:w="1275"/>
              <w:gridCol w:w="1185"/>
              <w:gridCol w:w="870"/>
              <w:gridCol w:w="1103"/>
              <w:gridCol w:w="925"/>
            </w:tblGrid>
            <w:tr w14:paraId="01B9F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83" w:type="dxa"/>
                  <w:vMerge w:val="restart"/>
                  <w:vAlign w:val="center"/>
                </w:tcPr>
                <w:p w14:paraId="50C0D4DD">
                  <w:pPr>
                    <w:pStyle w:val="17"/>
                    <w:jc w:val="center"/>
                    <w:rPr>
                      <w:rFonts w:hint="default"/>
                      <w:color w:val="auto"/>
                      <w:vertAlign w:val="baseline"/>
                      <w:lang w:val="en-US" w:eastAsia="zh-CN"/>
                    </w:rPr>
                  </w:pPr>
                  <w:r>
                    <w:rPr>
                      <w:rFonts w:hint="eastAsia"/>
                      <w:color w:val="auto"/>
                      <w:vertAlign w:val="baseline"/>
                      <w:lang w:val="en-US" w:eastAsia="zh-CN"/>
                    </w:rPr>
                    <w:t>排放口编号</w:t>
                  </w:r>
                </w:p>
              </w:tc>
              <w:tc>
                <w:tcPr>
                  <w:tcW w:w="1102" w:type="dxa"/>
                  <w:vMerge w:val="restart"/>
                  <w:vAlign w:val="center"/>
                </w:tcPr>
                <w:p w14:paraId="41DC6B6A">
                  <w:pPr>
                    <w:pStyle w:val="17"/>
                    <w:jc w:val="center"/>
                    <w:rPr>
                      <w:rFonts w:hint="default"/>
                      <w:color w:val="auto"/>
                      <w:vertAlign w:val="baseline"/>
                      <w:lang w:val="en-US" w:eastAsia="zh-CN"/>
                    </w:rPr>
                  </w:pPr>
                  <w:r>
                    <w:rPr>
                      <w:rFonts w:hint="eastAsia"/>
                      <w:color w:val="auto"/>
                      <w:vertAlign w:val="baseline"/>
                      <w:lang w:val="en-US" w:eastAsia="zh-CN"/>
                    </w:rPr>
                    <w:t>排放口名称</w:t>
                  </w:r>
                </w:p>
              </w:tc>
              <w:tc>
                <w:tcPr>
                  <w:tcW w:w="758" w:type="dxa"/>
                  <w:vMerge w:val="restart"/>
                  <w:vAlign w:val="center"/>
                </w:tcPr>
                <w:p w14:paraId="5DDC5651">
                  <w:pPr>
                    <w:pStyle w:val="17"/>
                    <w:jc w:val="center"/>
                    <w:rPr>
                      <w:rFonts w:hint="default"/>
                      <w:color w:val="auto"/>
                      <w:vertAlign w:val="baseline"/>
                      <w:lang w:val="en-US" w:eastAsia="zh-CN"/>
                    </w:rPr>
                  </w:pPr>
                  <w:r>
                    <w:rPr>
                      <w:rFonts w:hint="eastAsia"/>
                      <w:color w:val="auto"/>
                      <w:vertAlign w:val="baseline"/>
                      <w:lang w:val="en-US" w:eastAsia="zh-CN"/>
                    </w:rPr>
                    <w:t>污染物种类</w:t>
                  </w:r>
                </w:p>
              </w:tc>
              <w:tc>
                <w:tcPr>
                  <w:tcW w:w="2460" w:type="dxa"/>
                  <w:gridSpan w:val="2"/>
                  <w:vAlign w:val="center"/>
                </w:tcPr>
                <w:p w14:paraId="3CC7FD3D">
                  <w:pPr>
                    <w:pStyle w:val="17"/>
                    <w:jc w:val="center"/>
                    <w:rPr>
                      <w:rFonts w:hint="default"/>
                      <w:color w:val="auto"/>
                      <w:vertAlign w:val="baseline"/>
                      <w:lang w:val="en-US" w:eastAsia="zh-CN"/>
                    </w:rPr>
                  </w:pPr>
                  <w:r>
                    <w:rPr>
                      <w:rFonts w:hint="eastAsia"/>
                      <w:color w:val="auto"/>
                      <w:vertAlign w:val="baseline"/>
                      <w:lang w:val="en-US" w:eastAsia="zh-CN"/>
                    </w:rPr>
                    <w:t>排放口地理坐标</w:t>
                  </w:r>
                </w:p>
              </w:tc>
              <w:tc>
                <w:tcPr>
                  <w:tcW w:w="870" w:type="dxa"/>
                  <w:vMerge w:val="restart"/>
                  <w:vAlign w:val="center"/>
                </w:tcPr>
                <w:p w14:paraId="1F5476FB">
                  <w:pPr>
                    <w:pStyle w:val="17"/>
                    <w:jc w:val="center"/>
                    <w:rPr>
                      <w:rFonts w:hint="default"/>
                      <w:color w:val="auto"/>
                      <w:vertAlign w:val="baseline"/>
                      <w:lang w:val="en-US" w:eastAsia="zh-CN"/>
                    </w:rPr>
                  </w:pPr>
                  <w:r>
                    <w:rPr>
                      <w:rFonts w:hint="eastAsia"/>
                      <w:color w:val="auto"/>
                      <w:vertAlign w:val="baseline"/>
                      <w:lang w:val="en-US" w:eastAsia="zh-CN"/>
                    </w:rPr>
                    <w:t>排气筒高度（m）</w:t>
                  </w:r>
                </w:p>
              </w:tc>
              <w:tc>
                <w:tcPr>
                  <w:tcW w:w="1103" w:type="dxa"/>
                  <w:vMerge w:val="restart"/>
                  <w:vAlign w:val="center"/>
                </w:tcPr>
                <w:p w14:paraId="309A0AD7">
                  <w:pPr>
                    <w:pStyle w:val="17"/>
                    <w:jc w:val="center"/>
                    <w:rPr>
                      <w:rFonts w:hint="default"/>
                      <w:color w:val="auto"/>
                      <w:vertAlign w:val="baseline"/>
                      <w:lang w:val="en-US" w:eastAsia="zh-CN"/>
                    </w:rPr>
                  </w:pPr>
                  <w:r>
                    <w:rPr>
                      <w:rFonts w:hint="eastAsia"/>
                      <w:color w:val="auto"/>
                      <w:vertAlign w:val="baseline"/>
                      <w:lang w:val="en-US" w:eastAsia="zh-CN"/>
                    </w:rPr>
                    <w:t>排气筒出口内径（m）</w:t>
                  </w:r>
                </w:p>
              </w:tc>
              <w:tc>
                <w:tcPr>
                  <w:tcW w:w="925" w:type="dxa"/>
                  <w:vMerge w:val="restart"/>
                  <w:vAlign w:val="center"/>
                </w:tcPr>
                <w:p w14:paraId="15765E47">
                  <w:pPr>
                    <w:pStyle w:val="17"/>
                    <w:jc w:val="center"/>
                    <w:rPr>
                      <w:rFonts w:hint="default"/>
                      <w:color w:val="auto"/>
                      <w:vertAlign w:val="baseline"/>
                      <w:lang w:val="en-US" w:eastAsia="zh-CN"/>
                    </w:rPr>
                  </w:pPr>
                  <w:r>
                    <w:rPr>
                      <w:rFonts w:hint="eastAsia"/>
                      <w:color w:val="auto"/>
                      <w:vertAlign w:val="baseline"/>
                      <w:lang w:val="en-US" w:eastAsia="zh-CN"/>
                    </w:rPr>
                    <w:t>排气温度</w:t>
                  </w:r>
                </w:p>
              </w:tc>
            </w:tr>
            <w:tr w14:paraId="11C71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83" w:type="dxa"/>
                  <w:vMerge w:val="continue"/>
                  <w:vAlign w:val="center"/>
                </w:tcPr>
                <w:p w14:paraId="69D2DA14">
                  <w:pPr>
                    <w:pStyle w:val="17"/>
                    <w:jc w:val="center"/>
                    <w:rPr>
                      <w:rFonts w:hint="default"/>
                      <w:color w:val="auto"/>
                      <w:vertAlign w:val="baseline"/>
                      <w:lang w:val="en-US" w:eastAsia="zh-CN"/>
                    </w:rPr>
                  </w:pPr>
                </w:p>
              </w:tc>
              <w:tc>
                <w:tcPr>
                  <w:tcW w:w="1102" w:type="dxa"/>
                  <w:vMerge w:val="continue"/>
                  <w:vAlign w:val="center"/>
                </w:tcPr>
                <w:p w14:paraId="592D038C">
                  <w:pPr>
                    <w:pStyle w:val="17"/>
                    <w:jc w:val="center"/>
                    <w:rPr>
                      <w:rFonts w:hint="default"/>
                      <w:color w:val="auto"/>
                      <w:vertAlign w:val="baseline"/>
                      <w:lang w:val="en-US" w:eastAsia="zh-CN"/>
                    </w:rPr>
                  </w:pPr>
                </w:p>
              </w:tc>
              <w:tc>
                <w:tcPr>
                  <w:tcW w:w="758" w:type="dxa"/>
                  <w:vMerge w:val="continue"/>
                  <w:vAlign w:val="center"/>
                </w:tcPr>
                <w:p w14:paraId="764019F4">
                  <w:pPr>
                    <w:pStyle w:val="17"/>
                    <w:jc w:val="center"/>
                    <w:rPr>
                      <w:rFonts w:hint="default"/>
                      <w:color w:val="auto"/>
                      <w:vertAlign w:val="baseline"/>
                      <w:lang w:val="en-US" w:eastAsia="zh-CN"/>
                    </w:rPr>
                  </w:pPr>
                </w:p>
              </w:tc>
              <w:tc>
                <w:tcPr>
                  <w:tcW w:w="1275" w:type="dxa"/>
                  <w:vAlign w:val="center"/>
                </w:tcPr>
                <w:p w14:paraId="65B2777B">
                  <w:pPr>
                    <w:pStyle w:val="17"/>
                    <w:jc w:val="center"/>
                    <w:rPr>
                      <w:rFonts w:hint="default"/>
                      <w:color w:val="auto"/>
                      <w:vertAlign w:val="baseline"/>
                      <w:lang w:val="en-US" w:eastAsia="zh-CN"/>
                    </w:rPr>
                  </w:pPr>
                  <w:r>
                    <w:rPr>
                      <w:rFonts w:hint="eastAsia"/>
                      <w:color w:val="auto"/>
                      <w:vertAlign w:val="baseline"/>
                      <w:lang w:val="en-US" w:eastAsia="zh-CN"/>
                    </w:rPr>
                    <w:t>东经</w:t>
                  </w:r>
                </w:p>
              </w:tc>
              <w:tc>
                <w:tcPr>
                  <w:tcW w:w="1185" w:type="dxa"/>
                  <w:vAlign w:val="center"/>
                </w:tcPr>
                <w:p w14:paraId="36EEB916">
                  <w:pPr>
                    <w:pStyle w:val="17"/>
                    <w:jc w:val="center"/>
                    <w:rPr>
                      <w:rFonts w:hint="default"/>
                      <w:color w:val="auto"/>
                      <w:vertAlign w:val="baseline"/>
                      <w:lang w:val="en-US" w:eastAsia="zh-CN"/>
                    </w:rPr>
                  </w:pPr>
                  <w:r>
                    <w:rPr>
                      <w:rFonts w:hint="eastAsia"/>
                      <w:color w:val="auto"/>
                      <w:vertAlign w:val="baseline"/>
                      <w:lang w:val="en-US" w:eastAsia="zh-CN"/>
                    </w:rPr>
                    <w:t>北纬</w:t>
                  </w:r>
                </w:p>
              </w:tc>
              <w:tc>
                <w:tcPr>
                  <w:tcW w:w="870" w:type="dxa"/>
                  <w:vMerge w:val="continue"/>
                  <w:vAlign w:val="center"/>
                </w:tcPr>
                <w:p w14:paraId="184818F6">
                  <w:pPr>
                    <w:pStyle w:val="17"/>
                    <w:jc w:val="center"/>
                    <w:rPr>
                      <w:rFonts w:hint="default"/>
                      <w:color w:val="auto"/>
                      <w:vertAlign w:val="baseline"/>
                      <w:lang w:val="en-US" w:eastAsia="zh-CN"/>
                    </w:rPr>
                  </w:pPr>
                </w:p>
              </w:tc>
              <w:tc>
                <w:tcPr>
                  <w:tcW w:w="1103" w:type="dxa"/>
                  <w:vMerge w:val="continue"/>
                  <w:vAlign w:val="center"/>
                </w:tcPr>
                <w:p w14:paraId="2D8200F1">
                  <w:pPr>
                    <w:pStyle w:val="17"/>
                    <w:jc w:val="center"/>
                    <w:rPr>
                      <w:rFonts w:hint="default"/>
                      <w:color w:val="auto"/>
                      <w:vertAlign w:val="baseline"/>
                      <w:lang w:val="en-US" w:eastAsia="zh-CN"/>
                    </w:rPr>
                  </w:pPr>
                </w:p>
              </w:tc>
              <w:tc>
                <w:tcPr>
                  <w:tcW w:w="925" w:type="dxa"/>
                  <w:vMerge w:val="continue"/>
                  <w:vAlign w:val="center"/>
                </w:tcPr>
                <w:p w14:paraId="3A121061">
                  <w:pPr>
                    <w:pStyle w:val="17"/>
                    <w:jc w:val="center"/>
                    <w:rPr>
                      <w:rFonts w:hint="default"/>
                      <w:color w:val="auto"/>
                      <w:vertAlign w:val="baseline"/>
                      <w:lang w:val="en-US" w:eastAsia="zh-CN"/>
                    </w:rPr>
                  </w:pPr>
                </w:p>
              </w:tc>
            </w:tr>
            <w:tr w14:paraId="08968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83" w:type="dxa"/>
                  <w:vAlign w:val="center"/>
                </w:tcPr>
                <w:p w14:paraId="10D8562F">
                  <w:pPr>
                    <w:pStyle w:val="17"/>
                    <w:jc w:val="center"/>
                    <w:rPr>
                      <w:rFonts w:hint="default"/>
                      <w:color w:val="auto"/>
                      <w:vertAlign w:val="baseline"/>
                      <w:lang w:val="en-US" w:eastAsia="zh-CN"/>
                    </w:rPr>
                  </w:pPr>
                  <w:r>
                    <w:rPr>
                      <w:rFonts w:hint="eastAsia"/>
                      <w:color w:val="auto"/>
                      <w:vertAlign w:val="baseline"/>
                      <w:lang w:val="en-US" w:eastAsia="zh-CN"/>
                    </w:rPr>
                    <w:t>DA001</w:t>
                  </w:r>
                </w:p>
              </w:tc>
              <w:tc>
                <w:tcPr>
                  <w:tcW w:w="1102" w:type="dxa"/>
                  <w:vAlign w:val="center"/>
                </w:tcPr>
                <w:p w14:paraId="0742137A">
                  <w:pPr>
                    <w:pStyle w:val="17"/>
                    <w:jc w:val="center"/>
                    <w:rPr>
                      <w:rFonts w:hint="default"/>
                      <w:color w:val="auto"/>
                      <w:vertAlign w:val="baseline"/>
                      <w:lang w:val="en-US" w:eastAsia="zh-CN"/>
                    </w:rPr>
                  </w:pPr>
                  <w:r>
                    <w:rPr>
                      <w:rFonts w:hint="eastAsia"/>
                      <w:color w:val="auto"/>
                      <w:vertAlign w:val="baseline"/>
                      <w:lang w:val="en-US" w:eastAsia="zh-CN"/>
                    </w:rPr>
                    <w:t>破碎筛分废气排放口</w:t>
                  </w:r>
                </w:p>
              </w:tc>
              <w:tc>
                <w:tcPr>
                  <w:tcW w:w="758" w:type="dxa"/>
                  <w:vAlign w:val="center"/>
                </w:tcPr>
                <w:p w14:paraId="679043B8">
                  <w:pPr>
                    <w:pStyle w:val="17"/>
                    <w:jc w:val="center"/>
                    <w:rPr>
                      <w:rFonts w:hint="default"/>
                      <w:color w:val="auto"/>
                      <w:vertAlign w:val="baseline"/>
                      <w:lang w:val="en-US" w:eastAsia="zh-CN"/>
                    </w:rPr>
                  </w:pPr>
                  <w:r>
                    <w:rPr>
                      <w:rFonts w:hint="eastAsia"/>
                      <w:color w:val="auto"/>
                      <w:vertAlign w:val="baseline"/>
                      <w:lang w:val="en-US" w:eastAsia="zh-CN"/>
                    </w:rPr>
                    <w:t>颗粒物</w:t>
                  </w:r>
                </w:p>
              </w:tc>
              <w:tc>
                <w:tcPr>
                  <w:tcW w:w="1275" w:type="dxa"/>
                  <w:vAlign w:val="center"/>
                </w:tcPr>
                <w:p w14:paraId="2667BD65">
                  <w:pPr>
                    <w:pStyle w:val="17"/>
                    <w:jc w:val="center"/>
                    <w:rPr>
                      <w:rFonts w:hint="default" w:ascii="Times New Roman" w:hAnsi="Times New Roman" w:cs="Times New Roman"/>
                      <w:color w:val="auto"/>
                      <w:vertAlign w:val="baseline"/>
                      <w:lang w:val="en-US" w:eastAsia="zh-CN"/>
                    </w:rPr>
                  </w:pPr>
                  <w:r>
                    <w:rPr>
                      <w:rFonts w:hint="default" w:ascii="Times New Roman" w:hAnsi="Times New Roman" w:cs="Times New Roman"/>
                      <w:color w:val="auto"/>
                      <w:vertAlign w:val="baseline"/>
                      <w:lang w:val="en-US" w:eastAsia="zh-CN"/>
                    </w:rPr>
                    <w:t>112°31′22.87″</w:t>
                  </w:r>
                </w:p>
              </w:tc>
              <w:tc>
                <w:tcPr>
                  <w:tcW w:w="1185" w:type="dxa"/>
                  <w:vAlign w:val="center"/>
                </w:tcPr>
                <w:p w14:paraId="4198B660">
                  <w:pPr>
                    <w:pStyle w:val="17"/>
                    <w:jc w:val="center"/>
                    <w:rPr>
                      <w:rFonts w:hint="default" w:ascii="Times New Roman" w:hAnsi="Times New Roman" w:cs="Times New Roman"/>
                      <w:color w:val="auto"/>
                      <w:vertAlign w:val="baseline"/>
                      <w:lang w:val="en-US" w:eastAsia="zh-CN"/>
                    </w:rPr>
                  </w:pPr>
                  <w:r>
                    <w:rPr>
                      <w:rFonts w:hint="default" w:ascii="Times New Roman" w:hAnsi="Times New Roman" w:cs="Times New Roman"/>
                      <w:color w:val="auto"/>
                      <w:vertAlign w:val="baseline"/>
                      <w:lang w:val="en-US" w:eastAsia="zh-CN"/>
                    </w:rPr>
                    <w:t>26°54′59.22″</w:t>
                  </w:r>
                </w:p>
              </w:tc>
              <w:tc>
                <w:tcPr>
                  <w:tcW w:w="870" w:type="dxa"/>
                  <w:vAlign w:val="center"/>
                </w:tcPr>
                <w:p w14:paraId="36DC4DF2">
                  <w:pPr>
                    <w:pStyle w:val="17"/>
                    <w:jc w:val="center"/>
                    <w:rPr>
                      <w:rFonts w:hint="default"/>
                      <w:color w:val="auto"/>
                      <w:vertAlign w:val="baseline"/>
                      <w:lang w:val="en-US" w:eastAsia="zh-CN"/>
                    </w:rPr>
                  </w:pPr>
                  <w:r>
                    <w:rPr>
                      <w:rFonts w:hint="eastAsia"/>
                      <w:color w:val="auto"/>
                      <w:vertAlign w:val="baseline"/>
                      <w:lang w:val="en-US" w:eastAsia="zh-CN"/>
                    </w:rPr>
                    <w:t>15</w:t>
                  </w:r>
                </w:p>
              </w:tc>
              <w:tc>
                <w:tcPr>
                  <w:tcW w:w="1103" w:type="dxa"/>
                  <w:vAlign w:val="center"/>
                </w:tcPr>
                <w:p w14:paraId="635FC90A">
                  <w:pPr>
                    <w:pStyle w:val="17"/>
                    <w:jc w:val="center"/>
                    <w:rPr>
                      <w:rFonts w:hint="default"/>
                      <w:color w:val="auto"/>
                      <w:vertAlign w:val="baseline"/>
                      <w:lang w:val="en-US" w:eastAsia="zh-CN"/>
                    </w:rPr>
                  </w:pPr>
                  <w:r>
                    <w:rPr>
                      <w:rFonts w:hint="eastAsia"/>
                      <w:color w:val="auto"/>
                      <w:vertAlign w:val="baseline"/>
                      <w:lang w:val="en-US" w:eastAsia="zh-CN"/>
                    </w:rPr>
                    <w:t>0.3</w:t>
                  </w:r>
                </w:p>
              </w:tc>
              <w:tc>
                <w:tcPr>
                  <w:tcW w:w="925" w:type="dxa"/>
                  <w:vAlign w:val="center"/>
                </w:tcPr>
                <w:p w14:paraId="2CDD0F6E">
                  <w:pPr>
                    <w:pStyle w:val="17"/>
                    <w:jc w:val="center"/>
                    <w:rPr>
                      <w:rFonts w:hint="default"/>
                      <w:color w:val="auto"/>
                      <w:vertAlign w:val="baseline"/>
                      <w:lang w:val="en-US" w:eastAsia="zh-CN"/>
                    </w:rPr>
                  </w:pPr>
                  <w:r>
                    <w:rPr>
                      <w:rFonts w:hint="eastAsia"/>
                      <w:color w:val="auto"/>
                      <w:vertAlign w:val="baseline"/>
                      <w:lang w:val="en-US" w:eastAsia="zh-CN"/>
                    </w:rPr>
                    <w:t>常温</w:t>
                  </w:r>
                </w:p>
              </w:tc>
            </w:tr>
            <w:tr w14:paraId="14696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83" w:type="dxa"/>
                  <w:vAlign w:val="center"/>
                </w:tcPr>
                <w:p w14:paraId="10519BD8">
                  <w:pPr>
                    <w:pStyle w:val="17"/>
                    <w:jc w:val="center"/>
                    <w:rPr>
                      <w:rFonts w:hint="default"/>
                      <w:color w:val="auto"/>
                      <w:vertAlign w:val="baseline"/>
                      <w:lang w:val="en-US" w:eastAsia="zh-CN"/>
                    </w:rPr>
                  </w:pPr>
                  <w:r>
                    <w:rPr>
                      <w:rFonts w:hint="eastAsia"/>
                      <w:color w:val="auto"/>
                      <w:vertAlign w:val="baseline"/>
                      <w:lang w:val="en-US" w:eastAsia="zh-CN"/>
                    </w:rPr>
                    <w:t>DA002</w:t>
                  </w:r>
                </w:p>
              </w:tc>
              <w:tc>
                <w:tcPr>
                  <w:tcW w:w="1102" w:type="dxa"/>
                  <w:vAlign w:val="center"/>
                </w:tcPr>
                <w:p w14:paraId="2FEABAE5">
                  <w:pPr>
                    <w:pStyle w:val="17"/>
                    <w:jc w:val="center"/>
                    <w:rPr>
                      <w:rFonts w:hint="default"/>
                      <w:color w:val="auto"/>
                      <w:vertAlign w:val="baseline"/>
                      <w:lang w:val="en-US" w:eastAsia="zh-CN"/>
                    </w:rPr>
                  </w:pPr>
                  <w:r>
                    <w:rPr>
                      <w:rFonts w:hint="eastAsia"/>
                      <w:color w:val="auto"/>
                      <w:vertAlign w:val="baseline"/>
                      <w:lang w:val="en-US" w:eastAsia="zh-CN"/>
                    </w:rPr>
                    <w:t>搅拌废气排放口</w:t>
                  </w:r>
                </w:p>
              </w:tc>
              <w:tc>
                <w:tcPr>
                  <w:tcW w:w="758" w:type="dxa"/>
                  <w:vAlign w:val="center"/>
                </w:tcPr>
                <w:p w14:paraId="2826E3A3">
                  <w:pPr>
                    <w:pStyle w:val="17"/>
                    <w:jc w:val="center"/>
                    <w:rPr>
                      <w:rFonts w:hint="default"/>
                      <w:color w:val="auto"/>
                      <w:vertAlign w:val="baseline"/>
                      <w:lang w:val="en-US" w:eastAsia="zh-CN"/>
                    </w:rPr>
                  </w:pPr>
                  <w:r>
                    <w:rPr>
                      <w:rFonts w:hint="eastAsia"/>
                      <w:color w:val="auto"/>
                      <w:vertAlign w:val="baseline"/>
                      <w:lang w:val="en-US" w:eastAsia="zh-CN"/>
                    </w:rPr>
                    <w:t>颗粒物</w:t>
                  </w:r>
                </w:p>
              </w:tc>
              <w:tc>
                <w:tcPr>
                  <w:tcW w:w="1275" w:type="dxa"/>
                  <w:vAlign w:val="center"/>
                </w:tcPr>
                <w:p w14:paraId="11CEB6DC">
                  <w:pPr>
                    <w:pStyle w:val="17"/>
                    <w:ind w:firstLine="0" w:firstLineChars="0"/>
                    <w:jc w:val="center"/>
                    <w:rPr>
                      <w:rFonts w:hint="default"/>
                      <w:color w:val="auto"/>
                      <w:vertAlign w:val="baseline"/>
                      <w:lang w:val="en-US" w:eastAsia="zh-CN"/>
                    </w:rPr>
                  </w:pPr>
                  <w:r>
                    <w:rPr>
                      <w:rFonts w:hint="default" w:ascii="Times New Roman" w:hAnsi="Times New Roman" w:cs="Times New Roman"/>
                      <w:color w:val="auto"/>
                      <w:vertAlign w:val="baseline"/>
                      <w:lang w:val="en-US" w:eastAsia="zh-CN"/>
                    </w:rPr>
                    <w:t>112°31′2</w:t>
                  </w:r>
                  <w:r>
                    <w:rPr>
                      <w:rFonts w:hint="eastAsia" w:cs="Times New Roman"/>
                      <w:color w:val="auto"/>
                      <w:vertAlign w:val="baseline"/>
                      <w:lang w:val="en-US" w:eastAsia="zh-CN"/>
                    </w:rPr>
                    <w:t>0.17</w:t>
                  </w:r>
                  <w:r>
                    <w:rPr>
                      <w:rFonts w:hint="default" w:ascii="Times New Roman" w:hAnsi="Times New Roman" w:cs="Times New Roman"/>
                      <w:color w:val="auto"/>
                      <w:vertAlign w:val="baseline"/>
                      <w:lang w:val="en-US" w:eastAsia="zh-CN"/>
                    </w:rPr>
                    <w:t>″</w:t>
                  </w:r>
                </w:p>
              </w:tc>
              <w:tc>
                <w:tcPr>
                  <w:tcW w:w="1185" w:type="dxa"/>
                  <w:vAlign w:val="center"/>
                </w:tcPr>
                <w:p w14:paraId="207E3A8E">
                  <w:pPr>
                    <w:pStyle w:val="17"/>
                    <w:ind w:firstLine="0" w:firstLineChars="0"/>
                    <w:jc w:val="center"/>
                    <w:rPr>
                      <w:rFonts w:hint="default"/>
                      <w:color w:val="auto"/>
                      <w:vertAlign w:val="baseline"/>
                      <w:lang w:val="en-US" w:eastAsia="zh-CN"/>
                    </w:rPr>
                  </w:pPr>
                  <w:r>
                    <w:rPr>
                      <w:rFonts w:hint="default" w:ascii="Times New Roman" w:hAnsi="Times New Roman" w:cs="Times New Roman"/>
                      <w:color w:val="auto"/>
                      <w:vertAlign w:val="baseline"/>
                      <w:lang w:val="en-US" w:eastAsia="zh-CN"/>
                    </w:rPr>
                    <w:t>26°5</w:t>
                  </w:r>
                  <w:r>
                    <w:rPr>
                      <w:rFonts w:hint="eastAsia" w:cs="Times New Roman"/>
                      <w:color w:val="auto"/>
                      <w:vertAlign w:val="baseline"/>
                      <w:lang w:val="en-US" w:eastAsia="zh-CN"/>
                    </w:rPr>
                    <w:t>5</w:t>
                  </w:r>
                  <w:r>
                    <w:rPr>
                      <w:rFonts w:hint="default" w:ascii="Times New Roman" w:hAnsi="Times New Roman" w:cs="Times New Roman"/>
                      <w:color w:val="auto"/>
                      <w:vertAlign w:val="baseline"/>
                      <w:lang w:val="en-US" w:eastAsia="zh-CN"/>
                    </w:rPr>
                    <w:t>′</w:t>
                  </w:r>
                  <w:r>
                    <w:rPr>
                      <w:rFonts w:hint="eastAsia" w:cs="Times New Roman"/>
                      <w:color w:val="auto"/>
                      <w:vertAlign w:val="baseline"/>
                      <w:lang w:val="en-US" w:eastAsia="zh-CN"/>
                    </w:rPr>
                    <w:t>4.66</w:t>
                  </w:r>
                  <w:r>
                    <w:rPr>
                      <w:rFonts w:hint="default" w:ascii="Times New Roman" w:hAnsi="Times New Roman" w:cs="Times New Roman"/>
                      <w:color w:val="auto"/>
                      <w:vertAlign w:val="baseline"/>
                      <w:lang w:val="en-US" w:eastAsia="zh-CN"/>
                    </w:rPr>
                    <w:t>″</w:t>
                  </w:r>
                </w:p>
              </w:tc>
              <w:tc>
                <w:tcPr>
                  <w:tcW w:w="870" w:type="dxa"/>
                  <w:vAlign w:val="center"/>
                </w:tcPr>
                <w:p w14:paraId="0B6434EB">
                  <w:pPr>
                    <w:pStyle w:val="17"/>
                    <w:jc w:val="center"/>
                    <w:rPr>
                      <w:rFonts w:hint="default"/>
                      <w:color w:val="auto"/>
                      <w:vertAlign w:val="baseline"/>
                      <w:lang w:val="en-US" w:eastAsia="zh-CN"/>
                    </w:rPr>
                  </w:pPr>
                  <w:r>
                    <w:rPr>
                      <w:rFonts w:hint="eastAsia"/>
                      <w:color w:val="auto"/>
                      <w:vertAlign w:val="baseline"/>
                      <w:lang w:val="en-US" w:eastAsia="zh-CN"/>
                    </w:rPr>
                    <w:t>15</w:t>
                  </w:r>
                </w:p>
              </w:tc>
              <w:tc>
                <w:tcPr>
                  <w:tcW w:w="1103" w:type="dxa"/>
                  <w:vAlign w:val="center"/>
                </w:tcPr>
                <w:p w14:paraId="56D73B83">
                  <w:pPr>
                    <w:pStyle w:val="17"/>
                    <w:jc w:val="center"/>
                    <w:rPr>
                      <w:rFonts w:hint="default"/>
                      <w:color w:val="auto"/>
                      <w:vertAlign w:val="baseline"/>
                      <w:lang w:val="en-US" w:eastAsia="zh-CN"/>
                    </w:rPr>
                  </w:pPr>
                  <w:r>
                    <w:rPr>
                      <w:rFonts w:hint="eastAsia"/>
                      <w:color w:val="auto"/>
                      <w:vertAlign w:val="baseline"/>
                      <w:lang w:val="en-US" w:eastAsia="zh-CN"/>
                    </w:rPr>
                    <w:t>0.3</w:t>
                  </w:r>
                </w:p>
              </w:tc>
              <w:tc>
                <w:tcPr>
                  <w:tcW w:w="925" w:type="dxa"/>
                  <w:vAlign w:val="center"/>
                </w:tcPr>
                <w:p w14:paraId="20674178">
                  <w:pPr>
                    <w:pStyle w:val="17"/>
                    <w:jc w:val="center"/>
                    <w:rPr>
                      <w:rFonts w:hint="default"/>
                      <w:color w:val="auto"/>
                      <w:vertAlign w:val="baseline"/>
                      <w:lang w:val="en-US" w:eastAsia="zh-CN"/>
                    </w:rPr>
                  </w:pPr>
                  <w:r>
                    <w:rPr>
                      <w:rFonts w:hint="eastAsia"/>
                      <w:color w:val="auto"/>
                      <w:vertAlign w:val="baseline"/>
                      <w:lang w:val="en-US" w:eastAsia="zh-CN"/>
                    </w:rPr>
                    <w:t>常温</w:t>
                  </w:r>
                </w:p>
              </w:tc>
            </w:tr>
          </w:tbl>
          <w:p w14:paraId="24F167B0">
            <w:pPr>
              <w:rPr>
                <w:rFonts w:hint="eastAsia"/>
                <w:color w:val="auto"/>
                <w:lang w:val="en-US" w:eastAsia="zh-CN"/>
              </w:rPr>
            </w:pPr>
            <w:r>
              <w:rPr>
                <w:rFonts w:hint="eastAsia"/>
                <w:color w:val="auto"/>
                <w:lang w:val="en-US" w:eastAsia="zh-CN"/>
              </w:rPr>
              <w:t>根据废气污染源强核算结果可知，本项目改建完成后DA001有组织排放的颗粒物的排放速率符合《大气污染物综合排放标准》（GB 16297-1996）表2中15m高排气筒二级标准排放限值，DA002有组织排放的颗粒物的排放浓度符合《水泥工业大气污染物排放标准》（GB 4915-2013）表2中大气污染源特别排放限值，油烟的排放浓度符合《饮食业油烟排放标准（试行）》（GB 18483-2001）表2中小型规模标准；类比同类型项目，本项目改建完成后全厂运营期厂界无组织排放的颗粒物排放浓度符合《大气污染物综合排放标准》（GB 16297-1996）表2中无组织排放限值与《水泥工业大气污染物排放标准》（GB 4915-2013）表3中无组织排放限值。本项目改建完成后全厂废气污染物均能够做到达标排放。</w:t>
            </w:r>
          </w:p>
          <w:p w14:paraId="5F9E0470">
            <w:pPr>
              <w:rPr>
                <w:rFonts w:hint="eastAsia"/>
                <w:color w:val="auto"/>
                <w:lang w:val="en-US" w:eastAsia="zh-CN"/>
              </w:rPr>
            </w:pPr>
            <w:r>
              <w:rPr>
                <w:rFonts w:hint="eastAsia"/>
                <w:color w:val="auto"/>
                <w:lang w:val="en-US" w:eastAsia="zh-CN"/>
              </w:rPr>
              <w:t>根据环境质量现状评价，本项目所在区域为达标区，环境空气质量现状良好。因此本项目建成投产后，对于周边环境空气和周边环境保护目标的影响不大，本项目大气污染物评价结果可接受。</w:t>
            </w:r>
          </w:p>
          <w:p w14:paraId="5CBAA45E">
            <w:pPr>
              <w:pStyle w:val="5"/>
              <w:bidi w:val="0"/>
              <w:rPr>
                <w:rFonts w:hint="eastAsia"/>
                <w:color w:val="auto"/>
                <w:lang w:val="en-US" w:eastAsia="zh-CN"/>
              </w:rPr>
            </w:pPr>
            <w:bookmarkStart w:id="402" w:name="_Toc3391"/>
            <w:bookmarkStart w:id="403" w:name="_Toc4003"/>
            <w:bookmarkStart w:id="404" w:name="_Toc28372"/>
            <w:bookmarkStart w:id="405" w:name="_Toc17796"/>
            <w:bookmarkStart w:id="406" w:name="_Toc7538"/>
            <w:r>
              <w:rPr>
                <w:rFonts w:hint="eastAsia"/>
                <w:color w:val="auto"/>
                <w:lang w:val="en-US" w:eastAsia="zh-CN"/>
              </w:rPr>
              <w:t>2.5 废气自行监测要求</w:t>
            </w:r>
            <w:bookmarkEnd w:id="402"/>
            <w:bookmarkEnd w:id="403"/>
            <w:bookmarkEnd w:id="404"/>
            <w:bookmarkEnd w:id="405"/>
            <w:bookmarkEnd w:id="406"/>
          </w:p>
          <w:p w14:paraId="646129BF">
            <w:pPr>
              <w:rPr>
                <w:rFonts w:hint="default"/>
                <w:color w:val="auto"/>
                <w:lang w:val="en-US" w:eastAsia="zh-CN"/>
              </w:rPr>
            </w:pPr>
            <w:r>
              <w:rPr>
                <w:rFonts w:hint="default"/>
                <w:color w:val="auto"/>
                <w:lang w:val="en-US" w:eastAsia="zh-CN"/>
              </w:rPr>
              <w:t>建设单位应定期或不定期委托有检测资质单位对废气污染源进行监测。自行监测的记录要求根据</w:t>
            </w:r>
            <w:r>
              <w:rPr>
                <w:rFonts w:hint="eastAsia"/>
                <w:color w:val="auto"/>
                <w:lang w:val="en-US" w:eastAsia="zh-CN"/>
              </w:rPr>
              <w:t>《排污单位自行监测技术指南 总则》（HJ 819-2017）、</w:t>
            </w:r>
            <w:r>
              <w:rPr>
                <w:rFonts w:hint="default"/>
                <w:color w:val="auto"/>
                <w:lang w:val="en-US" w:eastAsia="zh-CN"/>
              </w:rPr>
              <w:t xml:space="preserve">《排污单位自行监测技术指南 </w:t>
            </w:r>
            <w:r>
              <w:rPr>
                <w:rFonts w:hint="eastAsia"/>
                <w:color w:val="auto"/>
                <w:lang w:val="en-US" w:eastAsia="zh-CN"/>
              </w:rPr>
              <w:t>工业固体废物和危险废物治理</w:t>
            </w:r>
            <w:r>
              <w:rPr>
                <w:rFonts w:hint="default"/>
                <w:color w:val="auto"/>
                <w:lang w:val="en-US" w:eastAsia="zh-CN"/>
              </w:rPr>
              <w:t>》（HJ</w:t>
            </w:r>
            <w:r>
              <w:rPr>
                <w:rFonts w:hint="eastAsia"/>
                <w:color w:val="auto"/>
                <w:lang w:val="en-US" w:eastAsia="zh-CN"/>
              </w:rPr>
              <w:t xml:space="preserve"> 1250-2022</w:t>
            </w:r>
            <w:r>
              <w:rPr>
                <w:rFonts w:hint="default"/>
                <w:color w:val="auto"/>
                <w:lang w:val="en-US" w:eastAsia="zh-CN"/>
              </w:rPr>
              <w:t>）</w:t>
            </w:r>
            <w:r>
              <w:rPr>
                <w:rFonts w:hint="eastAsia"/>
                <w:color w:val="auto"/>
                <w:lang w:val="en-US" w:eastAsia="zh-CN"/>
              </w:rPr>
              <w:t>、《排污单位自行监测技术指南 水泥工业》（HJ 848-2017）</w:t>
            </w:r>
            <w:r>
              <w:rPr>
                <w:rFonts w:hint="default"/>
                <w:color w:val="auto"/>
                <w:lang w:val="en-US" w:eastAsia="zh-CN"/>
              </w:rPr>
              <w:t>进行，待所属行业的其他排污单位自行监测技术指南发布实施后从其规定。</w:t>
            </w:r>
          </w:p>
          <w:p w14:paraId="7CA150BA">
            <w:pPr>
              <w:rPr>
                <w:rFonts w:hint="default"/>
                <w:color w:val="auto"/>
                <w:lang w:val="en-US" w:eastAsia="zh-CN"/>
              </w:rPr>
            </w:pPr>
            <w:r>
              <w:rPr>
                <w:rFonts w:hint="default"/>
                <w:color w:val="auto"/>
                <w:lang w:val="en-US" w:eastAsia="zh-CN"/>
              </w:rPr>
              <w:t>本项目改建完成后全厂的废气监测计划见表4-</w:t>
            </w:r>
            <w:r>
              <w:rPr>
                <w:rFonts w:hint="eastAsia"/>
                <w:color w:val="auto"/>
                <w:lang w:val="en-US" w:eastAsia="zh-CN"/>
              </w:rPr>
              <w:t>9</w:t>
            </w:r>
            <w:r>
              <w:rPr>
                <w:rFonts w:hint="default"/>
                <w:color w:val="auto"/>
                <w:lang w:val="en-US" w:eastAsia="zh-CN"/>
              </w:rPr>
              <w:t>。</w:t>
            </w:r>
          </w:p>
          <w:p w14:paraId="21C65AD3">
            <w:pPr>
              <w:pStyle w:val="18"/>
              <w:bidi w:val="0"/>
              <w:rPr>
                <w:rFonts w:hint="eastAsia"/>
                <w:color w:val="auto"/>
                <w:lang w:val="en-US" w:eastAsia="zh-CN"/>
              </w:rPr>
            </w:pPr>
            <w:r>
              <w:rPr>
                <w:rFonts w:hint="eastAsia"/>
                <w:color w:val="auto"/>
                <w:lang w:val="en-US" w:eastAsia="zh-CN"/>
              </w:rPr>
              <w:t>表4-9 改建后全厂运营期废气自行监测要求一览表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
              <w:gridCol w:w="1091"/>
              <w:gridCol w:w="1091"/>
              <w:gridCol w:w="4675"/>
            </w:tblGrid>
            <w:tr w14:paraId="0BD28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Align w:val="center"/>
                </w:tcPr>
                <w:p w14:paraId="74283278">
                  <w:pPr>
                    <w:pStyle w:val="17"/>
                    <w:jc w:val="center"/>
                    <w:rPr>
                      <w:rFonts w:hint="default"/>
                      <w:color w:val="auto"/>
                      <w:vertAlign w:val="baseline"/>
                      <w:lang w:val="en-US" w:eastAsia="zh-CN"/>
                    </w:rPr>
                  </w:pPr>
                  <w:r>
                    <w:rPr>
                      <w:rFonts w:hint="eastAsia"/>
                      <w:color w:val="auto"/>
                      <w:vertAlign w:val="baseline"/>
                      <w:lang w:val="en-US" w:eastAsia="zh-CN"/>
                    </w:rPr>
                    <w:t>监测点位</w:t>
                  </w:r>
                </w:p>
              </w:tc>
              <w:tc>
                <w:tcPr>
                  <w:tcW w:w="1091" w:type="dxa"/>
                  <w:vAlign w:val="center"/>
                </w:tcPr>
                <w:p w14:paraId="78B824DD">
                  <w:pPr>
                    <w:pStyle w:val="17"/>
                    <w:jc w:val="center"/>
                    <w:rPr>
                      <w:rFonts w:hint="default"/>
                      <w:color w:val="auto"/>
                      <w:vertAlign w:val="baseline"/>
                      <w:lang w:val="en-US" w:eastAsia="zh-CN"/>
                    </w:rPr>
                  </w:pPr>
                  <w:r>
                    <w:rPr>
                      <w:rFonts w:hint="eastAsia"/>
                      <w:color w:val="auto"/>
                      <w:vertAlign w:val="baseline"/>
                      <w:lang w:val="en-US" w:eastAsia="zh-CN"/>
                    </w:rPr>
                    <w:t>监测因子</w:t>
                  </w:r>
                </w:p>
              </w:tc>
              <w:tc>
                <w:tcPr>
                  <w:tcW w:w="1091" w:type="dxa"/>
                  <w:vAlign w:val="center"/>
                </w:tcPr>
                <w:p w14:paraId="6943C1D8">
                  <w:pPr>
                    <w:pStyle w:val="17"/>
                    <w:jc w:val="center"/>
                    <w:rPr>
                      <w:rFonts w:hint="default"/>
                      <w:color w:val="auto"/>
                      <w:vertAlign w:val="baseline"/>
                      <w:lang w:val="en-US" w:eastAsia="zh-CN"/>
                    </w:rPr>
                  </w:pPr>
                  <w:r>
                    <w:rPr>
                      <w:rFonts w:hint="eastAsia"/>
                      <w:color w:val="auto"/>
                      <w:vertAlign w:val="baseline"/>
                      <w:lang w:val="en-US" w:eastAsia="zh-CN"/>
                    </w:rPr>
                    <w:t>监测频次</w:t>
                  </w:r>
                </w:p>
              </w:tc>
              <w:tc>
                <w:tcPr>
                  <w:tcW w:w="4675" w:type="dxa"/>
                  <w:vAlign w:val="center"/>
                </w:tcPr>
                <w:p w14:paraId="2AD36E86">
                  <w:pPr>
                    <w:pStyle w:val="17"/>
                    <w:jc w:val="center"/>
                    <w:rPr>
                      <w:rFonts w:hint="default"/>
                      <w:color w:val="auto"/>
                      <w:vertAlign w:val="baseline"/>
                      <w:lang w:val="en-US" w:eastAsia="zh-CN"/>
                    </w:rPr>
                  </w:pPr>
                  <w:r>
                    <w:rPr>
                      <w:rFonts w:hint="eastAsia"/>
                      <w:color w:val="auto"/>
                      <w:vertAlign w:val="baseline"/>
                      <w:lang w:val="en-US" w:eastAsia="zh-CN"/>
                    </w:rPr>
                    <w:t>排放标准</w:t>
                  </w:r>
                </w:p>
              </w:tc>
            </w:tr>
            <w:tr w14:paraId="4F3D4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Align w:val="center"/>
                </w:tcPr>
                <w:p w14:paraId="38DA7EA1">
                  <w:pPr>
                    <w:pStyle w:val="17"/>
                    <w:jc w:val="center"/>
                    <w:rPr>
                      <w:rFonts w:hint="default"/>
                      <w:color w:val="auto"/>
                      <w:vertAlign w:val="baseline"/>
                      <w:lang w:val="en-US" w:eastAsia="zh-CN"/>
                    </w:rPr>
                  </w:pPr>
                  <w:r>
                    <w:rPr>
                      <w:rFonts w:hint="eastAsia"/>
                      <w:color w:val="auto"/>
                      <w:vertAlign w:val="baseline"/>
                      <w:lang w:val="en-US" w:eastAsia="zh-CN"/>
                    </w:rPr>
                    <w:t>DA001</w:t>
                  </w:r>
                </w:p>
              </w:tc>
              <w:tc>
                <w:tcPr>
                  <w:tcW w:w="1091" w:type="dxa"/>
                  <w:vAlign w:val="center"/>
                </w:tcPr>
                <w:p w14:paraId="4C844FC8">
                  <w:pPr>
                    <w:pStyle w:val="17"/>
                    <w:jc w:val="center"/>
                    <w:rPr>
                      <w:rFonts w:hint="default"/>
                      <w:color w:val="auto"/>
                      <w:vertAlign w:val="baseline"/>
                      <w:lang w:val="en-US" w:eastAsia="zh-CN"/>
                    </w:rPr>
                  </w:pPr>
                  <w:r>
                    <w:rPr>
                      <w:rFonts w:hint="eastAsia"/>
                      <w:color w:val="auto"/>
                      <w:vertAlign w:val="baseline"/>
                      <w:lang w:val="en-US" w:eastAsia="zh-CN"/>
                    </w:rPr>
                    <w:t>颗粒物</w:t>
                  </w:r>
                </w:p>
              </w:tc>
              <w:tc>
                <w:tcPr>
                  <w:tcW w:w="1091" w:type="dxa"/>
                  <w:vAlign w:val="center"/>
                </w:tcPr>
                <w:p w14:paraId="5BE1EB44">
                  <w:pPr>
                    <w:pStyle w:val="17"/>
                    <w:jc w:val="center"/>
                    <w:rPr>
                      <w:rFonts w:hint="default"/>
                      <w:color w:val="auto"/>
                      <w:vertAlign w:val="baseline"/>
                      <w:lang w:val="en-US" w:eastAsia="zh-CN"/>
                    </w:rPr>
                  </w:pPr>
                  <w:r>
                    <w:rPr>
                      <w:rFonts w:hint="eastAsia"/>
                      <w:color w:val="auto"/>
                      <w:vertAlign w:val="baseline"/>
                      <w:lang w:val="en-US" w:eastAsia="zh-CN"/>
                    </w:rPr>
                    <w:t>1次/年</w:t>
                  </w:r>
                </w:p>
              </w:tc>
              <w:tc>
                <w:tcPr>
                  <w:tcW w:w="4675" w:type="dxa"/>
                  <w:vAlign w:val="center"/>
                </w:tcPr>
                <w:p w14:paraId="76403312">
                  <w:pPr>
                    <w:pStyle w:val="17"/>
                    <w:jc w:val="center"/>
                    <w:rPr>
                      <w:rFonts w:hint="eastAsia"/>
                      <w:color w:val="auto"/>
                      <w:vertAlign w:val="baseline"/>
                      <w:lang w:val="en-US" w:eastAsia="zh-CN"/>
                    </w:rPr>
                  </w:pPr>
                  <w:r>
                    <w:rPr>
                      <w:rFonts w:hint="eastAsia"/>
                      <w:color w:val="auto"/>
                      <w:vertAlign w:val="baseline"/>
                      <w:lang w:val="en-US" w:eastAsia="zh-CN"/>
                    </w:rPr>
                    <w:t>《大气污染物综合排放标准》</w:t>
                  </w:r>
                </w:p>
                <w:p w14:paraId="79BC3FF3">
                  <w:pPr>
                    <w:pStyle w:val="17"/>
                    <w:jc w:val="center"/>
                    <w:rPr>
                      <w:rFonts w:hint="default"/>
                      <w:color w:val="auto"/>
                      <w:vertAlign w:val="baseline"/>
                      <w:lang w:val="en-US" w:eastAsia="zh-CN"/>
                    </w:rPr>
                  </w:pPr>
                  <w:r>
                    <w:rPr>
                      <w:rFonts w:hint="eastAsia"/>
                      <w:color w:val="auto"/>
                      <w:vertAlign w:val="baseline"/>
                      <w:lang w:val="en-US" w:eastAsia="zh-CN"/>
                    </w:rPr>
                    <w:t>（GB 16297-1996）表2</w:t>
                  </w:r>
                  <w:r>
                    <w:rPr>
                      <w:rFonts w:hint="eastAsia"/>
                      <w:color w:val="auto"/>
                      <w:lang w:val="en-US" w:eastAsia="zh-CN"/>
                    </w:rPr>
                    <w:t>中15m高排气筒二级标准排放限值</w:t>
                  </w:r>
                </w:p>
              </w:tc>
            </w:tr>
            <w:tr w14:paraId="06692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Align w:val="center"/>
                </w:tcPr>
                <w:p w14:paraId="0DEAC2FE">
                  <w:pPr>
                    <w:pStyle w:val="17"/>
                    <w:jc w:val="center"/>
                    <w:rPr>
                      <w:rFonts w:hint="default"/>
                      <w:color w:val="auto"/>
                      <w:vertAlign w:val="baseline"/>
                      <w:lang w:val="en-US" w:eastAsia="zh-CN"/>
                    </w:rPr>
                  </w:pPr>
                  <w:r>
                    <w:rPr>
                      <w:rFonts w:hint="eastAsia"/>
                      <w:color w:val="auto"/>
                      <w:vertAlign w:val="baseline"/>
                      <w:lang w:val="en-US" w:eastAsia="zh-CN"/>
                    </w:rPr>
                    <w:t>DA002</w:t>
                  </w:r>
                </w:p>
              </w:tc>
              <w:tc>
                <w:tcPr>
                  <w:tcW w:w="1091" w:type="dxa"/>
                  <w:vAlign w:val="center"/>
                </w:tcPr>
                <w:p w14:paraId="0B963990">
                  <w:pPr>
                    <w:pStyle w:val="17"/>
                    <w:jc w:val="center"/>
                    <w:rPr>
                      <w:rFonts w:hint="default"/>
                      <w:color w:val="auto"/>
                      <w:vertAlign w:val="baseline"/>
                      <w:lang w:val="en-US" w:eastAsia="zh-CN"/>
                    </w:rPr>
                  </w:pPr>
                  <w:r>
                    <w:rPr>
                      <w:rFonts w:hint="eastAsia"/>
                      <w:color w:val="auto"/>
                      <w:vertAlign w:val="baseline"/>
                      <w:lang w:val="en-US" w:eastAsia="zh-CN"/>
                    </w:rPr>
                    <w:t>颗粒物</w:t>
                  </w:r>
                </w:p>
              </w:tc>
              <w:tc>
                <w:tcPr>
                  <w:tcW w:w="1091" w:type="dxa"/>
                  <w:vAlign w:val="center"/>
                </w:tcPr>
                <w:p w14:paraId="2936DD2D">
                  <w:pPr>
                    <w:pStyle w:val="17"/>
                    <w:jc w:val="center"/>
                    <w:rPr>
                      <w:rFonts w:hint="default"/>
                      <w:color w:val="auto"/>
                      <w:vertAlign w:val="baseline"/>
                      <w:lang w:val="en-US" w:eastAsia="zh-CN"/>
                    </w:rPr>
                  </w:pPr>
                  <w:r>
                    <w:rPr>
                      <w:rFonts w:hint="eastAsia"/>
                      <w:color w:val="auto"/>
                      <w:vertAlign w:val="baseline"/>
                      <w:lang w:val="en-US" w:eastAsia="zh-CN"/>
                    </w:rPr>
                    <w:t>1次/两年</w:t>
                  </w:r>
                </w:p>
              </w:tc>
              <w:tc>
                <w:tcPr>
                  <w:tcW w:w="4675" w:type="dxa"/>
                  <w:vAlign w:val="center"/>
                </w:tcPr>
                <w:p w14:paraId="623F7962">
                  <w:pPr>
                    <w:pStyle w:val="17"/>
                    <w:jc w:val="center"/>
                    <w:rPr>
                      <w:rFonts w:hint="eastAsia"/>
                      <w:color w:val="auto"/>
                      <w:lang w:val="en-US" w:eastAsia="zh-CN"/>
                    </w:rPr>
                  </w:pPr>
                  <w:r>
                    <w:rPr>
                      <w:rFonts w:hint="eastAsia"/>
                      <w:color w:val="auto"/>
                      <w:lang w:val="en-US" w:eastAsia="zh-CN"/>
                    </w:rPr>
                    <w:t>《水泥工业大气污染物排放标准》</w:t>
                  </w:r>
                </w:p>
                <w:p w14:paraId="6DCEA9F5">
                  <w:pPr>
                    <w:pStyle w:val="17"/>
                    <w:jc w:val="center"/>
                    <w:rPr>
                      <w:rFonts w:hint="eastAsia"/>
                      <w:color w:val="auto"/>
                      <w:vertAlign w:val="baseline"/>
                      <w:lang w:val="en-US" w:eastAsia="zh-CN"/>
                    </w:rPr>
                  </w:pPr>
                  <w:r>
                    <w:rPr>
                      <w:rFonts w:hint="eastAsia"/>
                      <w:color w:val="auto"/>
                      <w:lang w:val="en-US" w:eastAsia="zh-CN"/>
                    </w:rPr>
                    <w:t>（GB 4915-2013）表2中特别排放限值</w:t>
                  </w:r>
                </w:p>
              </w:tc>
            </w:tr>
            <w:tr w14:paraId="7F8E1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Align w:val="center"/>
                </w:tcPr>
                <w:p w14:paraId="3F060A2F">
                  <w:pPr>
                    <w:pStyle w:val="17"/>
                    <w:jc w:val="center"/>
                    <w:rPr>
                      <w:rFonts w:hint="default"/>
                      <w:color w:val="auto"/>
                      <w:vertAlign w:val="baseline"/>
                      <w:lang w:val="en-US" w:eastAsia="zh-CN"/>
                    </w:rPr>
                  </w:pPr>
                  <w:r>
                    <w:rPr>
                      <w:rFonts w:hint="eastAsia"/>
                      <w:color w:val="auto"/>
                      <w:vertAlign w:val="baseline"/>
                      <w:lang w:val="en-US" w:eastAsia="zh-CN"/>
                    </w:rPr>
                    <w:t>厂界</w:t>
                  </w:r>
                </w:p>
              </w:tc>
              <w:tc>
                <w:tcPr>
                  <w:tcW w:w="1091" w:type="dxa"/>
                  <w:vAlign w:val="center"/>
                </w:tcPr>
                <w:p w14:paraId="1C99276A">
                  <w:pPr>
                    <w:pStyle w:val="17"/>
                    <w:jc w:val="center"/>
                    <w:rPr>
                      <w:rFonts w:hint="default"/>
                      <w:color w:val="auto"/>
                      <w:vertAlign w:val="baseline"/>
                      <w:lang w:val="en-US" w:eastAsia="zh-CN"/>
                    </w:rPr>
                  </w:pPr>
                  <w:r>
                    <w:rPr>
                      <w:rFonts w:hint="eastAsia"/>
                      <w:color w:val="auto"/>
                      <w:vertAlign w:val="baseline"/>
                      <w:lang w:val="en-US" w:eastAsia="zh-CN"/>
                    </w:rPr>
                    <w:t>颗粒物</w:t>
                  </w:r>
                </w:p>
              </w:tc>
              <w:tc>
                <w:tcPr>
                  <w:tcW w:w="1091" w:type="dxa"/>
                  <w:vAlign w:val="center"/>
                </w:tcPr>
                <w:p w14:paraId="2B324BDA">
                  <w:pPr>
                    <w:pStyle w:val="17"/>
                    <w:jc w:val="center"/>
                    <w:rPr>
                      <w:rFonts w:hint="default"/>
                      <w:color w:val="auto"/>
                      <w:vertAlign w:val="baseline"/>
                      <w:lang w:val="en-US" w:eastAsia="zh-CN"/>
                    </w:rPr>
                  </w:pPr>
                  <w:r>
                    <w:rPr>
                      <w:rFonts w:hint="eastAsia"/>
                      <w:color w:val="auto"/>
                      <w:vertAlign w:val="baseline"/>
                      <w:lang w:val="en-US" w:eastAsia="zh-CN"/>
                    </w:rPr>
                    <w:t>1次/季度</w:t>
                  </w:r>
                </w:p>
              </w:tc>
              <w:tc>
                <w:tcPr>
                  <w:tcW w:w="4675" w:type="dxa"/>
                  <w:vAlign w:val="center"/>
                </w:tcPr>
                <w:p w14:paraId="69C0902B">
                  <w:pPr>
                    <w:pStyle w:val="17"/>
                    <w:jc w:val="center"/>
                    <w:rPr>
                      <w:rFonts w:hint="eastAsia"/>
                      <w:color w:val="auto"/>
                      <w:lang w:val="en-US" w:eastAsia="zh-CN"/>
                    </w:rPr>
                  </w:pPr>
                  <w:r>
                    <w:rPr>
                      <w:rFonts w:hint="eastAsia"/>
                      <w:color w:val="auto"/>
                      <w:lang w:val="en-US" w:eastAsia="zh-CN"/>
                    </w:rPr>
                    <w:t>《大气污染物综合排放标准》</w:t>
                  </w:r>
                </w:p>
                <w:p w14:paraId="2F1DB9A0">
                  <w:pPr>
                    <w:pStyle w:val="17"/>
                    <w:jc w:val="center"/>
                    <w:rPr>
                      <w:rFonts w:hint="default"/>
                      <w:color w:val="auto"/>
                      <w:lang w:val="en-US" w:eastAsia="zh-CN"/>
                    </w:rPr>
                  </w:pPr>
                  <w:r>
                    <w:rPr>
                      <w:rFonts w:hint="eastAsia"/>
                      <w:color w:val="auto"/>
                      <w:lang w:val="en-US" w:eastAsia="zh-CN"/>
                    </w:rPr>
                    <w:t>（GB 16297-1996）表2中无组织排放限值</w:t>
                  </w:r>
                </w:p>
                <w:p w14:paraId="7456A14F">
                  <w:pPr>
                    <w:pStyle w:val="17"/>
                    <w:jc w:val="center"/>
                    <w:rPr>
                      <w:rFonts w:hint="eastAsia"/>
                      <w:color w:val="auto"/>
                      <w:lang w:val="en-US" w:eastAsia="zh-CN"/>
                    </w:rPr>
                  </w:pPr>
                  <w:r>
                    <w:rPr>
                      <w:rFonts w:hint="eastAsia"/>
                      <w:color w:val="auto"/>
                      <w:lang w:val="en-US" w:eastAsia="zh-CN"/>
                    </w:rPr>
                    <w:t>《水泥工业大气污染物排放标准》</w:t>
                  </w:r>
                </w:p>
                <w:p w14:paraId="4E0370EF">
                  <w:pPr>
                    <w:pStyle w:val="17"/>
                    <w:jc w:val="center"/>
                    <w:rPr>
                      <w:rFonts w:hint="eastAsia"/>
                      <w:color w:val="auto"/>
                      <w:vertAlign w:val="baseline"/>
                      <w:lang w:val="en-US" w:eastAsia="zh-CN"/>
                    </w:rPr>
                  </w:pPr>
                  <w:r>
                    <w:rPr>
                      <w:rFonts w:hint="eastAsia"/>
                      <w:color w:val="auto"/>
                      <w:lang w:val="en-US" w:eastAsia="zh-CN"/>
                    </w:rPr>
                    <w:t>（GB 4915-2013）表3中无组织排放限值</w:t>
                  </w:r>
                </w:p>
              </w:tc>
            </w:tr>
          </w:tbl>
          <w:p w14:paraId="7DAB2913">
            <w:pPr>
              <w:pStyle w:val="4"/>
              <w:bidi w:val="0"/>
              <w:rPr>
                <w:rFonts w:hint="eastAsia"/>
                <w:color w:val="auto"/>
                <w:lang w:val="en-US" w:eastAsia="zh-CN"/>
              </w:rPr>
            </w:pPr>
            <w:bookmarkStart w:id="407" w:name="_Toc17853"/>
            <w:bookmarkStart w:id="408" w:name="_Toc8903"/>
            <w:bookmarkStart w:id="409" w:name="_Toc29789"/>
            <w:bookmarkStart w:id="410" w:name="_Toc497"/>
            <w:bookmarkStart w:id="411" w:name="_Toc27157"/>
            <w:r>
              <w:rPr>
                <w:rFonts w:hint="eastAsia"/>
                <w:color w:val="auto"/>
                <w:lang w:val="en-US" w:eastAsia="zh-CN"/>
              </w:rPr>
              <w:t>3、运营期地表水环境影响分析</w:t>
            </w:r>
            <w:bookmarkEnd w:id="407"/>
            <w:bookmarkEnd w:id="408"/>
            <w:bookmarkEnd w:id="409"/>
            <w:bookmarkEnd w:id="410"/>
            <w:bookmarkEnd w:id="411"/>
          </w:p>
          <w:p w14:paraId="61CDC26B">
            <w:pPr>
              <w:pStyle w:val="5"/>
              <w:bidi w:val="0"/>
              <w:rPr>
                <w:rFonts w:hint="eastAsia"/>
                <w:color w:val="auto"/>
                <w:lang w:val="en-US" w:eastAsia="zh-CN"/>
              </w:rPr>
            </w:pPr>
            <w:bookmarkStart w:id="412" w:name="_Toc18791"/>
            <w:bookmarkStart w:id="413" w:name="_Toc5203"/>
            <w:bookmarkStart w:id="414" w:name="_Toc12920"/>
            <w:bookmarkStart w:id="415" w:name="_Toc10368"/>
            <w:bookmarkStart w:id="416" w:name="_Toc17153"/>
            <w:r>
              <w:rPr>
                <w:rFonts w:hint="eastAsia"/>
                <w:color w:val="auto"/>
                <w:lang w:val="en-US" w:eastAsia="zh-CN"/>
              </w:rPr>
              <w:t>3.1 地表水污染物源强及污染防治措施</w:t>
            </w:r>
            <w:bookmarkEnd w:id="412"/>
            <w:bookmarkEnd w:id="413"/>
            <w:bookmarkEnd w:id="414"/>
            <w:bookmarkEnd w:id="415"/>
            <w:bookmarkEnd w:id="416"/>
          </w:p>
          <w:p w14:paraId="5A7B236B">
            <w:pPr>
              <w:rPr>
                <w:rFonts w:hint="eastAsia"/>
                <w:color w:val="auto"/>
                <w:lang w:val="en-US" w:eastAsia="zh-CN"/>
              </w:rPr>
            </w:pPr>
            <w:r>
              <w:rPr>
                <w:rFonts w:hint="eastAsia"/>
                <w:color w:val="auto"/>
                <w:lang w:val="en-US" w:eastAsia="zh-CN"/>
              </w:rPr>
              <w:t>（1）员工生活污水</w:t>
            </w:r>
          </w:p>
          <w:p w14:paraId="5D312FF1">
            <w:pPr>
              <w:rPr>
                <w:rFonts w:hint="eastAsia"/>
                <w:color w:val="auto"/>
                <w:lang w:val="en-US" w:eastAsia="zh-CN"/>
              </w:rPr>
            </w:pPr>
            <w:r>
              <w:rPr>
                <w:rFonts w:hint="eastAsia"/>
                <w:color w:val="auto"/>
                <w:lang w:val="en-US" w:eastAsia="zh-CN"/>
              </w:rPr>
              <w:t>本项目劳动定员45人，厂内设置食堂，不提供住宿，根据《湖南省用水定额》（DB43/T 388-2020），员工用水量按90L/（人·d）计，则项目员工生活用水量为4.05m</w:t>
            </w:r>
            <w:r>
              <w:rPr>
                <w:rFonts w:hint="eastAsia"/>
                <w:color w:val="auto"/>
                <w:vertAlign w:val="superscript"/>
                <w:lang w:val="en-US" w:eastAsia="zh-CN"/>
              </w:rPr>
              <w:t>3</w:t>
            </w:r>
            <w:r>
              <w:rPr>
                <w:rFonts w:hint="eastAsia"/>
                <w:color w:val="auto"/>
                <w:lang w:val="en-US" w:eastAsia="zh-CN"/>
              </w:rPr>
              <w:t>/d（1215m</w:t>
            </w:r>
            <w:r>
              <w:rPr>
                <w:rFonts w:hint="eastAsia"/>
                <w:color w:val="auto"/>
                <w:vertAlign w:val="superscript"/>
                <w:lang w:val="en-US" w:eastAsia="zh-CN"/>
              </w:rPr>
              <w:t>3</w:t>
            </w:r>
            <w:r>
              <w:rPr>
                <w:rFonts w:hint="eastAsia"/>
                <w:color w:val="auto"/>
                <w:lang w:val="en-US" w:eastAsia="zh-CN"/>
              </w:rPr>
              <w:t>/a）。产污系数按0.8计，则生活污水产生量为3.24m</w:t>
            </w:r>
            <w:r>
              <w:rPr>
                <w:rFonts w:hint="eastAsia"/>
                <w:color w:val="auto"/>
                <w:vertAlign w:val="superscript"/>
                <w:lang w:val="en-US" w:eastAsia="zh-CN"/>
              </w:rPr>
              <w:t>3</w:t>
            </w:r>
            <w:r>
              <w:rPr>
                <w:rFonts w:hint="eastAsia"/>
                <w:color w:val="auto"/>
                <w:lang w:val="en-US" w:eastAsia="zh-CN"/>
              </w:rPr>
              <w:t>/d（972m</w:t>
            </w:r>
            <w:r>
              <w:rPr>
                <w:rFonts w:hint="eastAsia"/>
                <w:color w:val="auto"/>
                <w:vertAlign w:val="superscript"/>
                <w:lang w:val="en-US" w:eastAsia="zh-CN"/>
              </w:rPr>
              <w:t>3</w:t>
            </w:r>
            <w:r>
              <w:rPr>
                <w:rFonts w:hint="eastAsia"/>
                <w:color w:val="auto"/>
                <w:lang w:val="en-US" w:eastAsia="zh-CN"/>
              </w:rPr>
              <w:t>/a），经化粪池熟化后用作农肥，不外排。</w:t>
            </w:r>
          </w:p>
          <w:p w14:paraId="0BB7C803">
            <w:pPr>
              <w:rPr>
                <w:rFonts w:hint="eastAsia"/>
                <w:color w:val="auto"/>
                <w:lang w:val="en-US" w:eastAsia="zh-CN"/>
              </w:rPr>
            </w:pPr>
            <w:r>
              <w:rPr>
                <w:rFonts w:hint="eastAsia"/>
                <w:color w:val="auto"/>
                <w:lang w:val="en-US" w:eastAsia="zh-CN"/>
              </w:rPr>
              <w:t>（2）洒水降尘废水</w:t>
            </w:r>
          </w:p>
          <w:p w14:paraId="6734D76D">
            <w:pPr>
              <w:rPr>
                <w:color w:val="auto"/>
              </w:rPr>
            </w:pPr>
            <w:r>
              <w:rPr>
                <w:rFonts w:hint="eastAsia"/>
                <w:color w:val="auto"/>
                <w:lang w:val="en-US" w:eastAsia="zh-CN"/>
              </w:rPr>
              <w:t>洒水降尘用水参考《逸散性工业粉尘控制技术》第十八章粒料加工控制技术，湿抑制系统用水量约0.025m</w:t>
            </w:r>
            <w:r>
              <w:rPr>
                <w:rFonts w:hint="eastAsia"/>
                <w:color w:val="auto"/>
                <w:vertAlign w:val="superscript"/>
                <w:lang w:val="en-US" w:eastAsia="zh-CN"/>
              </w:rPr>
              <w:t>3</w:t>
            </w:r>
            <w:r>
              <w:rPr>
                <w:rFonts w:hint="eastAsia"/>
                <w:color w:val="auto"/>
                <w:lang w:val="en-US" w:eastAsia="zh-CN"/>
              </w:rPr>
              <w:t>/t，项目最大建筑垃圾、装修垃圾和一般工业固体废物处理量24万吨，则洒水降尘用水量为6000m</w:t>
            </w:r>
            <w:r>
              <w:rPr>
                <w:rFonts w:hint="eastAsia"/>
                <w:color w:val="auto"/>
                <w:vertAlign w:val="superscript"/>
                <w:lang w:val="en-US" w:eastAsia="zh-CN"/>
              </w:rPr>
              <w:t>3</w:t>
            </w:r>
            <w:r>
              <w:rPr>
                <w:rFonts w:hint="eastAsia"/>
                <w:color w:val="auto"/>
                <w:lang w:val="en-US" w:eastAsia="zh-CN"/>
              </w:rPr>
              <w:t>/a。洒水降尘废水全部蒸发消耗或进入产品，不外排。</w:t>
            </w:r>
          </w:p>
          <w:p w14:paraId="75255C3D">
            <w:pPr>
              <w:rPr>
                <w:rFonts w:hint="default"/>
                <w:color w:val="auto"/>
                <w:lang w:val="en-US" w:eastAsia="zh-CN"/>
              </w:rPr>
            </w:pPr>
            <w:r>
              <w:rPr>
                <w:rFonts w:hint="eastAsia"/>
                <w:color w:val="auto"/>
                <w:lang w:val="en-US" w:eastAsia="zh-CN"/>
              </w:rPr>
              <w:t>（3）车辆冲洗废水</w:t>
            </w:r>
          </w:p>
          <w:p w14:paraId="6D5DA469">
            <w:pPr>
              <w:rPr>
                <w:color w:val="auto"/>
              </w:rPr>
            </w:pPr>
            <w:r>
              <w:rPr>
                <w:rFonts w:hint="eastAsia"/>
                <w:color w:val="auto"/>
                <w:lang w:val="en-US" w:eastAsia="zh-CN"/>
              </w:rPr>
              <w:t>建设项目车辆冲洗用水参考《湖南省用水定额》（DB43/T 388-2020），洗车用水量按0.04m</w:t>
            </w:r>
            <w:r>
              <w:rPr>
                <w:rFonts w:hint="eastAsia"/>
                <w:color w:val="auto"/>
                <w:vertAlign w:val="superscript"/>
                <w:lang w:val="en-US" w:eastAsia="zh-CN"/>
              </w:rPr>
              <w:t>3</w:t>
            </w:r>
            <w:r>
              <w:rPr>
                <w:rFonts w:hint="eastAsia"/>
                <w:color w:val="auto"/>
                <w:lang w:val="en-US" w:eastAsia="zh-CN"/>
              </w:rPr>
              <w:t>/车·次计，装载车载重按30t计，则年装载车运输次数约为15792次，则车辆冲洗用水量为631.68m</w:t>
            </w:r>
            <w:r>
              <w:rPr>
                <w:rFonts w:hint="eastAsia"/>
                <w:color w:val="auto"/>
                <w:vertAlign w:val="superscript"/>
                <w:lang w:val="en-US" w:eastAsia="zh-CN"/>
              </w:rPr>
              <w:t>3</w:t>
            </w:r>
            <w:r>
              <w:rPr>
                <w:rFonts w:hint="eastAsia"/>
                <w:color w:val="auto"/>
                <w:lang w:val="en-US" w:eastAsia="zh-CN"/>
              </w:rPr>
              <w:t>/a。车辆冲洗污水产生系数按0.8计算，则废水量为505.344m</w:t>
            </w:r>
            <w:r>
              <w:rPr>
                <w:rFonts w:hint="eastAsia"/>
                <w:color w:val="auto"/>
                <w:vertAlign w:val="superscript"/>
                <w:lang w:val="en-US" w:eastAsia="zh-CN"/>
              </w:rPr>
              <w:t>3</w:t>
            </w:r>
            <w:r>
              <w:rPr>
                <w:rFonts w:hint="eastAsia"/>
                <w:color w:val="auto"/>
                <w:lang w:val="en-US" w:eastAsia="zh-CN"/>
              </w:rPr>
              <w:t>/a，导流至隔油池处理，再泵至沉淀池处理后回用于车辆冲洗，不外排。</w:t>
            </w:r>
          </w:p>
          <w:p w14:paraId="1D43FC99">
            <w:pPr>
              <w:rPr>
                <w:rFonts w:hint="default"/>
                <w:color w:val="auto"/>
                <w:lang w:val="en-US" w:eastAsia="zh-CN"/>
              </w:rPr>
            </w:pPr>
            <w:r>
              <w:rPr>
                <w:rFonts w:hint="eastAsia"/>
                <w:color w:val="auto"/>
                <w:lang w:val="en-US" w:eastAsia="zh-CN"/>
              </w:rPr>
              <w:t>（4）堆场抑尘废水</w:t>
            </w:r>
          </w:p>
          <w:p w14:paraId="4DD648D3">
            <w:pPr>
              <w:rPr>
                <w:rFonts w:hint="eastAsia"/>
                <w:color w:val="auto"/>
                <w:lang w:val="en-US" w:eastAsia="zh-CN"/>
              </w:rPr>
            </w:pPr>
            <w:r>
              <w:rPr>
                <w:rFonts w:hint="eastAsia"/>
                <w:color w:val="auto"/>
                <w:lang w:val="en-US" w:eastAsia="zh-CN"/>
              </w:rPr>
              <w:t>本项目需对原料堆场和产品堆场洒水降尘，堆场面积共计2650m</w:t>
            </w:r>
            <w:r>
              <w:rPr>
                <w:rFonts w:hint="eastAsia"/>
                <w:color w:val="auto"/>
                <w:vertAlign w:val="superscript"/>
                <w:lang w:val="en-US" w:eastAsia="zh-CN"/>
              </w:rPr>
              <w:t>2</w:t>
            </w:r>
            <w:r>
              <w:rPr>
                <w:rFonts w:hint="eastAsia"/>
                <w:color w:val="auto"/>
                <w:lang w:val="en-US" w:eastAsia="zh-CN"/>
              </w:rPr>
              <w:t>，降尘用水量参考《湖南省用水定额》（DB43/T 388-2020），道路、场地浇洒为2L/m</w:t>
            </w:r>
            <w:r>
              <w:rPr>
                <w:rFonts w:hint="eastAsia"/>
                <w:color w:val="auto"/>
                <w:vertAlign w:val="superscript"/>
                <w:lang w:val="en-US" w:eastAsia="zh-CN"/>
              </w:rPr>
              <w:t>2</w:t>
            </w:r>
            <w:r>
              <w:rPr>
                <w:rFonts w:hint="eastAsia"/>
                <w:color w:val="auto"/>
                <w:lang w:val="en-US" w:eastAsia="zh-CN"/>
              </w:rPr>
              <w:t>·d，则堆场抑尘用水量为5.3m</w:t>
            </w:r>
            <w:r>
              <w:rPr>
                <w:rFonts w:hint="eastAsia"/>
                <w:color w:val="auto"/>
                <w:vertAlign w:val="superscript"/>
                <w:lang w:val="en-US" w:eastAsia="zh-CN"/>
              </w:rPr>
              <w:t>3</w:t>
            </w:r>
            <w:r>
              <w:rPr>
                <w:rFonts w:hint="eastAsia"/>
                <w:color w:val="auto"/>
                <w:lang w:val="en-US" w:eastAsia="zh-CN"/>
              </w:rPr>
              <w:t>/d（1590m</w:t>
            </w:r>
            <w:r>
              <w:rPr>
                <w:rFonts w:hint="eastAsia"/>
                <w:color w:val="auto"/>
                <w:vertAlign w:val="superscript"/>
                <w:lang w:val="en-US" w:eastAsia="zh-CN"/>
              </w:rPr>
              <w:t>3</w:t>
            </w:r>
            <w:r>
              <w:rPr>
                <w:rFonts w:hint="eastAsia"/>
                <w:color w:val="auto"/>
                <w:lang w:val="en-US" w:eastAsia="zh-CN"/>
              </w:rPr>
              <w:t>/a）。堆场抑尘废水全部蒸发消耗或进入产品，不外排。</w:t>
            </w:r>
          </w:p>
          <w:p w14:paraId="6B62A944">
            <w:pPr>
              <w:rPr>
                <w:rFonts w:hint="eastAsia"/>
                <w:color w:val="auto"/>
                <w:lang w:val="en-US" w:eastAsia="zh-CN"/>
              </w:rPr>
            </w:pPr>
            <w:r>
              <w:rPr>
                <w:rFonts w:hint="eastAsia"/>
                <w:color w:val="auto"/>
                <w:lang w:val="en-US" w:eastAsia="zh-CN"/>
              </w:rPr>
              <w:t>（5）制砖生产用水</w:t>
            </w:r>
          </w:p>
          <w:p w14:paraId="2A303A3A">
            <w:pPr>
              <w:rPr>
                <w:rFonts w:hint="default"/>
                <w:color w:val="auto"/>
                <w:lang w:val="en-US" w:eastAsia="zh-CN"/>
              </w:rPr>
            </w:pPr>
            <w:r>
              <w:rPr>
                <w:rFonts w:hint="eastAsia"/>
                <w:color w:val="auto"/>
                <w:lang w:val="en-US" w:eastAsia="zh-CN"/>
              </w:rPr>
              <w:t>建设项目制砖用水参考《湖南省用水定额》（DB43/T 388-2020），机制砖用水量按3.2m</w:t>
            </w:r>
            <w:r>
              <w:rPr>
                <w:rFonts w:hint="eastAsia"/>
                <w:color w:val="auto"/>
                <w:vertAlign w:val="superscript"/>
                <w:lang w:val="en-US" w:eastAsia="zh-CN"/>
              </w:rPr>
              <w:t>3</w:t>
            </w:r>
            <w:r>
              <w:rPr>
                <w:rFonts w:hint="eastAsia"/>
                <w:color w:val="auto"/>
                <w:lang w:val="en-US" w:eastAsia="zh-CN"/>
              </w:rPr>
              <w:t>/万块计，项目建成后预计年产砖3.675万吨，一块标准免烧砖约3.2kg，换算后本项目预计年产砖1148.4375万块，则制砖用水量为3675m</w:t>
            </w:r>
            <w:r>
              <w:rPr>
                <w:rFonts w:hint="eastAsia"/>
                <w:color w:val="auto"/>
                <w:vertAlign w:val="superscript"/>
                <w:lang w:val="en-US" w:eastAsia="zh-CN"/>
              </w:rPr>
              <w:t>3</w:t>
            </w:r>
            <w:r>
              <w:rPr>
                <w:rFonts w:hint="eastAsia"/>
                <w:color w:val="auto"/>
                <w:lang w:val="en-US" w:eastAsia="zh-CN"/>
              </w:rPr>
              <w:t>/a。制砖生产废水全部蒸发消耗或进入产品，不外排。</w:t>
            </w:r>
          </w:p>
          <w:p w14:paraId="264CA01E">
            <w:pPr>
              <w:rPr>
                <w:rFonts w:hint="eastAsia"/>
                <w:color w:val="auto"/>
                <w:lang w:val="en-US" w:eastAsia="zh-CN"/>
              </w:rPr>
            </w:pPr>
            <w:r>
              <w:rPr>
                <w:rFonts w:hint="eastAsia"/>
                <w:color w:val="auto"/>
                <w:lang w:val="en-US" w:eastAsia="zh-CN"/>
              </w:rPr>
              <w:t>（6）水稳砂生产用水</w:t>
            </w:r>
          </w:p>
          <w:p w14:paraId="26F9028F">
            <w:pPr>
              <w:rPr>
                <w:rFonts w:hint="eastAsia"/>
                <w:color w:val="auto"/>
                <w:lang w:val="en-US" w:eastAsia="zh-CN"/>
              </w:rPr>
            </w:pPr>
            <w:r>
              <w:rPr>
                <w:rFonts w:hint="eastAsia"/>
                <w:color w:val="auto"/>
                <w:lang w:val="en-US" w:eastAsia="zh-CN"/>
              </w:rPr>
              <w:t>根据建设单位提供资料，水稳砂用水量以产量5%计，本项目建成后预计年产水稳砂14.7万吨，则水稳砂生产年用水量为7350m</w:t>
            </w:r>
            <w:r>
              <w:rPr>
                <w:rFonts w:hint="eastAsia"/>
                <w:color w:val="auto"/>
                <w:vertAlign w:val="superscript"/>
                <w:lang w:val="en-US" w:eastAsia="zh-CN"/>
              </w:rPr>
              <w:t>3</w:t>
            </w:r>
            <w:r>
              <w:rPr>
                <w:rFonts w:hint="eastAsia"/>
                <w:color w:val="auto"/>
                <w:lang w:val="en-US" w:eastAsia="zh-CN"/>
              </w:rPr>
              <w:t>/a。水稳砂生产废水全部蒸发消耗或进入产品，不外排。</w:t>
            </w:r>
          </w:p>
          <w:p w14:paraId="13A4456D">
            <w:pPr>
              <w:pStyle w:val="5"/>
              <w:bidi w:val="0"/>
              <w:rPr>
                <w:rFonts w:hint="eastAsia"/>
                <w:color w:val="auto"/>
                <w:lang w:val="en-US" w:eastAsia="zh-CN"/>
              </w:rPr>
            </w:pPr>
            <w:bookmarkStart w:id="417" w:name="_Toc20164"/>
            <w:bookmarkStart w:id="418" w:name="_Toc27224"/>
            <w:bookmarkStart w:id="419" w:name="_Toc28742"/>
            <w:bookmarkStart w:id="420" w:name="_Toc14227"/>
            <w:bookmarkStart w:id="421" w:name="_Toc10394"/>
            <w:r>
              <w:rPr>
                <w:rFonts w:hint="eastAsia"/>
                <w:color w:val="auto"/>
                <w:lang w:val="en-US" w:eastAsia="zh-CN"/>
              </w:rPr>
              <w:t>3.2 措施可行性分析</w:t>
            </w:r>
            <w:bookmarkEnd w:id="417"/>
            <w:bookmarkEnd w:id="418"/>
            <w:bookmarkEnd w:id="419"/>
            <w:bookmarkEnd w:id="420"/>
            <w:bookmarkEnd w:id="421"/>
          </w:p>
          <w:p w14:paraId="6D6B186B">
            <w:pPr>
              <w:rPr>
                <w:rFonts w:hint="eastAsia"/>
                <w:color w:val="auto"/>
                <w:lang w:val="en-US" w:eastAsia="zh-CN"/>
              </w:rPr>
            </w:pPr>
            <w:r>
              <w:rPr>
                <w:rFonts w:hint="eastAsia"/>
                <w:color w:val="auto"/>
                <w:lang w:val="en-US" w:eastAsia="zh-CN"/>
              </w:rPr>
              <w:t>本项目生活污水经化粪池熟化后用作农肥，车辆冲洗废水经隔油池、沉淀池处理后回用于车辆冲洗，其余生产废水蒸发损耗或进入产品。生活污水含有的氮、磷等是农作物生长所需的营养物质，经预处理后可就近资源化利用，减少化肥农药施用，降低水体富营养化风险。车辆冲洗用水对水质要求不高，经隔油池、沉淀池处理后可以满足回用水质要求。</w:t>
            </w:r>
          </w:p>
          <w:p w14:paraId="65EE7BAA">
            <w:pPr>
              <w:pStyle w:val="5"/>
              <w:bidi w:val="0"/>
              <w:rPr>
                <w:rFonts w:hint="eastAsia"/>
                <w:color w:val="auto"/>
                <w:lang w:val="en-US" w:eastAsia="zh-CN"/>
              </w:rPr>
            </w:pPr>
            <w:bookmarkStart w:id="422" w:name="_Toc3168"/>
            <w:bookmarkStart w:id="423" w:name="_Toc21052"/>
            <w:bookmarkStart w:id="424" w:name="_Toc18543"/>
            <w:bookmarkStart w:id="425" w:name="_Toc16342"/>
            <w:bookmarkStart w:id="426" w:name="_Toc1612"/>
            <w:r>
              <w:rPr>
                <w:rFonts w:hint="eastAsia"/>
                <w:color w:val="auto"/>
                <w:lang w:val="en-US" w:eastAsia="zh-CN"/>
              </w:rPr>
              <w:t>3.3 达标可行性分析</w:t>
            </w:r>
            <w:bookmarkEnd w:id="422"/>
            <w:bookmarkEnd w:id="423"/>
            <w:bookmarkEnd w:id="424"/>
            <w:bookmarkEnd w:id="425"/>
            <w:bookmarkEnd w:id="426"/>
          </w:p>
          <w:p w14:paraId="07484BDF">
            <w:pPr>
              <w:rPr>
                <w:rFonts w:hint="default"/>
                <w:color w:val="auto"/>
                <w:lang w:val="en-US" w:eastAsia="zh-CN"/>
              </w:rPr>
            </w:pPr>
            <w:r>
              <w:rPr>
                <w:rFonts w:hint="eastAsia"/>
                <w:color w:val="auto"/>
                <w:lang w:val="en-US" w:eastAsia="zh-CN"/>
              </w:rPr>
              <w:t>本项目废水产排情况详见表4-8。</w:t>
            </w:r>
          </w:p>
          <w:p w14:paraId="0458056E">
            <w:pPr>
              <w:pStyle w:val="17"/>
              <w:bidi w:val="0"/>
              <w:rPr>
                <w:rFonts w:hint="eastAsia"/>
                <w:b/>
                <w:bCs/>
                <w:color w:val="auto"/>
                <w:lang w:val="en-US" w:eastAsia="zh-CN"/>
              </w:rPr>
            </w:pPr>
            <w:r>
              <w:rPr>
                <w:rFonts w:hint="eastAsia"/>
                <w:b/>
                <w:bCs/>
                <w:color w:val="auto"/>
                <w:lang w:val="en-US" w:eastAsia="zh-CN"/>
              </w:rPr>
              <w:t>表4-8 项目废水产生、排放一览表</w:t>
            </w:r>
          </w:p>
          <w:tbl>
            <w:tblPr>
              <w:tblStyle w:val="13"/>
              <w:tblW w:w="4996"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302"/>
              <w:gridCol w:w="887"/>
              <w:gridCol w:w="927"/>
              <w:gridCol w:w="786"/>
              <w:gridCol w:w="885"/>
              <w:gridCol w:w="577"/>
              <w:gridCol w:w="1117"/>
              <w:gridCol w:w="885"/>
              <w:gridCol w:w="619"/>
            </w:tblGrid>
            <w:tr w14:paraId="48BF42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15" w:type="pct"/>
                  <w:vAlign w:val="center"/>
                </w:tcPr>
                <w:p w14:paraId="6E2DDB4D">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废水种类m</w:t>
                  </w:r>
                  <w:r>
                    <w:rPr>
                      <w:rFonts w:hint="eastAsia"/>
                      <w:b w:val="0"/>
                      <w:bCs w:val="0"/>
                      <w:color w:val="auto"/>
                      <w:vertAlign w:val="superscript"/>
                      <w:lang w:val="en-US" w:eastAsia="zh-CN"/>
                    </w:rPr>
                    <w:t>3</w:t>
                  </w:r>
                  <w:r>
                    <w:rPr>
                      <w:rFonts w:hint="eastAsia"/>
                      <w:b w:val="0"/>
                      <w:bCs w:val="0"/>
                      <w:color w:val="auto"/>
                      <w:vertAlign w:val="baseline"/>
                      <w:lang w:val="en-US" w:eastAsia="zh-CN"/>
                    </w:rPr>
                    <w:t>/a</w:t>
                  </w:r>
                </w:p>
              </w:tc>
              <w:tc>
                <w:tcPr>
                  <w:tcW w:w="555" w:type="pct"/>
                  <w:vAlign w:val="center"/>
                </w:tcPr>
                <w:p w14:paraId="1F1F5692">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污染物</w:t>
                  </w:r>
                </w:p>
              </w:tc>
              <w:tc>
                <w:tcPr>
                  <w:tcW w:w="580" w:type="pct"/>
                  <w:vAlign w:val="center"/>
                </w:tcPr>
                <w:p w14:paraId="7A0E371B">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产生浓度mg/L</w:t>
                  </w:r>
                </w:p>
              </w:tc>
              <w:tc>
                <w:tcPr>
                  <w:tcW w:w="492" w:type="pct"/>
                  <w:vAlign w:val="center"/>
                </w:tcPr>
                <w:p w14:paraId="3EE2E705">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产生量t/a</w:t>
                  </w:r>
                </w:p>
              </w:tc>
              <w:tc>
                <w:tcPr>
                  <w:tcW w:w="554" w:type="pct"/>
                  <w:vAlign w:val="center"/>
                </w:tcPr>
                <w:p w14:paraId="4FAE8BED">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处理工艺</w:t>
                  </w:r>
                </w:p>
              </w:tc>
              <w:tc>
                <w:tcPr>
                  <w:tcW w:w="361" w:type="pct"/>
                  <w:vAlign w:val="center"/>
                </w:tcPr>
                <w:p w14:paraId="21AF22A6">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处理效率</w:t>
                  </w:r>
                </w:p>
              </w:tc>
              <w:tc>
                <w:tcPr>
                  <w:tcW w:w="699" w:type="pct"/>
                  <w:vAlign w:val="center"/>
                </w:tcPr>
                <w:p w14:paraId="64A5FF00">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排放浓度mg/L</w:t>
                  </w:r>
                </w:p>
              </w:tc>
              <w:tc>
                <w:tcPr>
                  <w:tcW w:w="554" w:type="pct"/>
                  <w:vAlign w:val="center"/>
                </w:tcPr>
                <w:p w14:paraId="7F314E5E">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排放量t/a</w:t>
                  </w:r>
                </w:p>
              </w:tc>
              <w:tc>
                <w:tcPr>
                  <w:tcW w:w="387" w:type="pct"/>
                  <w:vAlign w:val="center"/>
                </w:tcPr>
                <w:p w14:paraId="3A20FE36">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排放去向</w:t>
                  </w:r>
                </w:p>
              </w:tc>
            </w:tr>
            <w:tr w14:paraId="1CF4B7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15" w:type="pct"/>
                  <w:vMerge w:val="restart"/>
                  <w:vAlign w:val="center"/>
                </w:tcPr>
                <w:p w14:paraId="6D8556E9">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生活污水</w:t>
                  </w:r>
                </w:p>
                <w:p w14:paraId="075AD723">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1215m</w:t>
                  </w:r>
                  <w:r>
                    <w:rPr>
                      <w:rFonts w:hint="eastAsia"/>
                      <w:b w:val="0"/>
                      <w:bCs w:val="0"/>
                      <w:color w:val="auto"/>
                      <w:vertAlign w:val="superscript"/>
                      <w:lang w:val="en-US" w:eastAsia="zh-CN"/>
                    </w:rPr>
                    <w:t>3</w:t>
                  </w:r>
                  <w:r>
                    <w:rPr>
                      <w:rFonts w:hint="eastAsia"/>
                      <w:b w:val="0"/>
                      <w:bCs w:val="0"/>
                      <w:color w:val="auto"/>
                      <w:vertAlign w:val="baseline"/>
                      <w:lang w:val="en-US" w:eastAsia="zh-CN"/>
                    </w:rPr>
                    <w:t>/a</w:t>
                  </w:r>
                </w:p>
              </w:tc>
              <w:tc>
                <w:tcPr>
                  <w:tcW w:w="1135" w:type="pct"/>
                  <w:gridSpan w:val="2"/>
                  <w:vAlign w:val="center"/>
                </w:tcPr>
                <w:p w14:paraId="0952B82D">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废水量m</w:t>
                  </w:r>
                  <w:r>
                    <w:rPr>
                      <w:rFonts w:hint="eastAsia"/>
                      <w:b w:val="0"/>
                      <w:bCs w:val="0"/>
                      <w:color w:val="auto"/>
                      <w:vertAlign w:val="superscript"/>
                      <w:lang w:val="en-US" w:eastAsia="zh-CN"/>
                    </w:rPr>
                    <w:t>3</w:t>
                  </w:r>
                  <w:r>
                    <w:rPr>
                      <w:rFonts w:hint="eastAsia"/>
                      <w:b w:val="0"/>
                      <w:bCs w:val="0"/>
                      <w:color w:val="auto"/>
                      <w:vertAlign w:val="baseline"/>
                      <w:lang w:val="en-US" w:eastAsia="zh-CN"/>
                    </w:rPr>
                    <w:t>/a</w:t>
                  </w:r>
                </w:p>
              </w:tc>
              <w:tc>
                <w:tcPr>
                  <w:tcW w:w="492" w:type="pct"/>
                  <w:vAlign w:val="center"/>
                </w:tcPr>
                <w:p w14:paraId="6A9E2410">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972</w:t>
                  </w:r>
                </w:p>
              </w:tc>
              <w:tc>
                <w:tcPr>
                  <w:tcW w:w="554" w:type="pct"/>
                  <w:vMerge w:val="restart"/>
                  <w:vAlign w:val="center"/>
                </w:tcPr>
                <w:p w14:paraId="36CFDD6C">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化粪池熟化</w:t>
                  </w:r>
                </w:p>
              </w:tc>
              <w:tc>
                <w:tcPr>
                  <w:tcW w:w="1060" w:type="pct"/>
                  <w:gridSpan w:val="2"/>
                  <w:vAlign w:val="center"/>
                </w:tcPr>
                <w:p w14:paraId="4E560755">
                  <w:pPr>
                    <w:pStyle w:val="17"/>
                    <w:bidi w:val="0"/>
                    <w:ind w:firstLine="0" w:firstLineChars="0"/>
                    <w:rPr>
                      <w:rFonts w:hint="default"/>
                      <w:color w:val="auto"/>
                      <w:lang w:val="en-US" w:eastAsia="zh-CN"/>
                    </w:rPr>
                  </w:pPr>
                  <w:r>
                    <w:rPr>
                      <w:rFonts w:hint="eastAsia"/>
                      <w:b w:val="0"/>
                      <w:bCs w:val="0"/>
                      <w:color w:val="auto"/>
                      <w:vertAlign w:val="baseline"/>
                      <w:lang w:val="en-US" w:eastAsia="zh-CN"/>
                    </w:rPr>
                    <w:t>废水量m</w:t>
                  </w:r>
                  <w:r>
                    <w:rPr>
                      <w:rFonts w:hint="eastAsia"/>
                      <w:b w:val="0"/>
                      <w:bCs w:val="0"/>
                      <w:color w:val="auto"/>
                      <w:vertAlign w:val="superscript"/>
                      <w:lang w:val="en-US" w:eastAsia="zh-CN"/>
                    </w:rPr>
                    <w:t>3</w:t>
                  </w:r>
                  <w:r>
                    <w:rPr>
                      <w:rFonts w:hint="eastAsia"/>
                      <w:b w:val="0"/>
                      <w:bCs w:val="0"/>
                      <w:color w:val="auto"/>
                      <w:vertAlign w:val="baseline"/>
                      <w:lang w:val="en-US" w:eastAsia="zh-CN"/>
                    </w:rPr>
                    <w:t>/a</w:t>
                  </w:r>
                </w:p>
              </w:tc>
              <w:tc>
                <w:tcPr>
                  <w:tcW w:w="554" w:type="pct"/>
                  <w:vAlign w:val="center"/>
                </w:tcPr>
                <w:p w14:paraId="09BBB6AC">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0</w:t>
                  </w:r>
                </w:p>
              </w:tc>
              <w:tc>
                <w:tcPr>
                  <w:tcW w:w="387" w:type="pct"/>
                  <w:vMerge w:val="restart"/>
                  <w:vAlign w:val="center"/>
                </w:tcPr>
                <w:p w14:paraId="7E5D8A83">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经化粪池熟化后用作农肥</w:t>
                  </w:r>
                </w:p>
              </w:tc>
            </w:tr>
            <w:tr w14:paraId="3A9437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15" w:type="pct"/>
                  <w:vMerge w:val="continue"/>
                  <w:vAlign w:val="center"/>
                </w:tcPr>
                <w:p w14:paraId="1DDFFC13">
                  <w:pPr>
                    <w:pStyle w:val="17"/>
                    <w:bidi w:val="0"/>
                    <w:jc w:val="center"/>
                    <w:rPr>
                      <w:rFonts w:hint="default"/>
                      <w:b w:val="0"/>
                      <w:bCs w:val="0"/>
                      <w:color w:val="auto"/>
                      <w:vertAlign w:val="baseline"/>
                      <w:lang w:val="en-US" w:eastAsia="zh-CN"/>
                    </w:rPr>
                  </w:pPr>
                </w:p>
              </w:tc>
              <w:tc>
                <w:tcPr>
                  <w:tcW w:w="555" w:type="pct"/>
                  <w:vAlign w:val="center"/>
                </w:tcPr>
                <w:p w14:paraId="5151C70B">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COD</w:t>
                  </w:r>
                </w:p>
              </w:tc>
              <w:tc>
                <w:tcPr>
                  <w:tcW w:w="580" w:type="pct"/>
                  <w:vAlign w:val="center"/>
                </w:tcPr>
                <w:p w14:paraId="2BB9E01D">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400</w:t>
                  </w:r>
                </w:p>
              </w:tc>
              <w:tc>
                <w:tcPr>
                  <w:tcW w:w="492" w:type="pct"/>
                  <w:vAlign w:val="center"/>
                </w:tcPr>
                <w:p w14:paraId="30AB8E6F">
                  <w:pPr>
                    <w:pStyle w:val="17"/>
                    <w:bidi w:val="0"/>
                    <w:rPr>
                      <w:rFonts w:hint="default"/>
                      <w:color w:val="auto"/>
                      <w:lang w:val="en-US" w:eastAsia="zh-CN"/>
                    </w:rPr>
                  </w:pPr>
                  <w:r>
                    <w:rPr>
                      <w:rFonts w:hint="default"/>
                      <w:color w:val="auto"/>
                      <w:lang w:val="en-US" w:eastAsia="zh-CN"/>
                    </w:rPr>
                    <w:t>0.</w:t>
                  </w:r>
                  <w:r>
                    <w:rPr>
                      <w:rFonts w:hint="eastAsia"/>
                      <w:color w:val="auto"/>
                      <w:lang w:val="en-US" w:eastAsia="zh-CN"/>
                    </w:rPr>
                    <w:t>3888</w:t>
                  </w:r>
                </w:p>
              </w:tc>
              <w:tc>
                <w:tcPr>
                  <w:tcW w:w="554" w:type="pct"/>
                  <w:vMerge w:val="continue"/>
                  <w:vAlign w:val="center"/>
                </w:tcPr>
                <w:p w14:paraId="590A96A1">
                  <w:pPr>
                    <w:pStyle w:val="17"/>
                    <w:bidi w:val="0"/>
                    <w:jc w:val="center"/>
                    <w:rPr>
                      <w:rFonts w:hint="default"/>
                      <w:b w:val="0"/>
                      <w:bCs w:val="0"/>
                      <w:color w:val="auto"/>
                      <w:vertAlign w:val="baseline"/>
                      <w:lang w:val="en-US" w:eastAsia="zh-CN"/>
                    </w:rPr>
                  </w:pPr>
                </w:p>
              </w:tc>
              <w:tc>
                <w:tcPr>
                  <w:tcW w:w="361" w:type="pct"/>
                  <w:vAlign w:val="center"/>
                </w:tcPr>
                <w:p w14:paraId="33213DC7">
                  <w:pPr>
                    <w:pStyle w:val="17"/>
                    <w:bidi w:val="0"/>
                    <w:ind w:firstLine="0" w:firstLineChars="0"/>
                    <w:jc w:val="center"/>
                    <w:rPr>
                      <w:rFonts w:hint="default"/>
                      <w:b w:val="0"/>
                      <w:bCs w:val="0"/>
                      <w:color w:val="auto"/>
                      <w:vertAlign w:val="baseline"/>
                      <w:lang w:val="en-US" w:eastAsia="zh-CN"/>
                    </w:rPr>
                  </w:pPr>
                  <w:r>
                    <w:rPr>
                      <w:rFonts w:hint="eastAsia"/>
                      <w:b w:val="0"/>
                      <w:bCs w:val="0"/>
                      <w:color w:val="auto"/>
                      <w:vertAlign w:val="baseline"/>
                      <w:lang w:val="en-US" w:eastAsia="zh-CN"/>
                    </w:rPr>
                    <w:t>/</w:t>
                  </w:r>
                </w:p>
              </w:tc>
              <w:tc>
                <w:tcPr>
                  <w:tcW w:w="699" w:type="pct"/>
                  <w:vAlign w:val="center"/>
                </w:tcPr>
                <w:p w14:paraId="7422BBD5">
                  <w:pPr>
                    <w:pStyle w:val="17"/>
                    <w:bidi w:val="0"/>
                    <w:ind w:firstLine="0" w:firstLineChars="0"/>
                    <w:rPr>
                      <w:rFonts w:hint="default"/>
                      <w:b w:val="0"/>
                      <w:bCs w:val="0"/>
                      <w:color w:val="auto"/>
                      <w:vertAlign w:val="baseline"/>
                      <w:lang w:val="en-US" w:eastAsia="zh-CN"/>
                    </w:rPr>
                  </w:pPr>
                  <w:r>
                    <w:rPr>
                      <w:rFonts w:hint="eastAsia"/>
                      <w:color w:val="auto"/>
                      <w:lang w:val="en-US" w:eastAsia="zh-CN"/>
                    </w:rPr>
                    <w:t>/</w:t>
                  </w:r>
                </w:p>
              </w:tc>
              <w:tc>
                <w:tcPr>
                  <w:tcW w:w="554" w:type="pct"/>
                  <w:vAlign w:val="center"/>
                </w:tcPr>
                <w:p w14:paraId="727019B7">
                  <w:pPr>
                    <w:pStyle w:val="17"/>
                    <w:bidi w:val="0"/>
                    <w:ind w:firstLine="0" w:firstLineChars="0"/>
                    <w:jc w:val="center"/>
                    <w:rPr>
                      <w:rFonts w:hint="default"/>
                      <w:color w:val="auto"/>
                      <w:lang w:val="en-US" w:eastAsia="zh-CN"/>
                    </w:rPr>
                  </w:pPr>
                  <w:r>
                    <w:rPr>
                      <w:rFonts w:hint="eastAsia"/>
                      <w:b w:val="0"/>
                      <w:bCs w:val="0"/>
                      <w:color w:val="auto"/>
                      <w:vertAlign w:val="baseline"/>
                      <w:lang w:val="en-US" w:eastAsia="zh-CN"/>
                    </w:rPr>
                    <w:t>/</w:t>
                  </w:r>
                </w:p>
              </w:tc>
              <w:tc>
                <w:tcPr>
                  <w:tcW w:w="387" w:type="pct"/>
                  <w:vMerge w:val="continue"/>
                  <w:vAlign w:val="center"/>
                </w:tcPr>
                <w:p w14:paraId="76E47C2A">
                  <w:pPr>
                    <w:pStyle w:val="17"/>
                    <w:bidi w:val="0"/>
                    <w:jc w:val="center"/>
                    <w:rPr>
                      <w:rFonts w:hint="default"/>
                      <w:b w:val="0"/>
                      <w:bCs w:val="0"/>
                      <w:color w:val="auto"/>
                      <w:vertAlign w:val="baseline"/>
                      <w:lang w:val="en-US" w:eastAsia="zh-CN"/>
                    </w:rPr>
                  </w:pPr>
                </w:p>
              </w:tc>
            </w:tr>
            <w:tr w14:paraId="0B93A5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15" w:type="pct"/>
                  <w:vMerge w:val="continue"/>
                  <w:vAlign w:val="center"/>
                </w:tcPr>
                <w:p w14:paraId="26BF931D">
                  <w:pPr>
                    <w:pStyle w:val="17"/>
                    <w:bidi w:val="0"/>
                    <w:jc w:val="center"/>
                    <w:rPr>
                      <w:rFonts w:hint="eastAsia"/>
                      <w:b w:val="0"/>
                      <w:bCs w:val="0"/>
                      <w:color w:val="auto"/>
                      <w:vertAlign w:val="baseline"/>
                      <w:lang w:val="en-US" w:eastAsia="zh-CN"/>
                    </w:rPr>
                  </w:pPr>
                </w:p>
              </w:tc>
              <w:tc>
                <w:tcPr>
                  <w:tcW w:w="555" w:type="pct"/>
                  <w:vAlign w:val="center"/>
                </w:tcPr>
                <w:p w14:paraId="574C77A9">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BOD</w:t>
                  </w:r>
                  <w:r>
                    <w:rPr>
                      <w:rFonts w:hint="eastAsia"/>
                      <w:b w:val="0"/>
                      <w:bCs w:val="0"/>
                      <w:color w:val="auto"/>
                      <w:vertAlign w:val="subscript"/>
                      <w:lang w:val="en-US" w:eastAsia="zh-CN"/>
                    </w:rPr>
                    <w:t>5</w:t>
                  </w:r>
                </w:p>
              </w:tc>
              <w:tc>
                <w:tcPr>
                  <w:tcW w:w="580" w:type="pct"/>
                  <w:vAlign w:val="center"/>
                </w:tcPr>
                <w:p w14:paraId="10F7FEC9">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220</w:t>
                  </w:r>
                </w:p>
              </w:tc>
              <w:tc>
                <w:tcPr>
                  <w:tcW w:w="492" w:type="pct"/>
                  <w:vAlign w:val="center"/>
                </w:tcPr>
                <w:p w14:paraId="6AF628DE">
                  <w:pPr>
                    <w:pStyle w:val="17"/>
                    <w:bidi w:val="0"/>
                    <w:rPr>
                      <w:rFonts w:hint="default"/>
                      <w:color w:val="auto"/>
                      <w:lang w:val="en-US" w:eastAsia="zh-CN"/>
                    </w:rPr>
                  </w:pPr>
                  <w:r>
                    <w:rPr>
                      <w:rFonts w:hint="default"/>
                      <w:color w:val="auto"/>
                      <w:lang w:val="en-US" w:eastAsia="zh-CN"/>
                    </w:rPr>
                    <w:t>0.</w:t>
                  </w:r>
                  <w:r>
                    <w:rPr>
                      <w:rFonts w:hint="eastAsia"/>
                      <w:color w:val="auto"/>
                      <w:lang w:val="en-US" w:eastAsia="zh-CN"/>
                    </w:rPr>
                    <w:t>2138</w:t>
                  </w:r>
                </w:p>
              </w:tc>
              <w:tc>
                <w:tcPr>
                  <w:tcW w:w="554" w:type="pct"/>
                  <w:vMerge w:val="continue"/>
                  <w:vAlign w:val="center"/>
                </w:tcPr>
                <w:p w14:paraId="7D1A0C67">
                  <w:pPr>
                    <w:pStyle w:val="17"/>
                    <w:bidi w:val="0"/>
                    <w:jc w:val="center"/>
                    <w:rPr>
                      <w:rFonts w:hint="eastAsia"/>
                      <w:b w:val="0"/>
                      <w:bCs w:val="0"/>
                      <w:color w:val="auto"/>
                      <w:vertAlign w:val="baseline"/>
                      <w:lang w:val="en-US" w:eastAsia="zh-CN"/>
                    </w:rPr>
                  </w:pPr>
                </w:p>
              </w:tc>
              <w:tc>
                <w:tcPr>
                  <w:tcW w:w="361" w:type="pct"/>
                  <w:vAlign w:val="center"/>
                </w:tcPr>
                <w:p w14:paraId="62117C0D">
                  <w:pPr>
                    <w:pStyle w:val="17"/>
                    <w:bidi w:val="0"/>
                    <w:ind w:firstLine="0" w:firstLineChars="0"/>
                    <w:jc w:val="center"/>
                    <w:rPr>
                      <w:rFonts w:hint="default"/>
                      <w:b w:val="0"/>
                      <w:bCs w:val="0"/>
                      <w:color w:val="auto"/>
                      <w:vertAlign w:val="baseline"/>
                      <w:lang w:val="en-US" w:eastAsia="zh-CN"/>
                    </w:rPr>
                  </w:pPr>
                  <w:r>
                    <w:rPr>
                      <w:rFonts w:hint="eastAsia"/>
                      <w:b w:val="0"/>
                      <w:bCs w:val="0"/>
                      <w:color w:val="auto"/>
                      <w:vertAlign w:val="baseline"/>
                      <w:lang w:val="en-US" w:eastAsia="zh-CN"/>
                    </w:rPr>
                    <w:t>/</w:t>
                  </w:r>
                </w:p>
              </w:tc>
              <w:tc>
                <w:tcPr>
                  <w:tcW w:w="699" w:type="pct"/>
                  <w:vAlign w:val="center"/>
                </w:tcPr>
                <w:p w14:paraId="7E170CAA">
                  <w:pPr>
                    <w:pStyle w:val="17"/>
                    <w:bidi w:val="0"/>
                    <w:ind w:firstLine="0" w:firstLineChars="0"/>
                    <w:rPr>
                      <w:rFonts w:hint="eastAsia"/>
                      <w:b w:val="0"/>
                      <w:bCs w:val="0"/>
                      <w:color w:val="auto"/>
                      <w:vertAlign w:val="baseline"/>
                      <w:lang w:val="en-US" w:eastAsia="zh-CN"/>
                    </w:rPr>
                  </w:pPr>
                  <w:r>
                    <w:rPr>
                      <w:rFonts w:hint="eastAsia"/>
                      <w:color w:val="auto"/>
                      <w:lang w:val="en-US" w:eastAsia="zh-CN"/>
                    </w:rPr>
                    <w:t>/</w:t>
                  </w:r>
                </w:p>
              </w:tc>
              <w:tc>
                <w:tcPr>
                  <w:tcW w:w="554" w:type="pct"/>
                  <w:vAlign w:val="center"/>
                </w:tcPr>
                <w:p w14:paraId="77B133AF">
                  <w:pPr>
                    <w:pStyle w:val="17"/>
                    <w:bidi w:val="0"/>
                    <w:ind w:firstLine="0" w:firstLineChars="0"/>
                    <w:jc w:val="center"/>
                    <w:rPr>
                      <w:rFonts w:hint="default"/>
                      <w:color w:val="auto"/>
                      <w:lang w:val="en-US" w:eastAsia="zh-CN"/>
                    </w:rPr>
                  </w:pPr>
                  <w:r>
                    <w:rPr>
                      <w:rFonts w:hint="eastAsia"/>
                      <w:b w:val="0"/>
                      <w:bCs w:val="0"/>
                      <w:color w:val="auto"/>
                      <w:vertAlign w:val="baseline"/>
                      <w:lang w:val="en-US" w:eastAsia="zh-CN"/>
                    </w:rPr>
                    <w:t>/</w:t>
                  </w:r>
                </w:p>
              </w:tc>
              <w:tc>
                <w:tcPr>
                  <w:tcW w:w="387" w:type="pct"/>
                  <w:vMerge w:val="continue"/>
                  <w:vAlign w:val="center"/>
                </w:tcPr>
                <w:p w14:paraId="68429DA2">
                  <w:pPr>
                    <w:pStyle w:val="17"/>
                    <w:bidi w:val="0"/>
                    <w:jc w:val="center"/>
                    <w:rPr>
                      <w:rFonts w:hint="eastAsia"/>
                      <w:b w:val="0"/>
                      <w:bCs w:val="0"/>
                      <w:color w:val="auto"/>
                      <w:vertAlign w:val="baseline"/>
                      <w:lang w:val="en-US" w:eastAsia="zh-CN"/>
                    </w:rPr>
                  </w:pPr>
                </w:p>
              </w:tc>
            </w:tr>
            <w:tr w14:paraId="38F29C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15" w:type="pct"/>
                  <w:vMerge w:val="continue"/>
                  <w:vAlign w:val="center"/>
                </w:tcPr>
                <w:p w14:paraId="36DD2B33">
                  <w:pPr>
                    <w:pStyle w:val="17"/>
                    <w:bidi w:val="0"/>
                    <w:jc w:val="center"/>
                    <w:rPr>
                      <w:rFonts w:hint="eastAsia"/>
                      <w:b w:val="0"/>
                      <w:bCs w:val="0"/>
                      <w:color w:val="auto"/>
                      <w:vertAlign w:val="baseline"/>
                      <w:lang w:val="en-US" w:eastAsia="zh-CN"/>
                    </w:rPr>
                  </w:pPr>
                </w:p>
              </w:tc>
              <w:tc>
                <w:tcPr>
                  <w:tcW w:w="555" w:type="pct"/>
                  <w:vAlign w:val="center"/>
                </w:tcPr>
                <w:p w14:paraId="3C75C6D2">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SS</w:t>
                  </w:r>
                </w:p>
              </w:tc>
              <w:tc>
                <w:tcPr>
                  <w:tcW w:w="580" w:type="pct"/>
                  <w:vAlign w:val="center"/>
                </w:tcPr>
                <w:p w14:paraId="4427579B">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200</w:t>
                  </w:r>
                </w:p>
              </w:tc>
              <w:tc>
                <w:tcPr>
                  <w:tcW w:w="492" w:type="pct"/>
                  <w:vAlign w:val="center"/>
                </w:tcPr>
                <w:p w14:paraId="79BED516">
                  <w:pPr>
                    <w:pStyle w:val="17"/>
                    <w:bidi w:val="0"/>
                    <w:rPr>
                      <w:rFonts w:hint="default"/>
                      <w:color w:val="auto"/>
                      <w:lang w:val="en-US" w:eastAsia="zh-CN"/>
                    </w:rPr>
                  </w:pPr>
                  <w:r>
                    <w:rPr>
                      <w:rFonts w:hint="default"/>
                      <w:color w:val="auto"/>
                      <w:lang w:val="en-US" w:eastAsia="zh-CN"/>
                    </w:rPr>
                    <w:t>0.</w:t>
                  </w:r>
                  <w:r>
                    <w:rPr>
                      <w:rFonts w:hint="eastAsia"/>
                      <w:color w:val="auto"/>
                      <w:lang w:val="en-US" w:eastAsia="zh-CN"/>
                    </w:rPr>
                    <w:t>1944</w:t>
                  </w:r>
                </w:p>
              </w:tc>
              <w:tc>
                <w:tcPr>
                  <w:tcW w:w="554" w:type="pct"/>
                  <w:vMerge w:val="continue"/>
                  <w:vAlign w:val="center"/>
                </w:tcPr>
                <w:p w14:paraId="688096D8">
                  <w:pPr>
                    <w:pStyle w:val="17"/>
                    <w:bidi w:val="0"/>
                    <w:jc w:val="center"/>
                    <w:rPr>
                      <w:rFonts w:hint="eastAsia"/>
                      <w:b w:val="0"/>
                      <w:bCs w:val="0"/>
                      <w:color w:val="auto"/>
                      <w:vertAlign w:val="baseline"/>
                      <w:lang w:val="en-US" w:eastAsia="zh-CN"/>
                    </w:rPr>
                  </w:pPr>
                </w:p>
              </w:tc>
              <w:tc>
                <w:tcPr>
                  <w:tcW w:w="361" w:type="pct"/>
                  <w:vAlign w:val="center"/>
                </w:tcPr>
                <w:p w14:paraId="25A0BFC0">
                  <w:pPr>
                    <w:pStyle w:val="17"/>
                    <w:bidi w:val="0"/>
                    <w:ind w:firstLine="0" w:firstLineChars="0"/>
                    <w:jc w:val="center"/>
                    <w:rPr>
                      <w:rFonts w:hint="default"/>
                      <w:b w:val="0"/>
                      <w:bCs w:val="0"/>
                      <w:color w:val="auto"/>
                      <w:vertAlign w:val="baseline"/>
                      <w:lang w:val="en-US" w:eastAsia="zh-CN"/>
                    </w:rPr>
                  </w:pPr>
                  <w:r>
                    <w:rPr>
                      <w:rFonts w:hint="eastAsia"/>
                      <w:b w:val="0"/>
                      <w:bCs w:val="0"/>
                      <w:color w:val="auto"/>
                      <w:vertAlign w:val="baseline"/>
                      <w:lang w:val="en-US" w:eastAsia="zh-CN"/>
                    </w:rPr>
                    <w:t>/</w:t>
                  </w:r>
                </w:p>
              </w:tc>
              <w:tc>
                <w:tcPr>
                  <w:tcW w:w="699" w:type="pct"/>
                  <w:vAlign w:val="center"/>
                </w:tcPr>
                <w:p w14:paraId="555C9DD6">
                  <w:pPr>
                    <w:pStyle w:val="17"/>
                    <w:bidi w:val="0"/>
                    <w:ind w:firstLine="0" w:firstLineChars="0"/>
                    <w:rPr>
                      <w:rFonts w:hint="eastAsia"/>
                      <w:b w:val="0"/>
                      <w:bCs w:val="0"/>
                      <w:color w:val="auto"/>
                      <w:vertAlign w:val="baseline"/>
                      <w:lang w:val="en-US" w:eastAsia="zh-CN"/>
                    </w:rPr>
                  </w:pPr>
                  <w:r>
                    <w:rPr>
                      <w:rFonts w:hint="eastAsia"/>
                      <w:color w:val="auto"/>
                      <w:lang w:val="en-US" w:eastAsia="zh-CN"/>
                    </w:rPr>
                    <w:t>/</w:t>
                  </w:r>
                </w:p>
              </w:tc>
              <w:tc>
                <w:tcPr>
                  <w:tcW w:w="554" w:type="pct"/>
                  <w:vAlign w:val="center"/>
                </w:tcPr>
                <w:p w14:paraId="3397A145">
                  <w:pPr>
                    <w:pStyle w:val="17"/>
                    <w:bidi w:val="0"/>
                    <w:ind w:firstLine="0" w:firstLineChars="0"/>
                    <w:jc w:val="center"/>
                    <w:rPr>
                      <w:rFonts w:hint="default"/>
                      <w:color w:val="auto"/>
                      <w:lang w:val="en-US" w:eastAsia="zh-CN"/>
                    </w:rPr>
                  </w:pPr>
                  <w:r>
                    <w:rPr>
                      <w:rFonts w:hint="eastAsia"/>
                      <w:b w:val="0"/>
                      <w:bCs w:val="0"/>
                      <w:color w:val="auto"/>
                      <w:vertAlign w:val="baseline"/>
                      <w:lang w:val="en-US" w:eastAsia="zh-CN"/>
                    </w:rPr>
                    <w:t>/</w:t>
                  </w:r>
                </w:p>
              </w:tc>
              <w:tc>
                <w:tcPr>
                  <w:tcW w:w="387" w:type="pct"/>
                  <w:vMerge w:val="continue"/>
                  <w:vAlign w:val="center"/>
                </w:tcPr>
                <w:p w14:paraId="11A3108C">
                  <w:pPr>
                    <w:pStyle w:val="17"/>
                    <w:bidi w:val="0"/>
                    <w:jc w:val="center"/>
                    <w:rPr>
                      <w:rFonts w:hint="eastAsia"/>
                      <w:b w:val="0"/>
                      <w:bCs w:val="0"/>
                      <w:color w:val="auto"/>
                      <w:vertAlign w:val="baseline"/>
                      <w:lang w:val="en-US" w:eastAsia="zh-CN"/>
                    </w:rPr>
                  </w:pPr>
                </w:p>
              </w:tc>
            </w:tr>
            <w:tr w14:paraId="07FCF1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15" w:type="pct"/>
                  <w:vMerge w:val="continue"/>
                  <w:vAlign w:val="center"/>
                </w:tcPr>
                <w:p w14:paraId="31385AD9">
                  <w:pPr>
                    <w:pStyle w:val="17"/>
                    <w:bidi w:val="0"/>
                    <w:jc w:val="center"/>
                    <w:rPr>
                      <w:rFonts w:hint="eastAsia"/>
                      <w:b w:val="0"/>
                      <w:bCs w:val="0"/>
                      <w:color w:val="auto"/>
                      <w:vertAlign w:val="baseline"/>
                      <w:lang w:val="en-US" w:eastAsia="zh-CN"/>
                    </w:rPr>
                  </w:pPr>
                </w:p>
              </w:tc>
              <w:tc>
                <w:tcPr>
                  <w:tcW w:w="555" w:type="pct"/>
                  <w:vAlign w:val="center"/>
                </w:tcPr>
                <w:p w14:paraId="6E9E70F6">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NH</w:t>
                  </w:r>
                  <w:r>
                    <w:rPr>
                      <w:rFonts w:hint="eastAsia"/>
                      <w:b w:val="0"/>
                      <w:bCs w:val="0"/>
                      <w:color w:val="auto"/>
                      <w:vertAlign w:val="subscript"/>
                      <w:lang w:val="en-US" w:eastAsia="zh-CN"/>
                    </w:rPr>
                    <w:t>3</w:t>
                  </w:r>
                  <w:r>
                    <w:rPr>
                      <w:rFonts w:hint="eastAsia"/>
                      <w:b w:val="0"/>
                      <w:bCs w:val="0"/>
                      <w:color w:val="auto"/>
                      <w:vertAlign w:val="baseline"/>
                      <w:lang w:val="en-US" w:eastAsia="zh-CN"/>
                    </w:rPr>
                    <w:t>-N</w:t>
                  </w:r>
                </w:p>
              </w:tc>
              <w:tc>
                <w:tcPr>
                  <w:tcW w:w="580" w:type="pct"/>
                  <w:vAlign w:val="center"/>
                </w:tcPr>
                <w:p w14:paraId="351FE780">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40</w:t>
                  </w:r>
                </w:p>
              </w:tc>
              <w:tc>
                <w:tcPr>
                  <w:tcW w:w="492" w:type="pct"/>
                  <w:vAlign w:val="center"/>
                </w:tcPr>
                <w:p w14:paraId="28315D7B">
                  <w:pPr>
                    <w:pStyle w:val="17"/>
                    <w:bidi w:val="0"/>
                    <w:rPr>
                      <w:rFonts w:hint="default"/>
                      <w:color w:val="auto"/>
                      <w:lang w:val="en-US" w:eastAsia="zh-CN"/>
                    </w:rPr>
                  </w:pPr>
                  <w:r>
                    <w:rPr>
                      <w:rFonts w:hint="default"/>
                      <w:color w:val="auto"/>
                      <w:lang w:val="en-US" w:eastAsia="zh-CN"/>
                    </w:rPr>
                    <w:t>0.0</w:t>
                  </w:r>
                  <w:r>
                    <w:rPr>
                      <w:rFonts w:hint="eastAsia"/>
                      <w:color w:val="auto"/>
                      <w:lang w:val="en-US" w:eastAsia="zh-CN"/>
                    </w:rPr>
                    <w:t>389</w:t>
                  </w:r>
                </w:p>
              </w:tc>
              <w:tc>
                <w:tcPr>
                  <w:tcW w:w="554" w:type="pct"/>
                  <w:vMerge w:val="continue"/>
                  <w:vAlign w:val="center"/>
                </w:tcPr>
                <w:p w14:paraId="4C10D62A">
                  <w:pPr>
                    <w:pStyle w:val="17"/>
                    <w:bidi w:val="0"/>
                    <w:jc w:val="center"/>
                    <w:rPr>
                      <w:rFonts w:hint="eastAsia"/>
                      <w:b w:val="0"/>
                      <w:bCs w:val="0"/>
                      <w:color w:val="auto"/>
                      <w:vertAlign w:val="baseline"/>
                      <w:lang w:val="en-US" w:eastAsia="zh-CN"/>
                    </w:rPr>
                  </w:pPr>
                </w:p>
              </w:tc>
              <w:tc>
                <w:tcPr>
                  <w:tcW w:w="361" w:type="pct"/>
                  <w:vAlign w:val="center"/>
                </w:tcPr>
                <w:p w14:paraId="7BFDE724">
                  <w:pPr>
                    <w:pStyle w:val="17"/>
                    <w:bidi w:val="0"/>
                    <w:ind w:firstLine="0" w:firstLineChars="0"/>
                    <w:jc w:val="center"/>
                    <w:rPr>
                      <w:rFonts w:hint="default"/>
                      <w:b w:val="0"/>
                      <w:bCs w:val="0"/>
                      <w:color w:val="auto"/>
                      <w:vertAlign w:val="baseline"/>
                      <w:lang w:val="en-US" w:eastAsia="zh-CN"/>
                    </w:rPr>
                  </w:pPr>
                  <w:r>
                    <w:rPr>
                      <w:rFonts w:hint="eastAsia"/>
                      <w:b w:val="0"/>
                      <w:bCs w:val="0"/>
                      <w:color w:val="auto"/>
                      <w:vertAlign w:val="baseline"/>
                      <w:lang w:val="en-US" w:eastAsia="zh-CN"/>
                    </w:rPr>
                    <w:t>/</w:t>
                  </w:r>
                </w:p>
              </w:tc>
              <w:tc>
                <w:tcPr>
                  <w:tcW w:w="699" w:type="pct"/>
                  <w:vAlign w:val="center"/>
                </w:tcPr>
                <w:p w14:paraId="3D2882F1">
                  <w:pPr>
                    <w:pStyle w:val="17"/>
                    <w:bidi w:val="0"/>
                    <w:ind w:firstLine="0" w:firstLineChars="0"/>
                    <w:rPr>
                      <w:rFonts w:hint="eastAsia"/>
                      <w:b w:val="0"/>
                      <w:bCs w:val="0"/>
                      <w:color w:val="auto"/>
                      <w:vertAlign w:val="baseline"/>
                      <w:lang w:val="en-US" w:eastAsia="zh-CN"/>
                    </w:rPr>
                  </w:pPr>
                  <w:r>
                    <w:rPr>
                      <w:rFonts w:hint="eastAsia"/>
                      <w:color w:val="auto"/>
                      <w:lang w:val="en-US" w:eastAsia="zh-CN"/>
                    </w:rPr>
                    <w:t>/</w:t>
                  </w:r>
                </w:p>
              </w:tc>
              <w:tc>
                <w:tcPr>
                  <w:tcW w:w="554" w:type="pct"/>
                  <w:vAlign w:val="center"/>
                </w:tcPr>
                <w:p w14:paraId="34396E53">
                  <w:pPr>
                    <w:pStyle w:val="17"/>
                    <w:bidi w:val="0"/>
                    <w:ind w:firstLine="0" w:firstLineChars="0"/>
                    <w:jc w:val="center"/>
                    <w:rPr>
                      <w:rFonts w:hint="default"/>
                      <w:color w:val="auto"/>
                      <w:lang w:val="en-US" w:eastAsia="zh-CN"/>
                    </w:rPr>
                  </w:pPr>
                  <w:r>
                    <w:rPr>
                      <w:rFonts w:hint="eastAsia"/>
                      <w:b w:val="0"/>
                      <w:bCs w:val="0"/>
                      <w:color w:val="auto"/>
                      <w:vertAlign w:val="baseline"/>
                      <w:lang w:val="en-US" w:eastAsia="zh-CN"/>
                    </w:rPr>
                    <w:t>/</w:t>
                  </w:r>
                </w:p>
              </w:tc>
              <w:tc>
                <w:tcPr>
                  <w:tcW w:w="387" w:type="pct"/>
                  <w:vMerge w:val="continue"/>
                  <w:vAlign w:val="center"/>
                </w:tcPr>
                <w:p w14:paraId="54D74F86">
                  <w:pPr>
                    <w:pStyle w:val="17"/>
                    <w:bidi w:val="0"/>
                    <w:jc w:val="center"/>
                    <w:rPr>
                      <w:rFonts w:hint="eastAsia"/>
                      <w:b w:val="0"/>
                      <w:bCs w:val="0"/>
                      <w:color w:val="auto"/>
                      <w:vertAlign w:val="baseline"/>
                      <w:lang w:val="en-US" w:eastAsia="zh-CN"/>
                    </w:rPr>
                  </w:pPr>
                </w:p>
              </w:tc>
            </w:tr>
            <w:tr w14:paraId="62574E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15" w:type="pct"/>
                  <w:vMerge w:val="continue"/>
                  <w:vAlign w:val="center"/>
                </w:tcPr>
                <w:p w14:paraId="4807A16F">
                  <w:pPr>
                    <w:pStyle w:val="17"/>
                    <w:bidi w:val="0"/>
                    <w:jc w:val="center"/>
                    <w:rPr>
                      <w:rFonts w:hint="eastAsia"/>
                      <w:b w:val="0"/>
                      <w:bCs w:val="0"/>
                      <w:color w:val="auto"/>
                      <w:vertAlign w:val="baseline"/>
                      <w:lang w:val="en-US" w:eastAsia="zh-CN"/>
                    </w:rPr>
                  </w:pPr>
                </w:p>
              </w:tc>
              <w:tc>
                <w:tcPr>
                  <w:tcW w:w="555" w:type="pct"/>
                  <w:vAlign w:val="center"/>
                </w:tcPr>
                <w:p w14:paraId="78A343E4">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动植物油</w:t>
                  </w:r>
                </w:p>
              </w:tc>
              <w:tc>
                <w:tcPr>
                  <w:tcW w:w="580" w:type="pct"/>
                  <w:vAlign w:val="center"/>
                </w:tcPr>
                <w:p w14:paraId="137B88ED">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100</w:t>
                  </w:r>
                </w:p>
              </w:tc>
              <w:tc>
                <w:tcPr>
                  <w:tcW w:w="492" w:type="pct"/>
                  <w:vAlign w:val="center"/>
                </w:tcPr>
                <w:p w14:paraId="5C3CEEB5">
                  <w:pPr>
                    <w:pStyle w:val="17"/>
                    <w:bidi w:val="0"/>
                    <w:rPr>
                      <w:rFonts w:hint="default"/>
                      <w:color w:val="auto"/>
                      <w:lang w:val="en-US" w:eastAsia="zh-CN"/>
                    </w:rPr>
                  </w:pPr>
                  <w:r>
                    <w:rPr>
                      <w:rFonts w:hint="default"/>
                      <w:color w:val="auto"/>
                      <w:lang w:val="en-US" w:eastAsia="zh-CN"/>
                    </w:rPr>
                    <w:t>0.0</w:t>
                  </w:r>
                  <w:r>
                    <w:rPr>
                      <w:rFonts w:hint="eastAsia"/>
                      <w:color w:val="auto"/>
                      <w:lang w:val="en-US" w:eastAsia="zh-CN"/>
                    </w:rPr>
                    <w:t>972</w:t>
                  </w:r>
                </w:p>
              </w:tc>
              <w:tc>
                <w:tcPr>
                  <w:tcW w:w="554" w:type="pct"/>
                  <w:vMerge w:val="continue"/>
                  <w:vAlign w:val="center"/>
                </w:tcPr>
                <w:p w14:paraId="76DA59B6">
                  <w:pPr>
                    <w:pStyle w:val="17"/>
                    <w:bidi w:val="0"/>
                    <w:jc w:val="center"/>
                    <w:rPr>
                      <w:rFonts w:hint="eastAsia"/>
                      <w:b w:val="0"/>
                      <w:bCs w:val="0"/>
                      <w:color w:val="auto"/>
                      <w:vertAlign w:val="baseline"/>
                      <w:lang w:val="en-US" w:eastAsia="zh-CN"/>
                    </w:rPr>
                  </w:pPr>
                </w:p>
              </w:tc>
              <w:tc>
                <w:tcPr>
                  <w:tcW w:w="361" w:type="pct"/>
                  <w:vAlign w:val="center"/>
                </w:tcPr>
                <w:p w14:paraId="10F55CD8">
                  <w:pPr>
                    <w:pStyle w:val="17"/>
                    <w:bidi w:val="0"/>
                    <w:ind w:firstLine="0" w:firstLineChars="0"/>
                    <w:jc w:val="center"/>
                    <w:rPr>
                      <w:rFonts w:hint="default"/>
                      <w:b w:val="0"/>
                      <w:bCs w:val="0"/>
                      <w:color w:val="auto"/>
                      <w:vertAlign w:val="baseline"/>
                      <w:lang w:val="en-US" w:eastAsia="zh-CN"/>
                    </w:rPr>
                  </w:pPr>
                  <w:r>
                    <w:rPr>
                      <w:rFonts w:hint="eastAsia"/>
                      <w:b w:val="0"/>
                      <w:bCs w:val="0"/>
                      <w:color w:val="auto"/>
                      <w:vertAlign w:val="baseline"/>
                      <w:lang w:val="en-US" w:eastAsia="zh-CN"/>
                    </w:rPr>
                    <w:t>/</w:t>
                  </w:r>
                </w:p>
              </w:tc>
              <w:tc>
                <w:tcPr>
                  <w:tcW w:w="699" w:type="pct"/>
                  <w:vAlign w:val="center"/>
                </w:tcPr>
                <w:p w14:paraId="12A9ED91">
                  <w:pPr>
                    <w:pStyle w:val="17"/>
                    <w:bidi w:val="0"/>
                    <w:ind w:firstLine="0" w:firstLineChars="0"/>
                    <w:rPr>
                      <w:rFonts w:hint="eastAsia"/>
                      <w:b w:val="0"/>
                      <w:bCs w:val="0"/>
                      <w:color w:val="auto"/>
                      <w:vertAlign w:val="baseline"/>
                      <w:lang w:val="en-US" w:eastAsia="zh-CN"/>
                    </w:rPr>
                  </w:pPr>
                  <w:r>
                    <w:rPr>
                      <w:rFonts w:hint="eastAsia"/>
                      <w:color w:val="auto"/>
                      <w:lang w:val="en-US" w:eastAsia="zh-CN"/>
                    </w:rPr>
                    <w:t>/</w:t>
                  </w:r>
                </w:p>
              </w:tc>
              <w:tc>
                <w:tcPr>
                  <w:tcW w:w="554" w:type="pct"/>
                  <w:vAlign w:val="center"/>
                </w:tcPr>
                <w:p w14:paraId="28171ECA">
                  <w:pPr>
                    <w:pStyle w:val="17"/>
                    <w:bidi w:val="0"/>
                    <w:ind w:firstLine="0" w:firstLineChars="0"/>
                    <w:jc w:val="center"/>
                    <w:rPr>
                      <w:rFonts w:hint="default"/>
                      <w:color w:val="auto"/>
                      <w:lang w:val="en-US" w:eastAsia="zh-CN"/>
                    </w:rPr>
                  </w:pPr>
                  <w:r>
                    <w:rPr>
                      <w:rFonts w:hint="eastAsia"/>
                      <w:b w:val="0"/>
                      <w:bCs w:val="0"/>
                      <w:color w:val="auto"/>
                      <w:vertAlign w:val="baseline"/>
                      <w:lang w:val="en-US" w:eastAsia="zh-CN"/>
                    </w:rPr>
                    <w:t>/</w:t>
                  </w:r>
                </w:p>
              </w:tc>
              <w:tc>
                <w:tcPr>
                  <w:tcW w:w="387" w:type="pct"/>
                  <w:vMerge w:val="continue"/>
                  <w:vAlign w:val="center"/>
                </w:tcPr>
                <w:p w14:paraId="5CF5DA62">
                  <w:pPr>
                    <w:pStyle w:val="17"/>
                    <w:bidi w:val="0"/>
                    <w:jc w:val="center"/>
                    <w:rPr>
                      <w:rFonts w:hint="eastAsia"/>
                      <w:b w:val="0"/>
                      <w:bCs w:val="0"/>
                      <w:color w:val="auto"/>
                      <w:vertAlign w:val="baseline"/>
                      <w:lang w:val="en-US" w:eastAsia="zh-CN"/>
                    </w:rPr>
                  </w:pPr>
                </w:p>
              </w:tc>
            </w:tr>
            <w:tr w14:paraId="3F2632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15" w:type="pct"/>
                  <w:vMerge w:val="restart"/>
                  <w:vAlign w:val="center"/>
                </w:tcPr>
                <w:p w14:paraId="42D065AD">
                  <w:pPr>
                    <w:pStyle w:val="17"/>
                    <w:bidi w:val="0"/>
                    <w:jc w:val="center"/>
                    <w:rPr>
                      <w:rFonts w:hint="eastAsia"/>
                      <w:color w:val="auto"/>
                      <w:lang w:val="en-US" w:eastAsia="zh-CN"/>
                    </w:rPr>
                  </w:pPr>
                  <w:r>
                    <w:rPr>
                      <w:rFonts w:hint="eastAsia"/>
                      <w:color w:val="auto"/>
                      <w:lang w:val="en-US" w:eastAsia="zh-CN"/>
                    </w:rPr>
                    <w:t>车辆冲洗废水</w:t>
                  </w:r>
                </w:p>
                <w:p w14:paraId="6C64DA72">
                  <w:pPr>
                    <w:pStyle w:val="17"/>
                    <w:bidi w:val="0"/>
                    <w:jc w:val="center"/>
                    <w:rPr>
                      <w:rFonts w:hint="default"/>
                      <w:color w:val="auto"/>
                      <w:lang w:val="en-US" w:eastAsia="zh-CN"/>
                    </w:rPr>
                  </w:pPr>
                  <w:r>
                    <w:rPr>
                      <w:rFonts w:hint="eastAsia"/>
                      <w:color w:val="auto"/>
                      <w:lang w:val="en-US" w:eastAsia="zh-CN"/>
                    </w:rPr>
                    <w:t>631.68</w:t>
                  </w:r>
                  <w:r>
                    <w:rPr>
                      <w:rFonts w:hint="eastAsia"/>
                      <w:b w:val="0"/>
                      <w:bCs w:val="0"/>
                      <w:color w:val="auto"/>
                      <w:vertAlign w:val="baseline"/>
                      <w:lang w:val="en-US" w:eastAsia="zh-CN"/>
                    </w:rPr>
                    <w:t>m</w:t>
                  </w:r>
                  <w:r>
                    <w:rPr>
                      <w:rFonts w:hint="eastAsia"/>
                      <w:b w:val="0"/>
                      <w:bCs w:val="0"/>
                      <w:color w:val="auto"/>
                      <w:vertAlign w:val="superscript"/>
                      <w:lang w:val="en-US" w:eastAsia="zh-CN"/>
                    </w:rPr>
                    <w:t>3</w:t>
                  </w:r>
                  <w:r>
                    <w:rPr>
                      <w:rFonts w:hint="eastAsia"/>
                      <w:b w:val="0"/>
                      <w:bCs w:val="0"/>
                      <w:color w:val="auto"/>
                      <w:vertAlign w:val="baseline"/>
                      <w:lang w:val="en-US" w:eastAsia="zh-CN"/>
                    </w:rPr>
                    <w:t>/a</w:t>
                  </w:r>
                </w:p>
              </w:tc>
              <w:tc>
                <w:tcPr>
                  <w:tcW w:w="1135" w:type="pct"/>
                  <w:gridSpan w:val="2"/>
                  <w:vAlign w:val="center"/>
                </w:tcPr>
                <w:p w14:paraId="6F955DF9">
                  <w:pPr>
                    <w:pStyle w:val="17"/>
                    <w:bidi w:val="0"/>
                    <w:ind w:firstLine="0" w:firstLineChars="0"/>
                    <w:jc w:val="center"/>
                    <w:rPr>
                      <w:rFonts w:hint="default" w:ascii="Times New Roman" w:hAnsi="Times New Roman" w:eastAsia="宋体" w:cs="Times New Roman"/>
                      <w:b w:val="0"/>
                      <w:bCs w:val="0"/>
                      <w:color w:val="auto"/>
                      <w:kern w:val="0"/>
                      <w:sz w:val="21"/>
                      <w:szCs w:val="21"/>
                      <w:vertAlign w:val="baseline"/>
                      <w:lang w:val="en-US" w:eastAsia="zh-CN" w:bidi="ar-SA"/>
                    </w:rPr>
                  </w:pPr>
                  <w:r>
                    <w:rPr>
                      <w:rFonts w:hint="eastAsia"/>
                      <w:b w:val="0"/>
                      <w:bCs w:val="0"/>
                      <w:color w:val="auto"/>
                      <w:vertAlign w:val="baseline"/>
                      <w:lang w:val="en-US" w:eastAsia="zh-CN"/>
                    </w:rPr>
                    <w:t>废水量m</w:t>
                  </w:r>
                  <w:r>
                    <w:rPr>
                      <w:rFonts w:hint="eastAsia"/>
                      <w:b w:val="0"/>
                      <w:bCs w:val="0"/>
                      <w:color w:val="auto"/>
                      <w:vertAlign w:val="superscript"/>
                      <w:lang w:val="en-US" w:eastAsia="zh-CN"/>
                    </w:rPr>
                    <w:t>3</w:t>
                  </w:r>
                  <w:r>
                    <w:rPr>
                      <w:rFonts w:hint="eastAsia"/>
                      <w:b w:val="0"/>
                      <w:bCs w:val="0"/>
                      <w:color w:val="auto"/>
                      <w:vertAlign w:val="baseline"/>
                      <w:lang w:val="en-US" w:eastAsia="zh-CN"/>
                    </w:rPr>
                    <w:t>/a</w:t>
                  </w:r>
                </w:p>
              </w:tc>
              <w:tc>
                <w:tcPr>
                  <w:tcW w:w="492" w:type="pct"/>
                  <w:vAlign w:val="center"/>
                </w:tcPr>
                <w:p w14:paraId="70E8CB22">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505.344</w:t>
                  </w:r>
                </w:p>
              </w:tc>
              <w:tc>
                <w:tcPr>
                  <w:tcW w:w="554" w:type="pct"/>
                  <w:vMerge w:val="restart"/>
                  <w:vAlign w:val="center"/>
                </w:tcPr>
                <w:p w14:paraId="48AC3788">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隔油池、沉淀池</w:t>
                  </w:r>
                </w:p>
              </w:tc>
              <w:tc>
                <w:tcPr>
                  <w:tcW w:w="1060" w:type="pct"/>
                  <w:gridSpan w:val="2"/>
                  <w:vAlign w:val="center"/>
                </w:tcPr>
                <w:p w14:paraId="18525943">
                  <w:pPr>
                    <w:pStyle w:val="17"/>
                    <w:bidi w:val="0"/>
                    <w:ind w:firstLine="0" w:firstLineChars="0"/>
                    <w:jc w:val="center"/>
                    <w:rPr>
                      <w:rFonts w:hint="default" w:ascii="Times New Roman" w:hAnsi="Times New Roman" w:eastAsia="宋体" w:cs="Times New Roman"/>
                      <w:b w:val="0"/>
                      <w:bCs w:val="0"/>
                      <w:color w:val="auto"/>
                      <w:kern w:val="0"/>
                      <w:sz w:val="21"/>
                      <w:szCs w:val="21"/>
                      <w:vertAlign w:val="baseline"/>
                      <w:lang w:val="en-US" w:eastAsia="zh-CN" w:bidi="ar-SA"/>
                    </w:rPr>
                  </w:pPr>
                  <w:r>
                    <w:rPr>
                      <w:rFonts w:hint="eastAsia"/>
                      <w:b w:val="0"/>
                      <w:bCs w:val="0"/>
                      <w:color w:val="auto"/>
                      <w:vertAlign w:val="baseline"/>
                      <w:lang w:val="en-US" w:eastAsia="zh-CN"/>
                    </w:rPr>
                    <w:t>废水量m</w:t>
                  </w:r>
                  <w:r>
                    <w:rPr>
                      <w:rFonts w:hint="eastAsia"/>
                      <w:b w:val="0"/>
                      <w:bCs w:val="0"/>
                      <w:color w:val="auto"/>
                      <w:vertAlign w:val="superscript"/>
                      <w:lang w:val="en-US" w:eastAsia="zh-CN"/>
                    </w:rPr>
                    <w:t>3</w:t>
                  </w:r>
                  <w:r>
                    <w:rPr>
                      <w:rFonts w:hint="eastAsia"/>
                      <w:b w:val="0"/>
                      <w:bCs w:val="0"/>
                      <w:color w:val="auto"/>
                      <w:vertAlign w:val="baseline"/>
                      <w:lang w:val="en-US" w:eastAsia="zh-CN"/>
                    </w:rPr>
                    <w:t>/a</w:t>
                  </w:r>
                </w:p>
              </w:tc>
              <w:tc>
                <w:tcPr>
                  <w:tcW w:w="554" w:type="pct"/>
                  <w:vAlign w:val="center"/>
                </w:tcPr>
                <w:p w14:paraId="3275A812">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0</w:t>
                  </w:r>
                </w:p>
              </w:tc>
              <w:tc>
                <w:tcPr>
                  <w:tcW w:w="387" w:type="pct"/>
                  <w:vMerge w:val="restart"/>
                  <w:vAlign w:val="center"/>
                </w:tcPr>
                <w:p w14:paraId="6A866116">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回用于车辆冲洗</w:t>
                  </w:r>
                </w:p>
              </w:tc>
            </w:tr>
            <w:tr w14:paraId="749964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15" w:type="pct"/>
                  <w:vMerge w:val="continue"/>
                  <w:vAlign w:val="center"/>
                </w:tcPr>
                <w:p w14:paraId="2E7B3CDB">
                  <w:pPr>
                    <w:pStyle w:val="17"/>
                    <w:bidi w:val="0"/>
                    <w:jc w:val="center"/>
                    <w:rPr>
                      <w:rFonts w:hint="eastAsia"/>
                      <w:color w:val="auto"/>
                      <w:lang w:val="en-US" w:eastAsia="zh-CN"/>
                    </w:rPr>
                  </w:pPr>
                </w:p>
              </w:tc>
              <w:tc>
                <w:tcPr>
                  <w:tcW w:w="555" w:type="pct"/>
                  <w:vAlign w:val="center"/>
                </w:tcPr>
                <w:p w14:paraId="1D00D5B6">
                  <w:pPr>
                    <w:pStyle w:val="17"/>
                    <w:bidi w:val="0"/>
                    <w:ind w:firstLine="0" w:firstLineChars="0"/>
                    <w:jc w:val="center"/>
                    <w:rPr>
                      <w:rFonts w:hint="default"/>
                      <w:b w:val="0"/>
                      <w:bCs w:val="0"/>
                      <w:color w:val="auto"/>
                      <w:vertAlign w:val="baseline"/>
                      <w:lang w:val="en-US" w:eastAsia="zh-CN"/>
                    </w:rPr>
                  </w:pPr>
                  <w:r>
                    <w:rPr>
                      <w:rFonts w:hint="eastAsia"/>
                      <w:b w:val="0"/>
                      <w:bCs w:val="0"/>
                      <w:color w:val="auto"/>
                      <w:vertAlign w:val="baseline"/>
                      <w:lang w:val="en-US" w:eastAsia="zh-CN"/>
                    </w:rPr>
                    <w:t>SS</w:t>
                  </w:r>
                </w:p>
              </w:tc>
              <w:tc>
                <w:tcPr>
                  <w:tcW w:w="580" w:type="pct"/>
                  <w:vAlign w:val="center"/>
                </w:tcPr>
                <w:p w14:paraId="026B895C">
                  <w:pPr>
                    <w:pStyle w:val="17"/>
                    <w:bidi w:val="0"/>
                    <w:ind w:firstLine="0" w:firstLineChars="0"/>
                    <w:jc w:val="center"/>
                    <w:rPr>
                      <w:rFonts w:hint="default"/>
                      <w:b w:val="0"/>
                      <w:bCs w:val="0"/>
                      <w:color w:val="auto"/>
                      <w:vertAlign w:val="baseline"/>
                      <w:lang w:val="en-US" w:eastAsia="zh-CN"/>
                    </w:rPr>
                  </w:pPr>
                  <w:r>
                    <w:rPr>
                      <w:rFonts w:hint="eastAsia"/>
                      <w:b w:val="0"/>
                      <w:bCs w:val="0"/>
                      <w:color w:val="auto"/>
                      <w:vertAlign w:val="baseline"/>
                      <w:lang w:val="en-US" w:eastAsia="zh-CN"/>
                    </w:rPr>
                    <w:t>3000</w:t>
                  </w:r>
                </w:p>
              </w:tc>
              <w:tc>
                <w:tcPr>
                  <w:tcW w:w="492" w:type="pct"/>
                  <w:vAlign w:val="center"/>
                </w:tcPr>
                <w:p w14:paraId="203BA8A3">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1.516</w:t>
                  </w:r>
                </w:p>
              </w:tc>
              <w:tc>
                <w:tcPr>
                  <w:tcW w:w="554" w:type="pct"/>
                  <w:vMerge w:val="continue"/>
                  <w:vAlign w:val="center"/>
                </w:tcPr>
                <w:p w14:paraId="4D6FB310">
                  <w:pPr>
                    <w:pStyle w:val="17"/>
                    <w:bidi w:val="0"/>
                    <w:jc w:val="center"/>
                    <w:rPr>
                      <w:rFonts w:hint="eastAsia"/>
                      <w:b w:val="0"/>
                      <w:bCs w:val="0"/>
                      <w:color w:val="auto"/>
                      <w:vertAlign w:val="baseline"/>
                      <w:lang w:val="en-US" w:eastAsia="zh-CN"/>
                    </w:rPr>
                  </w:pPr>
                </w:p>
              </w:tc>
              <w:tc>
                <w:tcPr>
                  <w:tcW w:w="361" w:type="pct"/>
                  <w:vAlign w:val="center"/>
                </w:tcPr>
                <w:p w14:paraId="784104FF">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w:t>
                  </w:r>
                </w:p>
              </w:tc>
              <w:tc>
                <w:tcPr>
                  <w:tcW w:w="699" w:type="pct"/>
                  <w:vAlign w:val="center"/>
                </w:tcPr>
                <w:p w14:paraId="29B54FA5">
                  <w:pPr>
                    <w:pStyle w:val="17"/>
                    <w:bidi w:val="0"/>
                    <w:ind w:firstLine="0" w:firstLineChars="0"/>
                    <w:rPr>
                      <w:rFonts w:hint="default"/>
                      <w:color w:val="auto"/>
                      <w:lang w:val="en-US" w:eastAsia="zh-CN"/>
                    </w:rPr>
                  </w:pPr>
                  <w:r>
                    <w:rPr>
                      <w:rFonts w:hint="eastAsia"/>
                      <w:color w:val="auto"/>
                      <w:lang w:val="en-US" w:eastAsia="zh-CN"/>
                    </w:rPr>
                    <w:t>/</w:t>
                  </w:r>
                </w:p>
              </w:tc>
              <w:tc>
                <w:tcPr>
                  <w:tcW w:w="554" w:type="pct"/>
                  <w:vAlign w:val="center"/>
                </w:tcPr>
                <w:p w14:paraId="7FA2092A">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w:t>
                  </w:r>
                </w:p>
              </w:tc>
              <w:tc>
                <w:tcPr>
                  <w:tcW w:w="387" w:type="pct"/>
                  <w:vMerge w:val="continue"/>
                  <w:vAlign w:val="center"/>
                </w:tcPr>
                <w:p w14:paraId="7CB1CB35">
                  <w:pPr>
                    <w:pStyle w:val="17"/>
                    <w:bidi w:val="0"/>
                    <w:jc w:val="center"/>
                    <w:rPr>
                      <w:rFonts w:hint="default"/>
                      <w:b w:val="0"/>
                      <w:bCs w:val="0"/>
                      <w:color w:val="auto"/>
                      <w:vertAlign w:val="baseline"/>
                      <w:lang w:val="en-US" w:eastAsia="zh-CN"/>
                    </w:rPr>
                  </w:pPr>
                </w:p>
              </w:tc>
            </w:tr>
            <w:tr w14:paraId="6B07BA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15" w:type="pct"/>
                  <w:vMerge w:val="continue"/>
                  <w:vAlign w:val="center"/>
                </w:tcPr>
                <w:p w14:paraId="7D4B1930">
                  <w:pPr>
                    <w:pStyle w:val="17"/>
                    <w:bidi w:val="0"/>
                    <w:jc w:val="center"/>
                    <w:rPr>
                      <w:rFonts w:hint="eastAsia"/>
                      <w:color w:val="auto"/>
                      <w:lang w:val="en-US" w:eastAsia="zh-CN"/>
                    </w:rPr>
                  </w:pPr>
                </w:p>
              </w:tc>
              <w:tc>
                <w:tcPr>
                  <w:tcW w:w="555" w:type="pct"/>
                  <w:vAlign w:val="center"/>
                </w:tcPr>
                <w:p w14:paraId="2974FBE6">
                  <w:pPr>
                    <w:pStyle w:val="17"/>
                    <w:bidi w:val="0"/>
                    <w:ind w:firstLine="0" w:firstLineChars="0"/>
                    <w:jc w:val="center"/>
                    <w:rPr>
                      <w:rFonts w:hint="default"/>
                      <w:b w:val="0"/>
                      <w:bCs w:val="0"/>
                      <w:color w:val="auto"/>
                      <w:vertAlign w:val="baseline"/>
                      <w:lang w:val="en-US" w:eastAsia="zh-CN"/>
                    </w:rPr>
                  </w:pPr>
                  <w:r>
                    <w:rPr>
                      <w:rFonts w:hint="eastAsia"/>
                      <w:b w:val="0"/>
                      <w:bCs w:val="0"/>
                      <w:color w:val="auto"/>
                      <w:vertAlign w:val="baseline"/>
                      <w:lang w:val="en-US" w:eastAsia="zh-CN"/>
                    </w:rPr>
                    <w:t>COD</w:t>
                  </w:r>
                </w:p>
              </w:tc>
              <w:tc>
                <w:tcPr>
                  <w:tcW w:w="580" w:type="pct"/>
                  <w:vAlign w:val="center"/>
                </w:tcPr>
                <w:p w14:paraId="394641FB">
                  <w:pPr>
                    <w:pStyle w:val="17"/>
                    <w:bidi w:val="0"/>
                    <w:ind w:firstLine="0" w:firstLineChars="0"/>
                    <w:jc w:val="center"/>
                    <w:rPr>
                      <w:rFonts w:hint="default"/>
                      <w:b w:val="0"/>
                      <w:bCs w:val="0"/>
                      <w:color w:val="auto"/>
                      <w:vertAlign w:val="baseline"/>
                      <w:lang w:val="en-US" w:eastAsia="zh-CN"/>
                    </w:rPr>
                  </w:pPr>
                  <w:r>
                    <w:rPr>
                      <w:rFonts w:hint="eastAsia"/>
                      <w:b w:val="0"/>
                      <w:bCs w:val="0"/>
                      <w:color w:val="auto"/>
                      <w:vertAlign w:val="baseline"/>
                      <w:lang w:val="en-US" w:eastAsia="zh-CN"/>
                    </w:rPr>
                    <w:t>100</w:t>
                  </w:r>
                </w:p>
              </w:tc>
              <w:tc>
                <w:tcPr>
                  <w:tcW w:w="492" w:type="pct"/>
                  <w:vAlign w:val="center"/>
                </w:tcPr>
                <w:p w14:paraId="415EF3DE">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0.0505</w:t>
                  </w:r>
                </w:p>
              </w:tc>
              <w:tc>
                <w:tcPr>
                  <w:tcW w:w="554" w:type="pct"/>
                  <w:vMerge w:val="continue"/>
                  <w:vAlign w:val="center"/>
                </w:tcPr>
                <w:p w14:paraId="606286AD">
                  <w:pPr>
                    <w:pStyle w:val="17"/>
                    <w:bidi w:val="0"/>
                    <w:jc w:val="center"/>
                    <w:rPr>
                      <w:rFonts w:hint="eastAsia"/>
                      <w:b w:val="0"/>
                      <w:bCs w:val="0"/>
                      <w:color w:val="auto"/>
                      <w:vertAlign w:val="baseline"/>
                      <w:lang w:val="en-US" w:eastAsia="zh-CN"/>
                    </w:rPr>
                  </w:pPr>
                </w:p>
              </w:tc>
              <w:tc>
                <w:tcPr>
                  <w:tcW w:w="361" w:type="pct"/>
                  <w:vAlign w:val="center"/>
                </w:tcPr>
                <w:p w14:paraId="5ECAFF2B">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w:t>
                  </w:r>
                </w:p>
              </w:tc>
              <w:tc>
                <w:tcPr>
                  <w:tcW w:w="699" w:type="pct"/>
                  <w:vAlign w:val="center"/>
                </w:tcPr>
                <w:p w14:paraId="71DECDCB">
                  <w:pPr>
                    <w:pStyle w:val="17"/>
                    <w:bidi w:val="0"/>
                    <w:ind w:firstLine="0" w:firstLineChars="0"/>
                    <w:rPr>
                      <w:rFonts w:hint="default"/>
                      <w:color w:val="auto"/>
                      <w:lang w:val="en-US" w:eastAsia="zh-CN"/>
                    </w:rPr>
                  </w:pPr>
                  <w:r>
                    <w:rPr>
                      <w:rFonts w:hint="eastAsia"/>
                      <w:color w:val="auto"/>
                      <w:lang w:val="en-US" w:eastAsia="zh-CN"/>
                    </w:rPr>
                    <w:t>/</w:t>
                  </w:r>
                </w:p>
              </w:tc>
              <w:tc>
                <w:tcPr>
                  <w:tcW w:w="554" w:type="pct"/>
                  <w:vAlign w:val="center"/>
                </w:tcPr>
                <w:p w14:paraId="6AC00249">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w:t>
                  </w:r>
                </w:p>
              </w:tc>
              <w:tc>
                <w:tcPr>
                  <w:tcW w:w="387" w:type="pct"/>
                  <w:vMerge w:val="continue"/>
                  <w:vAlign w:val="center"/>
                </w:tcPr>
                <w:p w14:paraId="3E27A981">
                  <w:pPr>
                    <w:pStyle w:val="17"/>
                    <w:bidi w:val="0"/>
                    <w:jc w:val="center"/>
                    <w:rPr>
                      <w:rFonts w:hint="default"/>
                      <w:b w:val="0"/>
                      <w:bCs w:val="0"/>
                      <w:color w:val="auto"/>
                      <w:vertAlign w:val="baseline"/>
                      <w:lang w:val="en-US" w:eastAsia="zh-CN"/>
                    </w:rPr>
                  </w:pPr>
                </w:p>
              </w:tc>
            </w:tr>
            <w:tr w14:paraId="45420E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15" w:type="pct"/>
                  <w:vMerge w:val="continue"/>
                  <w:vAlign w:val="center"/>
                </w:tcPr>
                <w:p w14:paraId="4BD72EFE">
                  <w:pPr>
                    <w:pStyle w:val="17"/>
                    <w:bidi w:val="0"/>
                    <w:jc w:val="center"/>
                    <w:rPr>
                      <w:rFonts w:hint="eastAsia"/>
                      <w:color w:val="auto"/>
                      <w:lang w:val="en-US" w:eastAsia="zh-CN"/>
                    </w:rPr>
                  </w:pPr>
                </w:p>
              </w:tc>
              <w:tc>
                <w:tcPr>
                  <w:tcW w:w="555" w:type="pct"/>
                  <w:vAlign w:val="center"/>
                </w:tcPr>
                <w:p w14:paraId="0F7F66DA">
                  <w:pPr>
                    <w:pStyle w:val="17"/>
                    <w:bidi w:val="0"/>
                    <w:ind w:firstLine="0" w:firstLineChars="0"/>
                    <w:jc w:val="center"/>
                    <w:rPr>
                      <w:rFonts w:hint="default"/>
                      <w:b w:val="0"/>
                      <w:bCs w:val="0"/>
                      <w:color w:val="auto"/>
                      <w:vertAlign w:val="baseline"/>
                      <w:lang w:val="en-US" w:eastAsia="zh-CN"/>
                    </w:rPr>
                  </w:pPr>
                  <w:r>
                    <w:rPr>
                      <w:rFonts w:hint="eastAsia"/>
                      <w:b w:val="0"/>
                      <w:bCs w:val="0"/>
                      <w:color w:val="auto"/>
                      <w:vertAlign w:val="baseline"/>
                      <w:lang w:val="en-US" w:eastAsia="zh-CN"/>
                    </w:rPr>
                    <w:t>石油类</w:t>
                  </w:r>
                </w:p>
              </w:tc>
              <w:tc>
                <w:tcPr>
                  <w:tcW w:w="580" w:type="pct"/>
                  <w:vAlign w:val="center"/>
                </w:tcPr>
                <w:p w14:paraId="1B5E525A">
                  <w:pPr>
                    <w:pStyle w:val="17"/>
                    <w:bidi w:val="0"/>
                    <w:ind w:firstLine="0" w:firstLineChars="0"/>
                    <w:jc w:val="center"/>
                    <w:rPr>
                      <w:rFonts w:hint="default"/>
                      <w:b w:val="0"/>
                      <w:bCs w:val="0"/>
                      <w:color w:val="auto"/>
                      <w:vertAlign w:val="baseline"/>
                      <w:lang w:val="en-US" w:eastAsia="zh-CN"/>
                    </w:rPr>
                  </w:pPr>
                  <w:r>
                    <w:rPr>
                      <w:rFonts w:hint="eastAsia"/>
                      <w:b w:val="0"/>
                      <w:bCs w:val="0"/>
                      <w:color w:val="auto"/>
                      <w:vertAlign w:val="baseline"/>
                      <w:lang w:val="en-US" w:eastAsia="zh-CN"/>
                    </w:rPr>
                    <w:t>40</w:t>
                  </w:r>
                </w:p>
              </w:tc>
              <w:tc>
                <w:tcPr>
                  <w:tcW w:w="492" w:type="pct"/>
                  <w:vAlign w:val="center"/>
                </w:tcPr>
                <w:p w14:paraId="6622235C">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0.0202</w:t>
                  </w:r>
                </w:p>
              </w:tc>
              <w:tc>
                <w:tcPr>
                  <w:tcW w:w="554" w:type="pct"/>
                  <w:vMerge w:val="continue"/>
                  <w:vAlign w:val="center"/>
                </w:tcPr>
                <w:p w14:paraId="3E61E814">
                  <w:pPr>
                    <w:pStyle w:val="17"/>
                    <w:bidi w:val="0"/>
                    <w:jc w:val="center"/>
                    <w:rPr>
                      <w:rFonts w:hint="eastAsia"/>
                      <w:b w:val="0"/>
                      <w:bCs w:val="0"/>
                      <w:color w:val="auto"/>
                      <w:vertAlign w:val="baseline"/>
                      <w:lang w:val="en-US" w:eastAsia="zh-CN"/>
                    </w:rPr>
                  </w:pPr>
                </w:p>
              </w:tc>
              <w:tc>
                <w:tcPr>
                  <w:tcW w:w="361" w:type="pct"/>
                  <w:vAlign w:val="center"/>
                </w:tcPr>
                <w:p w14:paraId="125B98A8">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w:t>
                  </w:r>
                </w:p>
              </w:tc>
              <w:tc>
                <w:tcPr>
                  <w:tcW w:w="699" w:type="pct"/>
                  <w:vAlign w:val="center"/>
                </w:tcPr>
                <w:p w14:paraId="52683CF7">
                  <w:pPr>
                    <w:pStyle w:val="17"/>
                    <w:bidi w:val="0"/>
                    <w:ind w:firstLine="0" w:firstLineChars="0"/>
                    <w:rPr>
                      <w:rFonts w:hint="default"/>
                      <w:color w:val="auto"/>
                      <w:lang w:val="en-US" w:eastAsia="zh-CN"/>
                    </w:rPr>
                  </w:pPr>
                  <w:r>
                    <w:rPr>
                      <w:rFonts w:hint="eastAsia"/>
                      <w:color w:val="auto"/>
                      <w:lang w:val="en-US" w:eastAsia="zh-CN"/>
                    </w:rPr>
                    <w:t>/</w:t>
                  </w:r>
                </w:p>
              </w:tc>
              <w:tc>
                <w:tcPr>
                  <w:tcW w:w="554" w:type="pct"/>
                  <w:vAlign w:val="center"/>
                </w:tcPr>
                <w:p w14:paraId="5B0EF075">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w:t>
                  </w:r>
                </w:p>
              </w:tc>
              <w:tc>
                <w:tcPr>
                  <w:tcW w:w="387" w:type="pct"/>
                  <w:vMerge w:val="continue"/>
                  <w:vAlign w:val="center"/>
                </w:tcPr>
                <w:p w14:paraId="0BA04C0F">
                  <w:pPr>
                    <w:pStyle w:val="17"/>
                    <w:bidi w:val="0"/>
                    <w:jc w:val="center"/>
                    <w:rPr>
                      <w:rFonts w:hint="default"/>
                      <w:b w:val="0"/>
                      <w:bCs w:val="0"/>
                      <w:color w:val="auto"/>
                      <w:vertAlign w:val="baseline"/>
                      <w:lang w:val="en-US" w:eastAsia="zh-CN"/>
                    </w:rPr>
                  </w:pPr>
                </w:p>
              </w:tc>
            </w:tr>
          </w:tbl>
          <w:p w14:paraId="56B9317D">
            <w:pPr>
              <w:rPr>
                <w:rFonts w:hint="eastAsia"/>
                <w:color w:val="auto"/>
                <w:lang w:val="en-US" w:eastAsia="zh-CN"/>
              </w:rPr>
            </w:pPr>
            <w:r>
              <w:rPr>
                <w:rFonts w:hint="eastAsia"/>
                <w:color w:val="auto"/>
                <w:lang w:val="en-US" w:eastAsia="zh-CN"/>
              </w:rPr>
              <w:t>本项目无生活污水和生产废水外排。</w:t>
            </w:r>
          </w:p>
          <w:p w14:paraId="761877C0">
            <w:pPr>
              <w:pStyle w:val="5"/>
              <w:bidi w:val="0"/>
              <w:rPr>
                <w:rFonts w:hint="eastAsia"/>
                <w:color w:val="auto"/>
                <w:lang w:val="en-US" w:eastAsia="zh-CN"/>
              </w:rPr>
            </w:pPr>
            <w:bookmarkStart w:id="427" w:name="_Toc882"/>
            <w:bookmarkStart w:id="428" w:name="_Toc31171"/>
            <w:bookmarkStart w:id="429" w:name="_Toc3430"/>
            <w:bookmarkStart w:id="430" w:name="_Toc19639"/>
            <w:bookmarkStart w:id="431" w:name="_Toc923"/>
            <w:r>
              <w:rPr>
                <w:rFonts w:hint="eastAsia"/>
                <w:color w:val="auto"/>
                <w:lang w:val="en-US" w:eastAsia="zh-CN"/>
              </w:rPr>
              <w:t>3.4 废水自行监测要求</w:t>
            </w:r>
            <w:bookmarkEnd w:id="427"/>
            <w:bookmarkEnd w:id="428"/>
            <w:bookmarkEnd w:id="429"/>
            <w:bookmarkEnd w:id="430"/>
            <w:bookmarkEnd w:id="431"/>
          </w:p>
          <w:p w14:paraId="743B2777">
            <w:pPr>
              <w:rPr>
                <w:rFonts w:hint="eastAsia"/>
                <w:color w:val="auto"/>
                <w:lang w:val="en-US" w:eastAsia="zh-CN"/>
              </w:rPr>
            </w:pPr>
            <w:r>
              <w:rPr>
                <w:rFonts w:hint="eastAsia"/>
                <w:color w:val="auto"/>
                <w:lang w:val="en-US" w:eastAsia="zh-CN"/>
              </w:rPr>
              <w:t>生活污水经化粪池熟化后用作农肥，堆场抑尘废水、洒水降尘废水、制砖生产废水和水稳砂生产废水全部蒸发损耗或进入产品，车辆冲洗废水经隔油池、沉淀池处理后回用于车辆冲洗，无需进行废水自行监测。</w:t>
            </w:r>
          </w:p>
          <w:p w14:paraId="24250A8C">
            <w:pPr>
              <w:pStyle w:val="4"/>
              <w:bidi w:val="0"/>
              <w:rPr>
                <w:rFonts w:hint="eastAsia"/>
                <w:color w:val="auto"/>
                <w:lang w:val="en-US" w:eastAsia="zh-CN"/>
              </w:rPr>
            </w:pPr>
            <w:bookmarkStart w:id="432" w:name="_Toc5534"/>
            <w:bookmarkStart w:id="433" w:name="_Toc2044"/>
            <w:bookmarkStart w:id="434" w:name="_Toc27256"/>
            <w:bookmarkStart w:id="435" w:name="_Toc1147"/>
            <w:bookmarkStart w:id="436" w:name="_Toc15044"/>
            <w:r>
              <w:rPr>
                <w:rFonts w:hint="eastAsia"/>
                <w:color w:val="auto"/>
                <w:lang w:val="en-US" w:eastAsia="zh-CN"/>
              </w:rPr>
              <w:t>4、噪声环境影响分析和保护措施</w:t>
            </w:r>
            <w:bookmarkEnd w:id="432"/>
            <w:bookmarkEnd w:id="433"/>
            <w:bookmarkEnd w:id="434"/>
            <w:bookmarkEnd w:id="435"/>
            <w:bookmarkEnd w:id="436"/>
          </w:p>
          <w:p w14:paraId="6653CAE9">
            <w:pPr>
              <w:pStyle w:val="5"/>
              <w:bidi w:val="0"/>
              <w:rPr>
                <w:rFonts w:hint="eastAsia"/>
                <w:color w:val="auto"/>
                <w:lang w:val="en-US" w:eastAsia="zh-CN"/>
              </w:rPr>
            </w:pPr>
            <w:bookmarkStart w:id="437" w:name="_Toc25476"/>
            <w:bookmarkStart w:id="438" w:name="_Toc31967"/>
            <w:bookmarkStart w:id="439" w:name="_Toc4465"/>
            <w:bookmarkStart w:id="440" w:name="_Toc12963"/>
            <w:bookmarkStart w:id="441" w:name="_Toc32367"/>
            <w:r>
              <w:rPr>
                <w:rFonts w:hint="eastAsia"/>
                <w:color w:val="auto"/>
                <w:lang w:val="en-US" w:eastAsia="zh-CN"/>
              </w:rPr>
              <w:t>4.1 主要噪声源强</w:t>
            </w:r>
            <w:bookmarkEnd w:id="437"/>
            <w:bookmarkEnd w:id="438"/>
            <w:bookmarkEnd w:id="439"/>
            <w:bookmarkEnd w:id="440"/>
            <w:bookmarkEnd w:id="441"/>
          </w:p>
          <w:p w14:paraId="26F3E09C">
            <w:pPr>
              <w:rPr>
                <w:rFonts w:hAnsi="Times New Roman" w:cs="Times New Roman"/>
                <w:color w:val="auto"/>
                <w:u w:val="none"/>
              </w:rPr>
            </w:pPr>
            <w:r>
              <w:rPr>
                <w:rFonts w:hint="eastAsia"/>
                <w:color w:val="auto"/>
                <w:lang w:val="en-US" w:eastAsia="zh-CN"/>
              </w:rPr>
              <w:t>本</w:t>
            </w:r>
            <w:r>
              <w:rPr>
                <w:rFonts w:hint="default"/>
                <w:color w:val="auto"/>
                <w:lang w:val="en-US" w:eastAsia="zh-CN"/>
              </w:rPr>
              <w:t>项目</w:t>
            </w:r>
            <w:r>
              <w:rPr>
                <w:rFonts w:hint="eastAsia"/>
                <w:color w:val="auto"/>
                <w:lang w:val="en-US" w:eastAsia="zh-CN"/>
              </w:rPr>
              <w:t>运营期</w:t>
            </w:r>
            <w:r>
              <w:rPr>
                <w:rFonts w:hint="default"/>
                <w:color w:val="auto"/>
                <w:lang w:val="en-US" w:eastAsia="zh-CN"/>
              </w:rPr>
              <w:t>噪声源主要是</w:t>
            </w:r>
            <w:r>
              <w:rPr>
                <w:rFonts w:hAnsi="Times New Roman" w:cs="Times New Roman"/>
                <w:color w:val="auto"/>
                <w:u w:val="none"/>
              </w:rPr>
              <w:t>本项目噪声源主要有破碎机、振动筛、铲车</w:t>
            </w:r>
            <w:r>
              <w:rPr>
                <w:rFonts w:hint="eastAsia" w:hAnsi="Times New Roman" w:cs="Times New Roman"/>
                <w:color w:val="auto"/>
                <w:u w:val="none"/>
                <w:lang w:eastAsia="zh-CN"/>
              </w:rPr>
              <w:t>、</w:t>
            </w:r>
            <w:r>
              <w:rPr>
                <w:rFonts w:hint="eastAsia" w:hAnsi="Times New Roman" w:cs="Times New Roman"/>
                <w:color w:val="auto"/>
                <w:u w:val="none"/>
                <w:lang w:val="en-US" w:eastAsia="zh-CN"/>
              </w:rPr>
              <w:t>水稳砂生产线、制砖生产线</w:t>
            </w:r>
            <w:r>
              <w:rPr>
                <w:rFonts w:hAnsi="Times New Roman" w:cs="Times New Roman"/>
                <w:color w:val="auto"/>
                <w:u w:val="none"/>
              </w:rPr>
              <w:t>等设备噪声和运输车、铲车等产生的交通噪声，噪声在70</w:t>
            </w:r>
            <w:r>
              <w:rPr>
                <w:rFonts w:hint="eastAsia" w:hAnsi="Times New Roman" w:cs="Times New Roman"/>
                <w:color w:val="auto"/>
                <w:u w:val="none"/>
                <w:lang w:val="en-US" w:eastAsia="zh-CN"/>
              </w:rPr>
              <w:t>-</w:t>
            </w:r>
            <w:r>
              <w:rPr>
                <w:rFonts w:hAnsi="Times New Roman" w:cs="Times New Roman"/>
                <w:color w:val="auto"/>
                <w:u w:val="none"/>
              </w:rPr>
              <w:t>100dB(A)之间。类型主要属于空气动力噪声和机械噪声，噪声传播具有稳态和类稳态特性。噪声从噪声源传播至噪声预测点间距离一般比声源本身几何尺寸大许多，因此可忽略噪声源几何尺寸影响，将其简化看作为一个点声源。</w:t>
            </w:r>
            <w:r>
              <w:rPr>
                <w:rFonts w:hint="eastAsia"/>
                <w:color w:val="auto"/>
                <w:lang w:val="en-US" w:eastAsia="zh-CN"/>
              </w:rPr>
              <w:t>本项目各设备噪声源的源强、排放特征及拟采取的降噪措施见表</w:t>
            </w:r>
            <w:r>
              <w:rPr>
                <w:rFonts w:hint="eastAsia" w:hAnsi="Times New Roman" w:cs="Times New Roman"/>
                <w:color w:val="auto"/>
                <w:u w:val="none"/>
                <w:lang w:val="en-US" w:eastAsia="zh-CN"/>
              </w:rPr>
              <w:t>4-9</w:t>
            </w:r>
            <w:r>
              <w:rPr>
                <w:rFonts w:hAnsi="Times New Roman" w:cs="Times New Roman"/>
                <w:color w:val="auto"/>
                <w:u w:val="none"/>
              </w:rPr>
              <w:t>。</w:t>
            </w:r>
          </w:p>
          <w:p w14:paraId="4302AFF5">
            <w:pPr>
              <w:pStyle w:val="18"/>
              <w:bidi w:val="0"/>
              <w:rPr>
                <w:rFonts w:hint="eastAsia"/>
                <w:color w:val="auto"/>
                <w:lang w:val="en-US" w:eastAsia="zh-CN"/>
              </w:rPr>
            </w:pPr>
            <w:r>
              <w:rPr>
                <w:rFonts w:hint="eastAsia"/>
                <w:color w:val="auto"/>
                <w:lang w:val="en-US" w:eastAsia="zh-CN"/>
              </w:rPr>
              <w:t>表4-9 本项目新增主要噪声源统计表</w:t>
            </w:r>
          </w:p>
          <w:tbl>
            <w:tblPr>
              <w:tblStyle w:val="13"/>
              <w:tblW w:w="4996"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45"/>
              <w:gridCol w:w="491"/>
              <w:gridCol w:w="2058"/>
              <w:gridCol w:w="574"/>
              <w:gridCol w:w="585"/>
              <w:gridCol w:w="505"/>
              <w:gridCol w:w="612"/>
              <w:gridCol w:w="614"/>
              <w:gridCol w:w="299"/>
              <w:gridCol w:w="708"/>
              <w:gridCol w:w="419"/>
              <w:gridCol w:w="575"/>
            </w:tblGrid>
            <w:tr w14:paraId="0AD6C5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12" w:hRule="atLeast"/>
              </w:trPr>
              <w:tc>
                <w:tcPr>
                  <w:tcW w:w="341" w:type="pct"/>
                  <w:vMerge w:val="restart"/>
                  <w:vAlign w:val="center"/>
                </w:tcPr>
                <w:p w14:paraId="758AF486">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建筑物名称</w:t>
                  </w:r>
                </w:p>
              </w:tc>
              <w:tc>
                <w:tcPr>
                  <w:tcW w:w="307" w:type="pct"/>
                  <w:vMerge w:val="restart"/>
                  <w:vAlign w:val="center"/>
                </w:tcPr>
                <w:p w14:paraId="2E54AAB1">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声源名称</w:t>
                  </w:r>
                </w:p>
              </w:tc>
              <w:tc>
                <w:tcPr>
                  <w:tcW w:w="1288" w:type="pct"/>
                  <w:vMerge w:val="restart"/>
                  <w:vAlign w:val="center"/>
                </w:tcPr>
                <w:p w14:paraId="5D94FC46">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型号</w:t>
                  </w:r>
                </w:p>
              </w:tc>
              <w:tc>
                <w:tcPr>
                  <w:tcW w:w="359" w:type="pct"/>
                  <w:vAlign w:val="center"/>
                </w:tcPr>
                <w:p w14:paraId="0E9FAC9C">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声源</w:t>
                  </w:r>
                </w:p>
                <w:p w14:paraId="038707C2">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源强</w:t>
                  </w:r>
                </w:p>
              </w:tc>
              <w:tc>
                <w:tcPr>
                  <w:tcW w:w="366" w:type="pct"/>
                  <w:vMerge w:val="restart"/>
                  <w:vAlign w:val="center"/>
                </w:tcPr>
                <w:p w14:paraId="583D2CCD">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声源控制措施</w:t>
                  </w:r>
                </w:p>
              </w:tc>
              <w:tc>
                <w:tcPr>
                  <w:tcW w:w="316" w:type="pct"/>
                  <w:vAlign w:val="center"/>
                </w:tcPr>
                <w:p w14:paraId="004FFACD">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空间相对位置m</w:t>
                  </w:r>
                </w:p>
              </w:tc>
              <w:tc>
                <w:tcPr>
                  <w:tcW w:w="383" w:type="pct"/>
                  <w:vAlign w:val="center"/>
                </w:tcPr>
                <w:p w14:paraId="49194611">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距室内边界距离</w:t>
                  </w:r>
                </w:p>
              </w:tc>
              <w:tc>
                <w:tcPr>
                  <w:tcW w:w="384" w:type="pct"/>
                  <w:vAlign w:val="center"/>
                </w:tcPr>
                <w:p w14:paraId="760039FF">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室内边界声级dB(A)</w:t>
                  </w:r>
                </w:p>
              </w:tc>
              <w:tc>
                <w:tcPr>
                  <w:tcW w:w="187" w:type="pct"/>
                  <w:vMerge w:val="restart"/>
                  <w:vAlign w:val="center"/>
                </w:tcPr>
                <w:p w14:paraId="5E1AC428">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运行时段</w:t>
                  </w:r>
                </w:p>
              </w:tc>
              <w:tc>
                <w:tcPr>
                  <w:tcW w:w="443" w:type="pct"/>
                  <w:vAlign w:val="center"/>
                </w:tcPr>
                <w:p w14:paraId="066E88F9">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建筑物插入损失dB(A)</w:t>
                  </w:r>
                </w:p>
              </w:tc>
              <w:tc>
                <w:tcPr>
                  <w:tcW w:w="622" w:type="pct"/>
                  <w:gridSpan w:val="2"/>
                  <w:vAlign w:val="center"/>
                </w:tcPr>
                <w:p w14:paraId="03FCDB2C">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建筑物外噪声声压级dB(A)</w:t>
                  </w:r>
                </w:p>
              </w:tc>
            </w:tr>
            <w:tr w14:paraId="540A8C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12" w:hRule="atLeast"/>
              </w:trPr>
              <w:tc>
                <w:tcPr>
                  <w:tcW w:w="341" w:type="pct"/>
                  <w:vMerge w:val="continue"/>
                  <w:vAlign w:val="center"/>
                </w:tcPr>
                <w:p w14:paraId="1E3D9771">
                  <w:pPr>
                    <w:pStyle w:val="17"/>
                    <w:bidi w:val="0"/>
                    <w:jc w:val="center"/>
                    <w:rPr>
                      <w:b w:val="0"/>
                      <w:bCs w:val="0"/>
                      <w:color w:val="auto"/>
                    </w:rPr>
                  </w:pPr>
                </w:p>
              </w:tc>
              <w:tc>
                <w:tcPr>
                  <w:tcW w:w="307" w:type="pct"/>
                  <w:vMerge w:val="continue"/>
                  <w:vAlign w:val="center"/>
                </w:tcPr>
                <w:p w14:paraId="1C1430B4">
                  <w:pPr>
                    <w:pStyle w:val="17"/>
                    <w:bidi w:val="0"/>
                    <w:jc w:val="center"/>
                    <w:rPr>
                      <w:b w:val="0"/>
                      <w:bCs w:val="0"/>
                      <w:color w:val="auto"/>
                    </w:rPr>
                  </w:pPr>
                </w:p>
              </w:tc>
              <w:tc>
                <w:tcPr>
                  <w:tcW w:w="1288" w:type="pct"/>
                  <w:vMerge w:val="continue"/>
                  <w:vAlign w:val="center"/>
                </w:tcPr>
                <w:p w14:paraId="7D4EA458">
                  <w:pPr>
                    <w:pStyle w:val="17"/>
                    <w:bidi w:val="0"/>
                    <w:jc w:val="center"/>
                    <w:rPr>
                      <w:b w:val="0"/>
                      <w:bCs w:val="0"/>
                      <w:color w:val="auto"/>
                    </w:rPr>
                  </w:pPr>
                </w:p>
              </w:tc>
              <w:tc>
                <w:tcPr>
                  <w:tcW w:w="359" w:type="pct"/>
                  <w:vAlign w:val="center"/>
                </w:tcPr>
                <w:p w14:paraId="4640CD42">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声功率级别dB(A)</w:t>
                  </w:r>
                </w:p>
              </w:tc>
              <w:tc>
                <w:tcPr>
                  <w:tcW w:w="366" w:type="pct"/>
                  <w:vMerge w:val="continue"/>
                  <w:vAlign w:val="center"/>
                </w:tcPr>
                <w:p w14:paraId="4E945DE1">
                  <w:pPr>
                    <w:pStyle w:val="17"/>
                    <w:bidi w:val="0"/>
                    <w:jc w:val="center"/>
                    <w:rPr>
                      <w:rFonts w:hint="eastAsia"/>
                      <w:b w:val="0"/>
                      <w:bCs w:val="0"/>
                      <w:color w:val="auto"/>
                      <w:vertAlign w:val="baseline"/>
                      <w:lang w:val="en-US" w:eastAsia="zh-CN"/>
                    </w:rPr>
                  </w:pPr>
                </w:p>
              </w:tc>
              <w:tc>
                <w:tcPr>
                  <w:tcW w:w="316" w:type="pct"/>
                  <w:vAlign w:val="center"/>
                </w:tcPr>
                <w:p w14:paraId="5F688801">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X</w:t>
                  </w:r>
                </w:p>
                <w:p w14:paraId="011C47A1">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Y</w:t>
                  </w:r>
                </w:p>
                <w:p w14:paraId="2D2534CD">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Z</w:t>
                  </w:r>
                </w:p>
              </w:tc>
              <w:tc>
                <w:tcPr>
                  <w:tcW w:w="383" w:type="pct"/>
                  <w:vAlign w:val="center"/>
                </w:tcPr>
                <w:p w14:paraId="7172785F">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东</w:t>
                  </w:r>
                </w:p>
                <w:p w14:paraId="2C2E5D90">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南</w:t>
                  </w:r>
                </w:p>
                <w:p w14:paraId="4EDD835A">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西</w:t>
                  </w:r>
                </w:p>
                <w:p w14:paraId="082580A0">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北</w:t>
                  </w:r>
                </w:p>
              </w:tc>
              <w:tc>
                <w:tcPr>
                  <w:tcW w:w="384" w:type="pct"/>
                  <w:vAlign w:val="center"/>
                </w:tcPr>
                <w:p w14:paraId="648BD36D">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东</w:t>
                  </w:r>
                </w:p>
                <w:p w14:paraId="6E617BBF">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南</w:t>
                  </w:r>
                </w:p>
                <w:p w14:paraId="58643160">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西</w:t>
                  </w:r>
                </w:p>
                <w:p w14:paraId="2A135663">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北</w:t>
                  </w:r>
                </w:p>
              </w:tc>
              <w:tc>
                <w:tcPr>
                  <w:tcW w:w="187" w:type="pct"/>
                  <w:vMerge w:val="continue"/>
                  <w:vAlign w:val="center"/>
                </w:tcPr>
                <w:p w14:paraId="41EDE7D0">
                  <w:pPr>
                    <w:pStyle w:val="17"/>
                    <w:bidi w:val="0"/>
                    <w:jc w:val="center"/>
                    <w:rPr>
                      <w:rFonts w:hint="eastAsia"/>
                      <w:b w:val="0"/>
                      <w:bCs w:val="0"/>
                      <w:color w:val="auto"/>
                      <w:vertAlign w:val="baseline"/>
                      <w:lang w:val="en-US" w:eastAsia="zh-CN"/>
                    </w:rPr>
                  </w:pPr>
                </w:p>
              </w:tc>
              <w:tc>
                <w:tcPr>
                  <w:tcW w:w="443" w:type="pct"/>
                  <w:vAlign w:val="center"/>
                </w:tcPr>
                <w:p w14:paraId="10D62EB5">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东</w:t>
                  </w:r>
                </w:p>
                <w:p w14:paraId="1D9BAF94">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南</w:t>
                  </w:r>
                </w:p>
                <w:p w14:paraId="06694501">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西</w:t>
                  </w:r>
                </w:p>
                <w:p w14:paraId="2A0DF7BC">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北</w:t>
                  </w:r>
                </w:p>
              </w:tc>
              <w:tc>
                <w:tcPr>
                  <w:tcW w:w="262" w:type="pct"/>
                  <w:vAlign w:val="center"/>
                </w:tcPr>
                <w:p w14:paraId="44E2620D">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东</w:t>
                  </w:r>
                </w:p>
                <w:p w14:paraId="3459A88E">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南</w:t>
                  </w:r>
                </w:p>
                <w:p w14:paraId="6DAC4E50">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西</w:t>
                  </w:r>
                </w:p>
                <w:p w14:paraId="2110288F">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北</w:t>
                  </w:r>
                </w:p>
              </w:tc>
              <w:tc>
                <w:tcPr>
                  <w:tcW w:w="360" w:type="pct"/>
                  <w:vAlign w:val="center"/>
                </w:tcPr>
                <w:p w14:paraId="587BC476">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建筑物外距离</w:t>
                  </w:r>
                </w:p>
              </w:tc>
            </w:tr>
            <w:tr w14:paraId="54F14E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12" w:hRule="atLeast"/>
              </w:trPr>
              <w:tc>
                <w:tcPr>
                  <w:tcW w:w="341" w:type="pct"/>
                  <w:vAlign w:val="center"/>
                </w:tcPr>
                <w:p w14:paraId="7801FA6C">
                  <w:pPr>
                    <w:pStyle w:val="17"/>
                    <w:bidi w:val="0"/>
                    <w:jc w:val="center"/>
                    <w:rPr>
                      <w:rFonts w:hint="default" w:eastAsia="宋体"/>
                      <w:b w:val="0"/>
                      <w:bCs w:val="0"/>
                      <w:color w:val="auto"/>
                      <w:lang w:val="en-US" w:eastAsia="zh-CN"/>
                    </w:rPr>
                  </w:pPr>
                  <w:r>
                    <w:rPr>
                      <w:rFonts w:hint="eastAsia"/>
                      <w:b w:val="0"/>
                      <w:bCs w:val="0"/>
                      <w:color w:val="auto"/>
                      <w:lang w:val="en-US" w:eastAsia="zh-CN"/>
                    </w:rPr>
                    <w:t>生产厂房1#</w:t>
                  </w:r>
                </w:p>
              </w:tc>
              <w:tc>
                <w:tcPr>
                  <w:tcW w:w="307" w:type="pct"/>
                  <w:vAlign w:val="center"/>
                </w:tcPr>
                <w:p w14:paraId="2C5CAC30">
                  <w:pPr>
                    <w:pStyle w:val="17"/>
                    <w:bidi w:val="0"/>
                    <w:jc w:val="center"/>
                    <w:rPr>
                      <w:rFonts w:hint="eastAsia" w:eastAsia="宋体"/>
                      <w:b w:val="0"/>
                      <w:bCs w:val="0"/>
                      <w:color w:val="auto"/>
                      <w:lang w:val="en-US" w:eastAsia="zh-CN"/>
                    </w:rPr>
                  </w:pPr>
                  <w:r>
                    <w:rPr>
                      <w:rFonts w:hint="eastAsia"/>
                      <w:b w:val="0"/>
                      <w:bCs w:val="0"/>
                      <w:color w:val="auto"/>
                      <w:lang w:val="en-US" w:eastAsia="zh-CN"/>
                    </w:rPr>
                    <w:t>分选设备</w:t>
                  </w:r>
                </w:p>
              </w:tc>
              <w:tc>
                <w:tcPr>
                  <w:tcW w:w="1288" w:type="pct"/>
                  <w:vAlign w:val="center"/>
                </w:tcPr>
                <w:p w14:paraId="7835F931">
                  <w:pPr>
                    <w:pStyle w:val="17"/>
                    <w:bidi w:val="0"/>
                    <w:jc w:val="center"/>
                    <w:rPr>
                      <w:rFonts w:hint="eastAsia" w:eastAsia="宋体"/>
                      <w:b w:val="0"/>
                      <w:bCs w:val="0"/>
                      <w:color w:val="auto"/>
                      <w:lang w:val="en-US" w:eastAsia="zh-CN"/>
                    </w:rPr>
                  </w:pPr>
                  <w:r>
                    <w:rPr>
                      <w:rFonts w:hint="eastAsia"/>
                      <w:b w:val="0"/>
                      <w:bCs w:val="0"/>
                      <w:color w:val="auto"/>
                      <w:lang w:val="en-US" w:eastAsia="zh-CN"/>
                    </w:rPr>
                    <w:t>/</w:t>
                  </w:r>
                </w:p>
              </w:tc>
              <w:tc>
                <w:tcPr>
                  <w:tcW w:w="359" w:type="pct"/>
                  <w:vAlign w:val="center"/>
                </w:tcPr>
                <w:p w14:paraId="4737E30A">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80</w:t>
                  </w:r>
                </w:p>
              </w:tc>
              <w:tc>
                <w:tcPr>
                  <w:tcW w:w="366" w:type="pct"/>
                  <w:vMerge w:val="restart"/>
                  <w:vAlign w:val="center"/>
                </w:tcPr>
                <w:p w14:paraId="10CF9EA8">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合理布局，基础隔声、减振，选用低噪声设备</w:t>
                  </w:r>
                </w:p>
              </w:tc>
              <w:tc>
                <w:tcPr>
                  <w:tcW w:w="316" w:type="pct"/>
                  <w:vAlign w:val="center"/>
                </w:tcPr>
                <w:p w14:paraId="16C7B33F">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29.6</w:t>
                  </w:r>
                </w:p>
                <w:p w14:paraId="6FBCAC31">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-15.2</w:t>
                  </w:r>
                </w:p>
                <w:p w14:paraId="444BABD9">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1.2</w:t>
                  </w:r>
                </w:p>
              </w:tc>
              <w:tc>
                <w:tcPr>
                  <w:tcW w:w="383" w:type="pct"/>
                  <w:vAlign w:val="center"/>
                </w:tcPr>
                <w:p w14:paraId="0C9EEF36">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28.7</w:t>
                  </w:r>
                </w:p>
                <w:p w14:paraId="523CF7EE">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21.0</w:t>
                  </w:r>
                </w:p>
                <w:p w14:paraId="5F88A07E">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54.1</w:t>
                  </w:r>
                </w:p>
                <w:p w14:paraId="45D7E3C2">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8.5</w:t>
                  </w:r>
                </w:p>
              </w:tc>
              <w:tc>
                <w:tcPr>
                  <w:tcW w:w="384" w:type="pct"/>
                  <w:vAlign w:val="center"/>
                </w:tcPr>
                <w:p w14:paraId="29205D38">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60.3</w:t>
                  </w:r>
                </w:p>
                <w:p w14:paraId="44ACFF30">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60.4</w:t>
                  </w:r>
                </w:p>
                <w:p w14:paraId="3A7C3185">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60.3</w:t>
                  </w:r>
                </w:p>
                <w:p w14:paraId="270BF960">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60.7</w:t>
                  </w:r>
                </w:p>
              </w:tc>
              <w:tc>
                <w:tcPr>
                  <w:tcW w:w="187" w:type="pct"/>
                  <w:vMerge w:val="restart"/>
                  <w:vAlign w:val="center"/>
                </w:tcPr>
                <w:p w14:paraId="36A1F4F3">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昼间</w:t>
                  </w:r>
                </w:p>
              </w:tc>
              <w:tc>
                <w:tcPr>
                  <w:tcW w:w="443" w:type="pct"/>
                  <w:vAlign w:val="center"/>
                </w:tcPr>
                <w:p w14:paraId="5A48CBA3">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51.0</w:t>
                  </w:r>
                </w:p>
                <w:p w14:paraId="4DA92866">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51.0</w:t>
                  </w:r>
                </w:p>
                <w:p w14:paraId="1C32A10A">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51.0</w:t>
                  </w:r>
                </w:p>
                <w:p w14:paraId="1302A1A3">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51.0</w:t>
                  </w:r>
                </w:p>
              </w:tc>
              <w:tc>
                <w:tcPr>
                  <w:tcW w:w="262" w:type="pct"/>
                  <w:vAlign w:val="center"/>
                </w:tcPr>
                <w:p w14:paraId="750822BC">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9.3</w:t>
                  </w:r>
                </w:p>
                <w:p w14:paraId="76BF1488">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9.4</w:t>
                  </w:r>
                </w:p>
                <w:p w14:paraId="2315A17C">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9.3</w:t>
                  </w:r>
                </w:p>
                <w:p w14:paraId="25AEF7D8">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9.7</w:t>
                  </w:r>
                </w:p>
              </w:tc>
              <w:tc>
                <w:tcPr>
                  <w:tcW w:w="360" w:type="pct"/>
                  <w:vAlign w:val="center"/>
                </w:tcPr>
                <w:p w14:paraId="13D3A8EB">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1</w:t>
                  </w:r>
                </w:p>
              </w:tc>
            </w:tr>
            <w:tr w14:paraId="3F2F8E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12" w:hRule="atLeast"/>
              </w:trPr>
              <w:tc>
                <w:tcPr>
                  <w:tcW w:w="341" w:type="pct"/>
                  <w:vMerge w:val="restart"/>
                  <w:vAlign w:val="center"/>
                </w:tcPr>
                <w:p w14:paraId="2CDE0778">
                  <w:pPr>
                    <w:pStyle w:val="17"/>
                    <w:bidi w:val="0"/>
                    <w:jc w:val="center"/>
                    <w:rPr>
                      <w:rFonts w:hint="default" w:eastAsia="宋体"/>
                      <w:b w:val="0"/>
                      <w:bCs w:val="0"/>
                      <w:color w:val="auto"/>
                      <w:lang w:val="en-US" w:eastAsia="zh-CN"/>
                    </w:rPr>
                  </w:pPr>
                  <w:r>
                    <w:rPr>
                      <w:rFonts w:hint="eastAsia"/>
                      <w:b w:val="0"/>
                      <w:bCs w:val="0"/>
                      <w:color w:val="auto"/>
                      <w:lang w:val="en-US" w:eastAsia="zh-CN"/>
                    </w:rPr>
                    <w:t>生产厂房2#</w:t>
                  </w:r>
                </w:p>
              </w:tc>
              <w:tc>
                <w:tcPr>
                  <w:tcW w:w="307" w:type="pct"/>
                  <w:vAlign w:val="center"/>
                </w:tcPr>
                <w:p w14:paraId="3F802FDD">
                  <w:pPr>
                    <w:pStyle w:val="17"/>
                    <w:bidi w:val="0"/>
                    <w:jc w:val="center"/>
                    <w:rPr>
                      <w:rFonts w:hint="default" w:eastAsia="宋体"/>
                      <w:b w:val="0"/>
                      <w:bCs w:val="0"/>
                      <w:color w:val="auto"/>
                      <w:lang w:val="en-US" w:eastAsia="zh-CN"/>
                    </w:rPr>
                  </w:pPr>
                  <w:r>
                    <w:rPr>
                      <w:rFonts w:hint="eastAsia"/>
                      <w:b w:val="0"/>
                      <w:bCs w:val="0"/>
                      <w:color w:val="auto"/>
                      <w:lang w:val="en-US" w:eastAsia="zh-CN"/>
                    </w:rPr>
                    <w:t>搅拌机</w:t>
                  </w:r>
                </w:p>
              </w:tc>
              <w:tc>
                <w:tcPr>
                  <w:tcW w:w="1288" w:type="pct"/>
                  <w:vAlign w:val="center"/>
                </w:tcPr>
                <w:p w14:paraId="6EFA7F03">
                  <w:pPr>
                    <w:pStyle w:val="17"/>
                    <w:bidi w:val="0"/>
                    <w:jc w:val="center"/>
                    <w:rPr>
                      <w:rFonts w:hint="eastAsia"/>
                      <w:b w:val="0"/>
                      <w:bCs w:val="0"/>
                      <w:color w:val="auto"/>
                      <w:lang w:val="en-US" w:eastAsia="zh-CN"/>
                    </w:rPr>
                  </w:pPr>
                  <w:r>
                    <w:rPr>
                      <w:rFonts w:hint="eastAsia"/>
                      <w:b w:val="0"/>
                      <w:bCs w:val="0"/>
                      <w:color w:val="auto"/>
                      <w:lang w:val="en-US" w:eastAsia="zh-CN"/>
                    </w:rPr>
                    <w:t>WBZ600</w:t>
                  </w:r>
                </w:p>
                <w:p w14:paraId="61049765">
                  <w:pPr>
                    <w:pStyle w:val="17"/>
                    <w:bidi w:val="0"/>
                    <w:jc w:val="center"/>
                    <w:rPr>
                      <w:rFonts w:hint="default" w:eastAsia="宋体"/>
                      <w:b w:val="0"/>
                      <w:bCs w:val="0"/>
                      <w:color w:val="auto"/>
                      <w:lang w:val="en-US" w:eastAsia="zh-CN"/>
                    </w:rPr>
                  </w:pPr>
                  <w:r>
                    <w:rPr>
                      <w:rFonts w:hint="eastAsia"/>
                      <w:b w:val="0"/>
                      <w:bCs w:val="0"/>
                      <w:color w:val="auto"/>
                      <w:lang w:val="en-US" w:eastAsia="zh-CN"/>
                    </w:rPr>
                    <w:t>2台</w:t>
                  </w:r>
                </w:p>
              </w:tc>
              <w:tc>
                <w:tcPr>
                  <w:tcW w:w="359" w:type="pct"/>
                  <w:vAlign w:val="center"/>
                </w:tcPr>
                <w:p w14:paraId="08DF16F6">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88</w:t>
                  </w:r>
                </w:p>
              </w:tc>
              <w:tc>
                <w:tcPr>
                  <w:tcW w:w="366" w:type="pct"/>
                  <w:vMerge w:val="continue"/>
                  <w:vAlign w:val="center"/>
                </w:tcPr>
                <w:p w14:paraId="1F1418C9">
                  <w:pPr>
                    <w:pStyle w:val="17"/>
                    <w:bidi w:val="0"/>
                    <w:jc w:val="center"/>
                    <w:rPr>
                      <w:rFonts w:hint="default"/>
                      <w:b w:val="0"/>
                      <w:bCs w:val="0"/>
                      <w:color w:val="auto"/>
                      <w:vertAlign w:val="baseline"/>
                      <w:lang w:val="en-US" w:eastAsia="zh-CN"/>
                    </w:rPr>
                  </w:pPr>
                </w:p>
              </w:tc>
              <w:tc>
                <w:tcPr>
                  <w:tcW w:w="316" w:type="pct"/>
                  <w:vAlign w:val="center"/>
                </w:tcPr>
                <w:p w14:paraId="16D03371">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18.2</w:t>
                  </w:r>
                </w:p>
                <w:p w14:paraId="70B2B272">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71.1</w:t>
                  </w:r>
                </w:p>
                <w:p w14:paraId="0E4FAA44">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1.2</w:t>
                  </w:r>
                </w:p>
              </w:tc>
              <w:tc>
                <w:tcPr>
                  <w:tcW w:w="383" w:type="pct"/>
                  <w:vAlign w:val="center"/>
                </w:tcPr>
                <w:p w14:paraId="078CBFDF">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17.7</w:t>
                  </w:r>
                </w:p>
                <w:p w14:paraId="16EA3046">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66.3</w:t>
                  </w:r>
                </w:p>
                <w:p w14:paraId="2BB13327">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23.1</w:t>
                  </w:r>
                </w:p>
                <w:p w14:paraId="3D1FDC32">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11.9</w:t>
                  </w:r>
                </w:p>
              </w:tc>
              <w:tc>
                <w:tcPr>
                  <w:tcW w:w="384" w:type="pct"/>
                  <w:vAlign w:val="center"/>
                </w:tcPr>
                <w:p w14:paraId="158B48E3">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68.1</w:t>
                  </w:r>
                </w:p>
                <w:p w14:paraId="4E074818">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68.0</w:t>
                  </w:r>
                </w:p>
                <w:p w14:paraId="5559FC35">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68.1</w:t>
                  </w:r>
                </w:p>
                <w:p w14:paraId="313147AB">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68.2</w:t>
                  </w:r>
                </w:p>
              </w:tc>
              <w:tc>
                <w:tcPr>
                  <w:tcW w:w="187" w:type="pct"/>
                  <w:vMerge w:val="continue"/>
                  <w:vAlign w:val="center"/>
                </w:tcPr>
                <w:p w14:paraId="0580E3BF">
                  <w:pPr>
                    <w:pStyle w:val="17"/>
                    <w:bidi w:val="0"/>
                    <w:jc w:val="center"/>
                    <w:rPr>
                      <w:rFonts w:hint="default"/>
                      <w:b w:val="0"/>
                      <w:bCs w:val="0"/>
                      <w:color w:val="auto"/>
                      <w:vertAlign w:val="baseline"/>
                      <w:lang w:val="en-US" w:eastAsia="zh-CN"/>
                    </w:rPr>
                  </w:pPr>
                </w:p>
              </w:tc>
              <w:tc>
                <w:tcPr>
                  <w:tcW w:w="443" w:type="pct"/>
                  <w:vAlign w:val="center"/>
                </w:tcPr>
                <w:p w14:paraId="50A68056">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51.0</w:t>
                  </w:r>
                </w:p>
                <w:p w14:paraId="2B08CF2E">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51.0</w:t>
                  </w:r>
                </w:p>
                <w:p w14:paraId="3C0A06D2">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51.0</w:t>
                  </w:r>
                </w:p>
                <w:p w14:paraId="5A86B4F1">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51.0</w:t>
                  </w:r>
                </w:p>
              </w:tc>
              <w:tc>
                <w:tcPr>
                  <w:tcW w:w="262" w:type="pct"/>
                  <w:vAlign w:val="center"/>
                </w:tcPr>
                <w:p w14:paraId="251EACB1">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17.1</w:t>
                  </w:r>
                </w:p>
                <w:p w14:paraId="76FD8EA5">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17.0</w:t>
                  </w:r>
                </w:p>
                <w:p w14:paraId="671E82C9">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17.1</w:t>
                  </w:r>
                </w:p>
                <w:p w14:paraId="348CA6BB">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17.2</w:t>
                  </w:r>
                </w:p>
              </w:tc>
              <w:tc>
                <w:tcPr>
                  <w:tcW w:w="360" w:type="pct"/>
                  <w:vAlign w:val="center"/>
                </w:tcPr>
                <w:p w14:paraId="48C29B24">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1</w:t>
                  </w:r>
                </w:p>
              </w:tc>
            </w:tr>
            <w:tr w14:paraId="0ACE77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12" w:hRule="atLeast"/>
              </w:trPr>
              <w:tc>
                <w:tcPr>
                  <w:tcW w:w="341" w:type="pct"/>
                  <w:vMerge w:val="continue"/>
                  <w:vAlign w:val="center"/>
                </w:tcPr>
                <w:p w14:paraId="2F874CC8">
                  <w:pPr>
                    <w:pStyle w:val="17"/>
                    <w:bidi w:val="0"/>
                    <w:jc w:val="center"/>
                    <w:rPr>
                      <w:rFonts w:hint="eastAsia"/>
                      <w:b w:val="0"/>
                      <w:bCs w:val="0"/>
                      <w:color w:val="auto"/>
                      <w:lang w:val="en-US" w:eastAsia="zh-CN"/>
                    </w:rPr>
                  </w:pPr>
                </w:p>
              </w:tc>
              <w:tc>
                <w:tcPr>
                  <w:tcW w:w="307" w:type="pct"/>
                  <w:vAlign w:val="center"/>
                </w:tcPr>
                <w:p w14:paraId="32093550">
                  <w:pPr>
                    <w:pStyle w:val="17"/>
                    <w:bidi w:val="0"/>
                    <w:jc w:val="center"/>
                    <w:rPr>
                      <w:rFonts w:hint="default"/>
                      <w:b w:val="0"/>
                      <w:bCs w:val="0"/>
                      <w:color w:val="auto"/>
                      <w:lang w:val="en-US" w:eastAsia="zh-CN"/>
                    </w:rPr>
                  </w:pPr>
                  <w:r>
                    <w:rPr>
                      <w:rFonts w:hint="eastAsia"/>
                      <w:b w:val="0"/>
                      <w:bCs w:val="0"/>
                      <w:color w:val="auto"/>
                      <w:lang w:val="en-US" w:eastAsia="zh-CN"/>
                    </w:rPr>
                    <w:t>四仓配料机</w:t>
                  </w:r>
                </w:p>
              </w:tc>
              <w:tc>
                <w:tcPr>
                  <w:tcW w:w="1288" w:type="pct"/>
                  <w:vAlign w:val="center"/>
                </w:tcPr>
                <w:p w14:paraId="1B21608B">
                  <w:pPr>
                    <w:pStyle w:val="17"/>
                    <w:bidi w:val="0"/>
                    <w:jc w:val="center"/>
                    <w:rPr>
                      <w:rFonts w:hint="default"/>
                      <w:b w:val="0"/>
                      <w:bCs w:val="0"/>
                      <w:color w:val="auto"/>
                      <w:lang w:val="en-US" w:eastAsia="zh-CN"/>
                    </w:rPr>
                  </w:pPr>
                  <w:r>
                    <w:rPr>
                      <w:rFonts w:hint="eastAsia"/>
                      <w:b w:val="0"/>
                      <w:bCs w:val="0"/>
                      <w:color w:val="auto"/>
                      <w:lang w:val="en-US" w:eastAsia="zh-CN"/>
                    </w:rPr>
                    <w:t>配料机皮带1000mm裙边带，电机4kW，振动器0.55kW</w:t>
                  </w:r>
                </w:p>
                <w:p w14:paraId="2BD08333">
                  <w:pPr>
                    <w:pStyle w:val="17"/>
                    <w:bidi w:val="0"/>
                    <w:jc w:val="center"/>
                    <w:rPr>
                      <w:rFonts w:hint="default"/>
                      <w:b w:val="0"/>
                      <w:bCs w:val="0"/>
                      <w:color w:val="auto"/>
                      <w:lang w:val="en-US" w:eastAsia="zh-CN"/>
                    </w:rPr>
                  </w:pPr>
                  <w:r>
                    <w:rPr>
                      <w:rFonts w:hint="eastAsia"/>
                      <w:b w:val="0"/>
                      <w:bCs w:val="0"/>
                      <w:color w:val="auto"/>
                      <w:lang w:val="en-US" w:eastAsia="zh-CN"/>
                    </w:rPr>
                    <w:t>2台</w:t>
                  </w:r>
                </w:p>
              </w:tc>
              <w:tc>
                <w:tcPr>
                  <w:tcW w:w="359" w:type="pct"/>
                  <w:vAlign w:val="center"/>
                </w:tcPr>
                <w:p w14:paraId="4DFEC07F">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88</w:t>
                  </w:r>
                </w:p>
              </w:tc>
              <w:tc>
                <w:tcPr>
                  <w:tcW w:w="366" w:type="pct"/>
                  <w:vMerge w:val="continue"/>
                  <w:vAlign w:val="center"/>
                </w:tcPr>
                <w:p w14:paraId="4A3702ED">
                  <w:pPr>
                    <w:pStyle w:val="17"/>
                    <w:bidi w:val="0"/>
                    <w:jc w:val="center"/>
                    <w:rPr>
                      <w:rFonts w:hint="eastAsia"/>
                      <w:b w:val="0"/>
                      <w:bCs w:val="0"/>
                      <w:color w:val="auto"/>
                      <w:vertAlign w:val="baseline"/>
                      <w:lang w:val="en-US" w:eastAsia="zh-CN"/>
                    </w:rPr>
                  </w:pPr>
                </w:p>
              </w:tc>
              <w:tc>
                <w:tcPr>
                  <w:tcW w:w="316" w:type="pct"/>
                  <w:vAlign w:val="center"/>
                </w:tcPr>
                <w:p w14:paraId="126CC9E9">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18.5</w:t>
                  </w:r>
                </w:p>
                <w:p w14:paraId="42CAF44E">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61.8</w:t>
                  </w:r>
                </w:p>
                <w:p w14:paraId="09D9A806">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1.2</w:t>
                  </w:r>
                </w:p>
              </w:tc>
              <w:tc>
                <w:tcPr>
                  <w:tcW w:w="383" w:type="pct"/>
                  <w:vAlign w:val="center"/>
                </w:tcPr>
                <w:p w14:paraId="24D0BDAC">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20.7</w:t>
                  </w:r>
                </w:p>
                <w:p w14:paraId="262AA16F">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57.3</w:t>
                  </w:r>
                </w:p>
                <w:p w14:paraId="1CC20B1F">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20.3</w:t>
                  </w:r>
                </w:p>
                <w:p w14:paraId="3BF76559">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20.9</w:t>
                  </w:r>
                </w:p>
              </w:tc>
              <w:tc>
                <w:tcPr>
                  <w:tcW w:w="384" w:type="pct"/>
                  <w:vAlign w:val="center"/>
                </w:tcPr>
                <w:p w14:paraId="1425542F">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68.1</w:t>
                  </w:r>
                </w:p>
                <w:p w14:paraId="173CD91B">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68.0</w:t>
                  </w:r>
                </w:p>
                <w:p w14:paraId="38258272">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68.1</w:t>
                  </w:r>
                </w:p>
                <w:p w14:paraId="40F03D36">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68.1</w:t>
                  </w:r>
                </w:p>
              </w:tc>
              <w:tc>
                <w:tcPr>
                  <w:tcW w:w="187" w:type="pct"/>
                  <w:vMerge w:val="continue"/>
                  <w:vAlign w:val="center"/>
                </w:tcPr>
                <w:p w14:paraId="391D85C5">
                  <w:pPr>
                    <w:pStyle w:val="17"/>
                    <w:bidi w:val="0"/>
                    <w:jc w:val="center"/>
                    <w:rPr>
                      <w:rFonts w:hint="eastAsia"/>
                      <w:b w:val="0"/>
                      <w:bCs w:val="0"/>
                      <w:color w:val="auto"/>
                      <w:vertAlign w:val="baseline"/>
                      <w:lang w:val="en-US" w:eastAsia="zh-CN"/>
                    </w:rPr>
                  </w:pPr>
                </w:p>
              </w:tc>
              <w:tc>
                <w:tcPr>
                  <w:tcW w:w="443" w:type="pct"/>
                  <w:vAlign w:val="center"/>
                </w:tcPr>
                <w:p w14:paraId="01F9F040">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51.0</w:t>
                  </w:r>
                </w:p>
                <w:p w14:paraId="63B1577A">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51.0</w:t>
                  </w:r>
                </w:p>
                <w:p w14:paraId="33C69629">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51.0</w:t>
                  </w:r>
                </w:p>
                <w:p w14:paraId="63A30FF8">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51.0</w:t>
                  </w:r>
                </w:p>
              </w:tc>
              <w:tc>
                <w:tcPr>
                  <w:tcW w:w="262" w:type="pct"/>
                  <w:vAlign w:val="center"/>
                </w:tcPr>
                <w:p w14:paraId="1B6B07E9">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17.1</w:t>
                  </w:r>
                </w:p>
                <w:p w14:paraId="247D4DD0">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17.0</w:t>
                  </w:r>
                </w:p>
                <w:p w14:paraId="19194A84">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17.1</w:t>
                  </w:r>
                </w:p>
                <w:p w14:paraId="74F60965">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17.1</w:t>
                  </w:r>
                </w:p>
              </w:tc>
              <w:tc>
                <w:tcPr>
                  <w:tcW w:w="360" w:type="pct"/>
                  <w:vAlign w:val="center"/>
                </w:tcPr>
                <w:p w14:paraId="39812A78">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1</w:t>
                  </w:r>
                </w:p>
              </w:tc>
            </w:tr>
            <w:tr w14:paraId="5FEA71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12" w:hRule="atLeast"/>
              </w:trPr>
              <w:tc>
                <w:tcPr>
                  <w:tcW w:w="341" w:type="pct"/>
                  <w:vMerge w:val="continue"/>
                  <w:vAlign w:val="center"/>
                </w:tcPr>
                <w:p w14:paraId="3A86E67D">
                  <w:pPr>
                    <w:pStyle w:val="17"/>
                    <w:bidi w:val="0"/>
                    <w:jc w:val="center"/>
                    <w:rPr>
                      <w:rFonts w:hint="eastAsia"/>
                      <w:b w:val="0"/>
                      <w:bCs w:val="0"/>
                      <w:color w:val="auto"/>
                      <w:lang w:val="en-US" w:eastAsia="zh-CN"/>
                    </w:rPr>
                  </w:pPr>
                  <w:bookmarkStart w:id="442" w:name="_Toc14295"/>
                  <w:bookmarkStart w:id="443" w:name="_Toc1090"/>
                  <w:bookmarkStart w:id="444" w:name="_Toc10931"/>
                </w:p>
              </w:tc>
              <w:tc>
                <w:tcPr>
                  <w:tcW w:w="307" w:type="pct"/>
                  <w:vAlign w:val="center"/>
                </w:tcPr>
                <w:p w14:paraId="42D5D8DD">
                  <w:pPr>
                    <w:pStyle w:val="17"/>
                    <w:bidi w:val="0"/>
                    <w:jc w:val="center"/>
                    <w:rPr>
                      <w:rFonts w:hint="default"/>
                      <w:b w:val="0"/>
                      <w:bCs w:val="0"/>
                      <w:color w:val="auto"/>
                      <w:lang w:val="en-US" w:eastAsia="zh-CN"/>
                    </w:rPr>
                  </w:pPr>
                  <w:r>
                    <w:rPr>
                      <w:rFonts w:hint="eastAsia"/>
                      <w:b w:val="0"/>
                      <w:bCs w:val="0"/>
                      <w:color w:val="auto"/>
                      <w:lang w:val="en-US" w:eastAsia="zh-CN"/>
                    </w:rPr>
                    <w:t>进出料皮带运输机</w:t>
                  </w:r>
                </w:p>
              </w:tc>
              <w:tc>
                <w:tcPr>
                  <w:tcW w:w="1288" w:type="pct"/>
                  <w:vAlign w:val="center"/>
                </w:tcPr>
                <w:p w14:paraId="44D6D68B">
                  <w:pPr>
                    <w:pStyle w:val="17"/>
                    <w:bidi w:val="0"/>
                    <w:jc w:val="center"/>
                    <w:rPr>
                      <w:rFonts w:hint="eastAsia"/>
                      <w:b w:val="0"/>
                      <w:bCs w:val="0"/>
                      <w:color w:val="auto"/>
                      <w:lang w:val="en-US" w:eastAsia="zh-CN"/>
                    </w:rPr>
                  </w:pPr>
                  <w:r>
                    <w:rPr>
                      <w:rFonts w:hint="eastAsia"/>
                      <w:b w:val="0"/>
                      <w:bCs w:val="0"/>
                      <w:color w:val="auto"/>
                      <w:lang w:val="en-US" w:eastAsia="zh-CN"/>
                    </w:rPr>
                    <w:t>输送带1000mm平皮带，电动滚筒15kW、18.5kW，带速2.0m/s</w:t>
                  </w:r>
                </w:p>
                <w:p w14:paraId="0866D8BA">
                  <w:pPr>
                    <w:pStyle w:val="17"/>
                    <w:bidi w:val="0"/>
                    <w:jc w:val="center"/>
                    <w:rPr>
                      <w:rFonts w:hint="default"/>
                      <w:b w:val="0"/>
                      <w:bCs w:val="0"/>
                      <w:color w:val="auto"/>
                      <w:lang w:val="en-US" w:eastAsia="zh-CN"/>
                    </w:rPr>
                  </w:pPr>
                  <w:r>
                    <w:rPr>
                      <w:rFonts w:hint="eastAsia"/>
                      <w:b w:val="0"/>
                      <w:bCs w:val="0"/>
                      <w:color w:val="auto"/>
                      <w:lang w:val="en-US" w:eastAsia="zh-CN"/>
                    </w:rPr>
                    <w:t>2台</w:t>
                  </w:r>
                </w:p>
              </w:tc>
              <w:tc>
                <w:tcPr>
                  <w:tcW w:w="359" w:type="pct"/>
                  <w:vAlign w:val="center"/>
                </w:tcPr>
                <w:p w14:paraId="026FD665">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78</w:t>
                  </w:r>
                </w:p>
              </w:tc>
              <w:tc>
                <w:tcPr>
                  <w:tcW w:w="366" w:type="pct"/>
                  <w:vMerge w:val="continue"/>
                  <w:vAlign w:val="center"/>
                </w:tcPr>
                <w:p w14:paraId="171640AB">
                  <w:pPr>
                    <w:pStyle w:val="17"/>
                    <w:bidi w:val="0"/>
                    <w:jc w:val="center"/>
                    <w:rPr>
                      <w:rFonts w:hint="eastAsia"/>
                      <w:b w:val="0"/>
                      <w:bCs w:val="0"/>
                      <w:color w:val="auto"/>
                      <w:vertAlign w:val="baseline"/>
                      <w:lang w:val="en-US" w:eastAsia="zh-CN"/>
                    </w:rPr>
                  </w:pPr>
                </w:p>
              </w:tc>
              <w:tc>
                <w:tcPr>
                  <w:tcW w:w="316" w:type="pct"/>
                  <w:vAlign w:val="center"/>
                </w:tcPr>
                <w:p w14:paraId="40962F9D">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19.4</w:t>
                  </w:r>
                </w:p>
                <w:p w14:paraId="569F5171">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53.2</w:t>
                  </w:r>
                </w:p>
                <w:p w14:paraId="001F3E8C">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1.2</w:t>
                  </w:r>
                </w:p>
              </w:tc>
              <w:tc>
                <w:tcPr>
                  <w:tcW w:w="383" w:type="pct"/>
                  <w:vAlign w:val="center"/>
                </w:tcPr>
                <w:p w14:paraId="3371DF0A">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23.0</w:t>
                  </w:r>
                </w:p>
                <w:p w14:paraId="78397C95">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48.8</w:t>
                  </w:r>
                </w:p>
                <w:p w14:paraId="054472A2">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18.2</w:t>
                  </w:r>
                </w:p>
                <w:p w14:paraId="10DE6BDD">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29.4</w:t>
                  </w:r>
                </w:p>
              </w:tc>
              <w:tc>
                <w:tcPr>
                  <w:tcW w:w="384" w:type="pct"/>
                  <w:vAlign w:val="center"/>
                </w:tcPr>
                <w:p w14:paraId="23388545">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58.1</w:t>
                  </w:r>
                </w:p>
                <w:p w14:paraId="469EBB40">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58.0</w:t>
                  </w:r>
                </w:p>
                <w:p w14:paraId="11D82FEB">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58.1</w:t>
                  </w:r>
                </w:p>
                <w:p w14:paraId="393668E1">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58.0</w:t>
                  </w:r>
                </w:p>
              </w:tc>
              <w:tc>
                <w:tcPr>
                  <w:tcW w:w="187" w:type="pct"/>
                  <w:vMerge w:val="continue"/>
                  <w:vAlign w:val="center"/>
                </w:tcPr>
                <w:p w14:paraId="50C33DEF">
                  <w:pPr>
                    <w:pStyle w:val="17"/>
                    <w:bidi w:val="0"/>
                    <w:jc w:val="center"/>
                    <w:rPr>
                      <w:rFonts w:hint="eastAsia"/>
                      <w:b w:val="0"/>
                      <w:bCs w:val="0"/>
                      <w:color w:val="auto"/>
                      <w:vertAlign w:val="baseline"/>
                      <w:lang w:val="en-US" w:eastAsia="zh-CN"/>
                    </w:rPr>
                  </w:pPr>
                </w:p>
              </w:tc>
              <w:tc>
                <w:tcPr>
                  <w:tcW w:w="443" w:type="pct"/>
                  <w:vAlign w:val="center"/>
                </w:tcPr>
                <w:p w14:paraId="37D1916A">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51.0</w:t>
                  </w:r>
                </w:p>
                <w:p w14:paraId="445015DB">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51.0</w:t>
                  </w:r>
                </w:p>
                <w:p w14:paraId="4FFB86F8">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51.0</w:t>
                  </w:r>
                </w:p>
                <w:p w14:paraId="2D90EE18">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51.0</w:t>
                  </w:r>
                </w:p>
              </w:tc>
              <w:tc>
                <w:tcPr>
                  <w:tcW w:w="262" w:type="pct"/>
                  <w:vAlign w:val="center"/>
                </w:tcPr>
                <w:p w14:paraId="1D5403CA">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7.1</w:t>
                  </w:r>
                </w:p>
                <w:p w14:paraId="11F2B536">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7.0</w:t>
                  </w:r>
                </w:p>
                <w:p w14:paraId="3F4C6AE2">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7.1</w:t>
                  </w:r>
                </w:p>
                <w:p w14:paraId="41B8870F">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7.0</w:t>
                  </w:r>
                </w:p>
              </w:tc>
              <w:tc>
                <w:tcPr>
                  <w:tcW w:w="360" w:type="pct"/>
                  <w:vAlign w:val="center"/>
                </w:tcPr>
                <w:p w14:paraId="2B9359A3">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1</w:t>
                  </w:r>
                </w:p>
              </w:tc>
            </w:tr>
            <w:tr w14:paraId="2E4AA1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12" w:hRule="atLeast"/>
              </w:trPr>
              <w:tc>
                <w:tcPr>
                  <w:tcW w:w="341" w:type="pct"/>
                  <w:vMerge w:val="continue"/>
                  <w:vAlign w:val="center"/>
                </w:tcPr>
                <w:p w14:paraId="19FE5798">
                  <w:pPr>
                    <w:pStyle w:val="17"/>
                    <w:bidi w:val="0"/>
                    <w:jc w:val="center"/>
                    <w:rPr>
                      <w:rFonts w:hint="eastAsia"/>
                      <w:b w:val="0"/>
                      <w:bCs w:val="0"/>
                      <w:color w:val="auto"/>
                      <w:lang w:val="en-US" w:eastAsia="zh-CN"/>
                    </w:rPr>
                  </w:pPr>
                </w:p>
              </w:tc>
              <w:tc>
                <w:tcPr>
                  <w:tcW w:w="307" w:type="pct"/>
                  <w:vAlign w:val="center"/>
                </w:tcPr>
                <w:p w14:paraId="16DC5CE5">
                  <w:pPr>
                    <w:pStyle w:val="17"/>
                    <w:bidi w:val="0"/>
                    <w:jc w:val="center"/>
                    <w:rPr>
                      <w:rFonts w:hint="default"/>
                      <w:b w:val="0"/>
                      <w:bCs w:val="0"/>
                      <w:color w:val="auto"/>
                      <w:lang w:val="en-US" w:eastAsia="zh-CN"/>
                    </w:rPr>
                  </w:pPr>
                  <w:r>
                    <w:rPr>
                      <w:rFonts w:hint="eastAsia"/>
                      <w:b w:val="0"/>
                      <w:bCs w:val="0"/>
                      <w:color w:val="auto"/>
                      <w:lang w:val="en-US" w:eastAsia="zh-CN"/>
                    </w:rPr>
                    <w:t>水泵</w:t>
                  </w:r>
                </w:p>
              </w:tc>
              <w:tc>
                <w:tcPr>
                  <w:tcW w:w="1288" w:type="pct"/>
                  <w:vAlign w:val="center"/>
                </w:tcPr>
                <w:p w14:paraId="756B1F8D">
                  <w:pPr>
                    <w:pStyle w:val="17"/>
                    <w:bidi w:val="0"/>
                    <w:jc w:val="center"/>
                    <w:rPr>
                      <w:rFonts w:hint="default"/>
                      <w:b w:val="0"/>
                      <w:bCs w:val="0"/>
                      <w:color w:val="auto"/>
                      <w:lang w:val="en-US" w:eastAsia="zh-CN"/>
                    </w:rPr>
                  </w:pPr>
                  <w:r>
                    <w:rPr>
                      <w:rFonts w:hint="eastAsia"/>
                      <w:b w:val="0"/>
                      <w:bCs w:val="0"/>
                      <w:color w:val="auto"/>
                      <w:lang w:val="en-US" w:eastAsia="zh-CN"/>
                    </w:rPr>
                    <w:t>3kW</w:t>
                  </w:r>
                </w:p>
                <w:p w14:paraId="229BA8CD">
                  <w:pPr>
                    <w:pStyle w:val="17"/>
                    <w:bidi w:val="0"/>
                    <w:jc w:val="center"/>
                    <w:rPr>
                      <w:rFonts w:hint="default"/>
                      <w:b w:val="0"/>
                      <w:bCs w:val="0"/>
                      <w:color w:val="auto"/>
                      <w:lang w:val="en-US" w:eastAsia="zh-CN"/>
                    </w:rPr>
                  </w:pPr>
                  <w:r>
                    <w:rPr>
                      <w:rFonts w:hint="eastAsia"/>
                      <w:b w:val="0"/>
                      <w:bCs w:val="0"/>
                      <w:color w:val="auto"/>
                      <w:lang w:val="en-US" w:eastAsia="zh-CN"/>
                    </w:rPr>
                    <w:t>2台</w:t>
                  </w:r>
                </w:p>
              </w:tc>
              <w:tc>
                <w:tcPr>
                  <w:tcW w:w="359" w:type="pct"/>
                  <w:vAlign w:val="center"/>
                </w:tcPr>
                <w:p w14:paraId="440B4A0C">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88</w:t>
                  </w:r>
                </w:p>
              </w:tc>
              <w:tc>
                <w:tcPr>
                  <w:tcW w:w="366" w:type="pct"/>
                  <w:vMerge w:val="continue"/>
                  <w:vAlign w:val="center"/>
                </w:tcPr>
                <w:p w14:paraId="622ECCC0">
                  <w:pPr>
                    <w:pStyle w:val="17"/>
                    <w:bidi w:val="0"/>
                    <w:jc w:val="center"/>
                    <w:rPr>
                      <w:rFonts w:hint="eastAsia"/>
                      <w:b w:val="0"/>
                      <w:bCs w:val="0"/>
                      <w:color w:val="auto"/>
                      <w:vertAlign w:val="baseline"/>
                      <w:lang w:val="en-US" w:eastAsia="zh-CN"/>
                    </w:rPr>
                  </w:pPr>
                </w:p>
              </w:tc>
              <w:tc>
                <w:tcPr>
                  <w:tcW w:w="316" w:type="pct"/>
                  <w:vAlign w:val="center"/>
                </w:tcPr>
                <w:p w14:paraId="50941308">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20.1</w:t>
                  </w:r>
                </w:p>
                <w:p w14:paraId="75958A2F">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45.5</w:t>
                  </w:r>
                </w:p>
                <w:p w14:paraId="0C60411A">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1.2</w:t>
                  </w:r>
                </w:p>
              </w:tc>
              <w:tc>
                <w:tcPr>
                  <w:tcW w:w="383" w:type="pct"/>
                  <w:vAlign w:val="center"/>
                </w:tcPr>
                <w:p w14:paraId="6BEB3450">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25.1</w:t>
                  </w:r>
                </w:p>
                <w:p w14:paraId="43A92337">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41.2</w:t>
                  </w:r>
                </w:p>
                <w:p w14:paraId="70754671">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16.3</w:t>
                  </w:r>
                </w:p>
                <w:p w14:paraId="37A18A20">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36.9</w:t>
                  </w:r>
                </w:p>
              </w:tc>
              <w:tc>
                <w:tcPr>
                  <w:tcW w:w="384" w:type="pct"/>
                  <w:vAlign w:val="center"/>
                </w:tcPr>
                <w:p w14:paraId="7DA57BD1">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68.1</w:t>
                  </w:r>
                </w:p>
                <w:p w14:paraId="2AA11499">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68.0</w:t>
                  </w:r>
                </w:p>
                <w:p w14:paraId="234DB176">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68.1</w:t>
                  </w:r>
                </w:p>
                <w:p w14:paraId="1ECD2D97">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68.0</w:t>
                  </w:r>
                </w:p>
              </w:tc>
              <w:tc>
                <w:tcPr>
                  <w:tcW w:w="187" w:type="pct"/>
                  <w:vMerge w:val="continue"/>
                  <w:vAlign w:val="center"/>
                </w:tcPr>
                <w:p w14:paraId="3635B3F1">
                  <w:pPr>
                    <w:pStyle w:val="17"/>
                    <w:bidi w:val="0"/>
                    <w:jc w:val="center"/>
                    <w:rPr>
                      <w:rFonts w:hint="eastAsia"/>
                      <w:b w:val="0"/>
                      <w:bCs w:val="0"/>
                      <w:color w:val="auto"/>
                      <w:vertAlign w:val="baseline"/>
                      <w:lang w:val="en-US" w:eastAsia="zh-CN"/>
                    </w:rPr>
                  </w:pPr>
                </w:p>
              </w:tc>
              <w:tc>
                <w:tcPr>
                  <w:tcW w:w="443" w:type="pct"/>
                  <w:vAlign w:val="center"/>
                </w:tcPr>
                <w:p w14:paraId="3ED1EFFA">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51.0</w:t>
                  </w:r>
                </w:p>
                <w:p w14:paraId="5CBE1B33">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51.0</w:t>
                  </w:r>
                </w:p>
                <w:p w14:paraId="00D02BC2">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51.0</w:t>
                  </w:r>
                </w:p>
                <w:p w14:paraId="4694F6BF">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51.0</w:t>
                  </w:r>
                </w:p>
              </w:tc>
              <w:tc>
                <w:tcPr>
                  <w:tcW w:w="262" w:type="pct"/>
                  <w:vAlign w:val="center"/>
                </w:tcPr>
                <w:p w14:paraId="1B77D553">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17.1</w:t>
                  </w:r>
                </w:p>
                <w:p w14:paraId="15F9091E">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17.0</w:t>
                  </w:r>
                </w:p>
                <w:p w14:paraId="27B2F886">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17.1</w:t>
                  </w:r>
                </w:p>
                <w:p w14:paraId="5889145D">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17.0</w:t>
                  </w:r>
                </w:p>
              </w:tc>
              <w:tc>
                <w:tcPr>
                  <w:tcW w:w="360" w:type="pct"/>
                  <w:vAlign w:val="center"/>
                </w:tcPr>
                <w:p w14:paraId="0C2D3DE1">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1</w:t>
                  </w:r>
                </w:p>
              </w:tc>
            </w:tr>
            <w:tr w14:paraId="35A39E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12" w:hRule="atLeast"/>
              </w:trPr>
              <w:tc>
                <w:tcPr>
                  <w:tcW w:w="341" w:type="pct"/>
                  <w:vMerge w:val="continue"/>
                  <w:vAlign w:val="center"/>
                </w:tcPr>
                <w:p w14:paraId="76174048">
                  <w:pPr>
                    <w:pStyle w:val="17"/>
                    <w:bidi w:val="0"/>
                    <w:jc w:val="center"/>
                    <w:rPr>
                      <w:rFonts w:hint="eastAsia"/>
                      <w:b w:val="0"/>
                      <w:bCs w:val="0"/>
                      <w:color w:val="auto"/>
                      <w:lang w:val="en-US" w:eastAsia="zh-CN"/>
                    </w:rPr>
                  </w:pPr>
                </w:p>
              </w:tc>
              <w:tc>
                <w:tcPr>
                  <w:tcW w:w="307" w:type="pct"/>
                  <w:vAlign w:val="center"/>
                </w:tcPr>
                <w:p w14:paraId="2938D52C">
                  <w:pPr>
                    <w:pStyle w:val="17"/>
                    <w:bidi w:val="0"/>
                    <w:ind w:firstLine="0" w:firstLineChars="0"/>
                    <w:jc w:val="center"/>
                    <w:rPr>
                      <w:rFonts w:hint="eastAsia" w:ascii="Times New Roman" w:hAnsi="Times New Roman" w:eastAsia="宋体" w:cs="Times New Roman"/>
                      <w:b w:val="0"/>
                      <w:bCs w:val="0"/>
                      <w:color w:val="auto"/>
                      <w:kern w:val="0"/>
                      <w:sz w:val="21"/>
                      <w:szCs w:val="21"/>
                      <w:lang w:val="en-US" w:eastAsia="zh-CN" w:bidi="ar-SA"/>
                    </w:rPr>
                  </w:pPr>
                  <w:r>
                    <w:rPr>
                      <w:rFonts w:hint="eastAsia"/>
                      <w:b w:val="0"/>
                      <w:bCs w:val="0"/>
                      <w:color w:val="auto"/>
                      <w:lang w:val="en-US" w:eastAsia="zh-CN"/>
                    </w:rPr>
                    <w:t>搅拌配料</w:t>
                  </w:r>
                </w:p>
              </w:tc>
              <w:tc>
                <w:tcPr>
                  <w:tcW w:w="1288" w:type="pct"/>
                  <w:vAlign w:val="center"/>
                </w:tcPr>
                <w:p w14:paraId="6F6524C1">
                  <w:pPr>
                    <w:pStyle w:val="17"/>
                    <w:bidi w:val="0"/>
                    <w:ind w:firstLine="0" w:firstLineChars="0"/>
                    <w:jc w:val="center"/>
                    <w:rPr>
                      <w:rFonts w:hint="default" w:ascii="Times New Roman" w:hAnsi="Times New Roman" w:eastAsia="宋体" w:cs="Times New Roman"/>
                      <w:b w:val="0"/>
                      <w:bCs w:val="0"/>
                      <w:color w:val="auto"/>
                      <w:kern w:val="0"/>
                      <w:sz w:val="21"/>
                      <w:szCs w:val="21"/>
                      <w:lang w:val="en-US" w:eastAsia="zh-CN" w:bidi="ar-SA"/>
                    </w:rPr>
                  </w:pPr>
                  <w:r>
                    <w:rPr>
                      <w:rFonts w:hint="eastAsia" w:cs="Times New Roman"/>
                      <w:b w:val="0"/>
                      <w:bCs w:val="0"/>
                      <w:color w:val="auto"/>
                      <w:kern w:val="0"/>
                      <w:sz w:val="21"/>
                      <w:szCs w:val="21"/>
                      <w:lang w:val="en-US" w:eastAsia="zh-CN" w:bidi="ar-SA"/>
                    </w:rPr>
                    <w:t>/</w:t>
                  </w:r>
                </w:p>
              </w:tc>
              <w:tc>
                <w:tcPr>
                  <w:tcW w:w="359" w:type="pct"/>
                  <w:vAlign w:val="center"/>
                </w:tcPr>
                <w:p w14:paraId="2B2CCEE3">
                  <w:pPr>
                    <w:pStyle w:val="17"/>
                    <w:bidi w:val="0"/>
                    <w:ind w:firstLine="0" w:firstLineChars="0"/>
                    <w:jc w:val="center"/>
                    <w:rPr>
                      <w:rFonts w:hint="eastAsia" w:ascii="Times New Roman" w:hAnsi="Times New Roman" w:eastAsia="宋体" w:cs="Times New Roman"/>
                      <w:b w:val="0"/>
                      <w:bCs w:val="0"/>
                      <w:color w:val="auto"/>
                      <w:kern w:val="0"/>
                      <w:sz w:val="21"/>
                      <w:szCs w:val="21"/>
                      <w:vertAlign w:val="baseline"/>
                      <w:lang w:val="en-US" w:eastAsia="zh-CN" w:bidi="ar-SA"/>
                    </w:rPr>
                  </w:pPr>
                  <w:r>
                    <w:rPr>
                      <w:rFonts w:hint="eastAsia"/>
                      <w:b w:val="0"/>
                      <w:bCs w:val="0"/>
                      <w:color w:val="auto"/>
                      <w:vertAlign w:val="baseline"/>
                      <w:lang w:val="en-US" w:eastAsia="zh-CN"/>
                    </w:rPr>
                    <w:t>91</w:t>
                  </w:r>
                </w:p>
              </w:tc>
              <w:tc>
                <w:tcPr>
                  <w:tcW w:w="366" w:type="pct"/>
                  <w:vMerge w:val="continue"/>
                  <w:vAlign w:val="center"/>
                </w:tcPr>
                <w:p w14:paraId="23CEEBE1">
                  <w:pPr>
                    <w:pStyle w:val="17"/>
                    <w:bidi w:val="0"/>
                    <w:ind w:firstLine="0" w:firstLineChars="0"/>
                    <w:jc w:val="center"/>
                    <w:rPr>
                      <w:rFonts w:hint="eastAsia" w:ascii="Times New Roman" w:hAnsi="Times New Roman" w:eastAsia="宋体" w:cs="Times New Roman"/>
                      <w:b w:val="0"/>
                      <w:bCs w:val="0"/>
                      <w:color w:val="auto"/>
                      <w:kern w:val="0"/>
                      <w:sz w:val="21"/>
                      <w:szCs w:val="21"/>
                      <w:vertAlign w:val="baseline"/>
                      <w:lang w:val="en-US" w:eastAsia="zh-CN" w:bidi="ar-SA"/>
                    </w:rPr>
                  </w:pPr>
                </w:p>
              </w:tc>
              <w:tc>
                <w:tcPr>
                  <w:tcW w:w="316" w:type="pct"/>
                  <w:vAlign w:val="center"/>
                </w:tcPr>
                <w:p w14:paraId="6D40CF9C">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34.9</w:t>
                  </w:r>
                </w:p>
                <w:p w14:paraId="1E5433D2">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21.8</w:t>
                  </w:r>
                </w:p>
                <w:p w14:paraId="1D3F0AAD">
                  <w:pPr>
                    <w:pStyle w:val="17"/>
                    <w:bidi w:val="0"/>
                    <w:ind w:firstLine="0" w:firstLineChars="0"/>
                    <w:jc w:val="center"/>
                    <w:rPr>
                      <w:rFonts w:hint="eastAsia" w:ascii="Times New Roman" w:hAnsi="Times New Roman" w:eastAsia="宋体" w:cs="Times New Roman"/>
                      <w:b w:val="0"/>
                      <w:bCs w:val="0"/>
                      <w:color w:val="auto"/>
                      <w:kern w:val="0"/>
                      <w:sz w:val="21"/>
                      <w:szCs w:val="21"/>
                      <w:vertAlign w:val="baseline"/>
                      <w:lang w:val="en-US" w:eastAsia="zh-CN" w:bidi="ar-SA"/>
                    </w:rPr>
                  </w:pPr>
                  <w:r>
                    <w:rPr>
                      <w:rFonts w:hint="eastAsia"/>
                      <w:b w:val="0"/>
                      <w:bCs w:val="0"/>
                      <w:color w:val="auto"/>
                      <w:vertAlign w:val="baseline"/>
                      <w:lang w:val="en-US" w:eastAsia="zh-CN"/>
                    </w:rPr>
                    <w:t>1.2</w:t>
                  </w:r>
                </w:p>
              </w:tc>
              <w:tc>
                <w:tcPr>
                  <w:tcW w:w="383" w:type="pct"/>
                  <w:vAlign w:val="center"/>
                </w:tcPr>
                <w:p w14:paraId="0AFAFDA9">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19.8</w:t>
                  </w:r>
                </w:p>
                <w:p w14:paraId="5A89669A">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14.2</w:t>
                  </w:r>
                </w:p>
                <w:p w14:paraId="489A0369">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22.2</w:t>
                  </w:r>
                </w:p>
                <w:p w14:paraId="15615367">
                  <w:pPr>
                    <w:pStyle w:val="17"/>
                    <w:bidi w:val="0"/>
                    <w:ind w:firstLine="0" w:firstLineChars="0"/>
                    <w:jc w:val="center"/>
                    <w:rPr>
                      <w:rFonts w:hint="eastAsia" w:ascii="Times New Roman" w:hAnsi="Times New Roman" w:eastAsia="宋体" w:cs="Times New Roman"/>
                      <w:b w:val="0"/>
                      <w:bCs w:val="0"/>
                      <w:color w:val="auto"/>
                      <w:kern w:val="0"/>
                      <w:sz w:val="21"/>
                      <w:szCs w:val="21"/>
                      <w:vertAlign w:val="baseline"/>
                      <w:lang w:val="en-US" w:eastAsia="zh-CN" w:bidi="ar-SA"/>
                    </w:rPr>
                  </w:pPr>
                  <w:r>
                    <w:rPr>
                      <w:rFonts w:hint="eastAsia"/>
                      <w:b w:val="0"/>
                      <w:bCs w:val="0"/>
                      <w:color w:val="auto"/>
                      <w:vertAlign w:val="baseline"/>
                      <w:lang w:val="en-US" w:eastAsia="zh-CN"/>
                    </w:rPr>
                    <w:t>63.9</w:t>
                  </w:r>
                </w:p>
              </w:tc>
              <w:tc>
                <w:tcPr>
                  <w:tcW w:w="384" w:type="pct"/>
                  <w:vAlign w:val="center"/>
                </w:tcPr>
                <w:p w14:paraId="59CE49F8">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71.1</w:t>
                  </w:r>
                </w:p>
                <w:p w14:paraId="4E1748A7">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71.2</w:t>
                  </w:r>
                </w:p>
                <w:p w14:paraId="50159C63">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71.1</w:t>
                  </w:r>
                </w:p>
                <w:p w14:paraId="059C6301">
                  <w:pPr>
                    <w:pStyle w:val="17"/>
                    <w:bidi w:val="0"/>
                    <w:ind w:firstLine="0" w:firstLineChars="0"/>
                    <w:jc w:val="center"/>
                    <w:rPr>
                      <w:rFonts w:hint="eastAsia" w:ascii="Times New Roman" w:hAnsi="Times New Roman" w:eastAsia="宋体" w:cs="Times New Roman"/>
                      <w:b w:val="0"/>
                      <w:bCs w:val="0"/>
                      <w:color w:val="auto"/>
                      <w:kern w:val="0"/>
                      <w:sz w:val="21"/>
                      <w:szCs w:val="21"/>
                      <w:vertAlign w:val="baseline"/>
                      <w:lang w:val="en-US" w:eastAsia="zh-CN" w:bidi="ar-SA"/>
                    </w:rPr>
                  </w:pPr>
                  <w:r>
                    <w:rPr>
                      <w:rFonts w:hint="eastAsia"/>
                      <w:b w:val="0"/>
                      <w:bCs w:val="0"/>
                      <w:color w:val="auto"/>
                      <w:vertAlign w:val="baseline"/>
                      <w:lang w:val="en-US" w:eastAsia="zh-CN"/>
                    </w:rPr>
                    <w:t>71.0</w:t>
                  </w:r>
                </w:p>
              </w:tc>
              <w:tc>
                <w:tcPr>
                  <w:tcW w:w="187" w:type="pct"/>
                  <w:vMerge w:val="continue"/>
                  <w:vAlign w:val="center"/>
                </w:tcPr>
                <w:p w14:paraId="395CC1E9">
                  <w:pPr>
                    <w:pStyle w:val="17"/>
                    <w:bidi w:val="0"/>
                    <w:ind w:firstLine="0" w:firstLineChars="0"/>
                    <w:jc w:val="center"/>
                    <w:rPr>
                      <w:rFonts w:hint="eastAsia" w:ascii="Times New Roman" w:hAnsi="Times New Roman" w:eastAsia="宋体" w:cs="Times New Roman"/>
                      <w:b w:val="0"/>
                      <w:bCs w:val="0"/>
                      <w:color w:val="auto"/>
                      <w:kern w:val="0"/>
                      <w:sz w:val="21"/>
                      <w:szCs w:val="21"/>
                      <w:vertAlign w:val="baseline"/>
                      <w:lang w:val="en-US" w:eastAsia="zh-CN" w:bidi="ar-SA"/>
                    </w:rPr>
                  </w:pPr>
                </w:p>
              </w:tc>
              <w:tc>
                <w:tcPr>
                  <w:tcW w:w="443" w:type="pct"/>
                  <w:vAlign w:val="center"/>
                </w:tcPr>
                <w:p w14:paraId="0C37821C">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51.0</w:t>
                  </w:r>
                </w:p>
                <w:p w14:paraId="2D45ED82">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51.0</w:t>
                  </w:r>
                </w:p>
                <w:p w14:paraId="0042F868">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51.0</w:t>
                  </w:r>
                </w:p>
                <w:p w14:paraId="74DEA5DC">
                  <w:pPr>
                    <w:pStyle w:val="17"/>
                    <w:bidi w:val="0"/>
                    <w:ind w:firstLine="0" w:firstLineChars="0"/>
                    <w:jc w:val="center"/>
                    <w:rPr>
                      <w:rFonts w:hint="eastAsia" w:ascii="Times New Roman" w:hAnsi="Times New Roman" w:eastAsia="宋体" w:cs="Times New Roman"/>
                      <w:b w:val="0"/>
                      <w:bCs w:val="0"/>
                      <w:color w:val="auto"/>
                      <w:kern w:val="0"/>
                      <w:sz w:val="21"/>
                      <w:szCs w:val="21"/>
                      <w:vertAlign w:val="baseline"/>
                      <w:lang w:val="en-US" w:eastAsia="zh-CN" w:bidi="ar-SA"/>
                    </w:rPr>
                  </w:pPr>
                  <w:r>
                    <w:rPr>
                      <w:rFonts w:hint="eastAsia"/>
                      <w:b w:val="0"/>
                      <w:bCs w:val="0"/>
                      <w:color w:val="auto"/>
                      <w:vertAlign w:val="baseline"/>
                      <w:lang w:val="en-US" w:eastAsia="zh-CN"/>
                    </w:rPr>
                    <w:t>51.0</w:t>
                  </w:r>
                </w:p>
              </w:tc>
              <w:tc>
                <w:tcPr>
                  <w:tcW w:w="262" w:type="pct"/>
                  <w:vAlign w:val="center"/>
                </w:tcPr>
                <w:p w14:paraId="7B4034A5">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20.1</w:t>
                  </w:r>
                </w:p>
                <w:p w14:paraId="52648E06">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20.2</w:t>
                  </w:r>
                </w:p>
                <w:p w14:paraId="796B2FCB">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20.1</w:t>
                  </w:r>
                </w:p>
                <w:p w14:paraId="17AFE160">
                  <w:pPr>
                    <w:pStyle w:val="17"/>
                    <w:bidi w:val="0"/>
                    <w:ind w:firstLine="0" w:firstLineChars="0"/>
                    <w:jc w:val="center"/>
                    <w:rPr>
                      <w:rFonts w:hint="eastAsia" w:ascii="Times New Roman" w:hAnsi="Times New Roman" w:eastAsia="宋体" w:cs="Times New Roman"/>
                      <w:b w:val="0"/>
                      <w:bCs w:val="0"/>
                      <w:color w:val="auto"/>
                      <w:kern w:val="0"/>
                      <w:sz w:val="21"/>
                      <w:szCs w:val="21"/>
                      <w:vertAlign w:val="baseline"/>
                      <w:lang w:val="en-US" w:eastAsia="zh-CN" w:bidi="ar-SA"/>
                    </w:rPr>
                  </w:pPr>
                  <w:r>
                    <w:rPr>
                      <w:rFonts w:hint="eastAsia"/>
                      <w:b w:val="0"/>
                      <w:bCs w:val="0"/>
                      <w:color w:val="auto"/>
                      <w:vertAlign w:val="baseline"/>
                      <w:lang w:val="en-US" w:eastAsia="zh-CN"/>
                    </w:rPr>
                    <w:t>20.0</w:t>
                  </w:r>
                </w:p>
              </w:tc>
              <w:tc>
                <w:tcPr>
                  <w:tcW w:w="360" w:type="pct"/>
                  <w:vAlign w:val="center"/>
                </w:tcPr>
                <w:p w14:paraId="3EAF9CAF">
                  <w:pPr>
                    <w:pStyle w:val="17"/>
                    <w:bidi w:val="0"/>
                    <w:ind w:firstLine="0" w:firstLineChars="0"/>
                    <w:jc w:val="center"/>
                    <w:rPr>
                      <w:rFonts w:hint="eastAsia" w:ascii="Times New Roman" w:hAnsi="Times New Roman" w:eastAsia="宋体" w:cs="Times New Roman"/>
                      <w:b w:val="0"/>
                      <w:bCs w:val="0"/>
                      <w:color w:val="auto"/>
                      <w:kern w:val="0"/>
                      <w:sz w:val="21"/>
                      <w:szCs w:val="21"/>
                      <w:vertAlign w:val="baseline"/>
                      <w:lang w:val="en-US" w:eastAsia="zh-CN" w:bidi="ar-SA"/>
                    </w:rPr>
                  </w:pPr>
                  <w:r>
                    <w:rPr>
                      <w:rFonts w:hint="eastAsia"/>
                      <w:b w:val="0"/>
                      <w:bCs w:val="0"/>
                      <w:color w:val="auto"/>
                      <w:vertAlign w:val="baseline"/>
                      <w:lang w:val="en-US" w:eastAsia="zh-CN"/>
                    </w:rPr>
                    <w:t>1</w:t>
                  </w:r>
                </w:p>
              </w:tc>
            </w:tr>
            <w:tr w14:paraId="268A13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12" w:hRule="atLeast"/>
              </w:trPr>
              <w:tc>
                <w:tcPr>
                  <w:tcW w:w="341" w:type="pct"/>
                  <w:vMerge w:val="continue"/>
                  <w:vAlign w:val="center"/>
                </w:tcPr>
                <w:p w14:paraId="199A0743">
                  <w:pPr>
                    <w:pStyle w:val="17"/>
                    <w:bidi w:val="0"/>
                    <w:jc w:val="center"/>
                    <w:rPr>
                      <w:rFonts w:hint="eastAsia"/>
                      <w:b w:val="0"/>
                      <w:bCs w:val="0"/>
                      <w:color w:val="auto"/>
                      <w:lang w:val="en-US" w:eastAsia="zh-CN"/>
                    </w:rPr>
                  </w:pPr>
                </w:p>
              </w:tc>
              <w:tc>
                <w:tcPr>
                  <w:tcW w:w="307" w:type="pct"/>
                  <w:vAlign w:val="center"/>
                </w:tcPr>
                <w:p w14:paraId="44F4BE13">
                  <w:pPr>
                    <w:pStyle w:val="17"/>
                    <w:bidi w:val="0"/>
                    <w:jc w:val="center"/>
                    <w:rPr>
                      <w:rFonts w:hint="default"/>
                      <w:b w:val="0"/>
                      <w:bCs w:val="0"/>
                      <w:color w:val="auto"/>
                      <w:lang w:val="en-US" w:eastAsia="zh-CN"/>
                    </w:rPr>
                  </w:pPr>
                  <w:r>
                    <w:rPr>
                      <w:rFonts w:hint="eastAsia"/>
                      <w:b w:val="0"/>
                      <w:bCs w:val="0"/>
                      <w:color w:val="auto"/>
                      <w:lang w:val="en-US" w:eastAsia="zh-CN"/>
                    </w:rPr>
                    <w:t>砌块成型</w:t>
                  </w:r>
                </w:p>
              </w:tc>
              <w:tc>
                <w:tcPr>
                  <w:tcW w:w="1288" w:type="pct"/>
                  <w:vAlign w:val="center"/>
                </w:tcPr>
                <w:p w14:paraId="664FBA69">
                  <w:pPr>
                    <w:pStyle w:val="17"/>
                    <w:bidi w:val="0"/>
                    <w:jc w:val="center"/>
                    <w:rPr>
                      <w:rFonts w:hint="default"/>
                      <w:b w:val="0"/>
                      <w:bCs w:val="0"/>
                      <w:color w:val="auto"/>
                      <w:lang w:val="en-US" w:eastAsia="zh-CN"/>
                    </w:rPr>
                  </w:pPr>
                  <w:r>
                    <w:rPr>
                      <w:rFonts w:hint="eastAsia"/>
                      <w:b w:val="0"/>
                      <w:bCs w:val="0"/>
                      <w:color w:val="auto"/>
                      <w:lang w:val="en-US" w:eastAsia="zh-CN"/>
                    </w:rPr>
                    <w:t>/</w:t>
                  </w:r>
                </w:p>
              </w:tc>
              <w:tc>
                <w:tcPr>
                  <w:tcW w:w="359" w:type="pct"/>
                  <w:vAlign w:val="center"/>
                </w:tcPr>
                <w:p w14:paraId="25A6A720">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85</w:t>
                  </w:r>
                </w:p>
              </w:tc>
              <w:tc>
                <w:tcPr>
                  <w:tcW w:w="366" w:type="pct"/>
                  <w:vMerge w:val="continue"/>
                  <w:vAlign w:val="center"/>
                </w:tcPr>
                <w:p w14:paraId="7E0C5D0E">
                  <w:pPr>
                    <w:pStyle w:val="17"/>
                    <w:bidi w:val="0"/>
                    <w:jc w:val="center"/>
                    <w:rPr>
                      <w:rFonts w:hint="eastAsia"/>
                      <w:b w:val="0"/>
                      <w:bCs w:val="0"/>
                      <w:color w:val="auto"/>
                      <w:vertAlign w:val="baseline"/>
                      <w:lang w:val="en-US" w:eastAsia="zh-CN"/>
                    </w:rPr>
                  </w:pPr>
                </w:p>
              </w:tc>
              <w:tc>
                <w:tcPr>
                  <w:tcW w:w="316" w:type="pct"/>
                  <w:vAlign w:val="center"/>
                </w:tcPr>
                <w:p w14:paraId="18699601">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33</w:t>
                  </w:r>
                </w:p>
                <w:p w14:paraId="463D8177">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36.7</w:t>
                  </w:r>
                </w:p>
                <w:p w14:paraId="24C28BDC">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1.2</w:t>
                  </w:r>
                </w:p>
              </w:tc>
              <w:tc>
                <w:tcPr>
                  <w:tcW w:w="383" w:type="pct"/>
                  <w:vAlign w:val="center"/>
                </w:tcPr>
                <w:p w14:paraId="4A1DCF1D">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16.2</w:t>
                  </w:r>
                </w:p>
                <w:p w14:paraId="633702C7">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29.1</w:t>
                  </w:r>
                </w:p>
                <w:p w14:paraId="700334D0">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25.4</w:t>
                  </w:r>
                </w:p>
                <w:p w14:paraId="2AB78FAE">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49.1</w:t>
                  </w:r>
                </w:p>
              </w:tc>
              <w:tc>
                <w:tcPr>
                  <w:tcW w:w="384" w:type="pct"/>
                  <w:vAlign w:val="center"/>
                </w:tcPr>
                <w:p w14:paraId="55CD2985">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65.1</w:t>
                  </w:r>
                </w:p>
                <w:p w14:paraId="79E0EEF6">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65.0</w:t>
                  </w:r>
                </w:p>
                <w:p w14:paraId="0CCB7607">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65.1</w:t>
                  </w:r>
                </w:p>
                <w:p w14:paraId="67A06BF3">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65.0</w:t>
                  </w:r>
                </w:p>
              </w:tc>
              <w:tc>
                <w:tcPr>
                  <w:tcW w:w="187" w:type="pct"/>
                  <w:vMerge w:val="continue"/>
                  <w:vAlign w:val="center"/>
                </w:tcPr>
                <w:p w14:paraId="418FAC89">
                  <w:pPr>
                    <w:pStyle w:val="17"/>
                    <w:bidi w:val="0"/>
                    <w:jc w:val="center"/>
                    <w:rPr>
                      <w:rFonts w:hint="eastAsia"/>
                      <w:b w:val="0"/>
                      <w:bCs w:val="0"/>
                      <w:color w:val="auto"/>
                      <w:vertAlign w:val="baseline"/>
                      <w:lang w:val="en-US" w:eastAsia="zh-CN"/>
                    </w:rPr>
                  </w:pPr>
                </w:p>
              </w:tc>
              <w:tc>
                <w:tcPr>
                  <w:tcW w:w="443" w:type="pct"/>
                  <w:vAlign w:val="center"/>
                </w:tcPr>
                <w:p w14:paraId="79598E1E">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51.0</w:t>
                  </w:r>
                </w:p>
                <w:p w14:paraId="2095FCF5">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51.0</w:t>
                  </w:r>
                </w:p>
                <w:p w14:paraId="2E57AE4B">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51.0</w:t>
                  </w:r>
                </w:p>
                <w:p w14:paraId="2A8CE615">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51.0</w:t>
                  </w:r>
                </w:p>
              </w:tc>
              <w:tc>
                <w:tcPr>
                  <w:tcW w:w="262" w:type="pct"/>
                  <w:vAlign w:val="center"/>
                </w:tcPr>
                <w:p w14:paraId="629BD0C0">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14.1</w:t>
                  </w:r>
                </w:p>
                <w:p w14:paraId="77774F13">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14.0</w:t>
                  </w:r>
                </w:p>
                <w:p w14:paraId="36789411">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14.1</w:t>
                  </w:r>
                </w:p>
                <w:p w14:paraId="30EFAD62">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14.0</w:t>
                  </w:r>
                </w:p>
              </w:tc>
              <w:tc>
                <w:tcPr>
                  <w:tcW w:w="360" w:type="pct"/>
                  <w:vAlign w:val="center"/>
                </w:tcPr>
                <w:p w14:paraId="31F1F5B2">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1</w:t>
                  </w:r>
                </w:p>
              </w:tc>
            </w:tr>
            <w:tr w14:paraId="6AD28E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12" w:hRule="atLeast"/>
              </w:trPr>
              <w:tc>
                <w:tcPr>
                  <w:tcW w:w="341" w:type="pct"/>
                  <w:vMerge w:val="continue"/>
                  <w:vAlign w:val="center"/>
                </w:tcPr>
                <w:p w14:paraId="00DE0FC9">
                  <w:pPr>
                    <w:pStyle w:val="17"/>
                    <w:bidi w:val="0"/>
                    <w:jc w:val="center"/>
                    <w:rPr>
                      <w:rFonts w:hint="eastAsia"/>
                      <w:b w:val="0"/>
                      <w:bCs w:val="0"/>
                      <w:color w:val="auto"/>
                      <w:lang w:val="en-US" w:eastAsia="zh-CN"/>
                    </w:rPr>
                  </w:pPr>
                  <w:bookmarkStart w:id="445" w:name="_Toc16138"/>
                </w:p>
              </w:tc>
              <w:tc>
                <w:tcPr>
                  <w:tcW w:w="307" w:type="pct"/>
                  <w:vAlign w:val="center"/>
                </w:tcPr>
                <w:p w14:paraId="68E40FC9">
                  <w:pPr>
                    <w:pStyle w:val="17"/>
                    <w:bidi w:val="0"/>
                    <w:jc w:val="center"/>
                    <w:rPr>
                      <w:rFonts w:hint="default"/>
                      <w:b w:val="0"/>
                      <w:bCs w:val="0"/>
                      <w:color w:val="auto"/>
                      <w:lang w:val="en-US" w:eastAsia="zh-CN"/>
                    </w:rPr>
                  </w:pPr>
                  <w:r>
                    <w:rPr>
                      <w:rFonts w:hint="eastAsia"/>
                      <w:b w:val="0"/>
                      <w:bCs w:val="0"/>
                      <w:color w:val="auto"/>
                      <w:lang w:val="en-US" w:eastAsia="zh-CN"/>
                    </w:rPr>
                    <w:t>风机</w:t>
                  </w:r>
                </w:p>
              </w:tc>
              <w:tc>
                <w:tcPr>
                  <w:tcW w:w="1288" w:type="pct"/>
                  <w:vAlign w:val="center"/>
                </w:tcPr>
                <w:p w14:paraId="041C4C4D">
                  <w:pPr>
                    <w:pStyle w:val="17"/>
                    <w:bidi w:val="0"/>
                    <w:jc w:val="center"/>
                    <w:rPr>
                      <w:rFonts w:hint="default"/>
                      <w:b w:val="0"/>
                      <w:bCs w:val="0"/>
                      <w:color w:val="auto"/>
                      <w:lang w:val="en-US" w:eastAsia="zh-CN"/>
                    </w:rPr>
                  </w:pPr>
                  <w:r>
                    <w:rPr>
                      <w:rFonts w:hint="eastAsia"/>
                      <w:b w:val="0"/>
                      <w:bCs w:val="0"/>
                      <w:color w:val="auto"/>
                      <w:lang w:val="en-US" w:eastAsia="zh-CN"/>
                    </w:rPr>
                    <w:t>/</w:t>
                  </w:r>
                </w:p>
              </w:tc>
              <w:tc>
                <w:tcPr>
                  <w:tcW w:w="359" w:type="pct"/>
                  <w:vAlign w:val="center"/>
                </w:tcPr>
                <w:p w14:paraId="0C6A006E">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85</w:t>
                  </w:r>
                </w:p>
              </w:tc>
              <w:tc>
                <w:tcPr>
                  <w:tcW w:w="366" w:type="pct"/>
                  <w:vMerge w:val="continue"/>
                  <w:vAlign w:val="center"/>
                </w:tcPr>
                <w:p w14:paraId="0DADD2A6">
                  <w:pPr>
                    <w:pStyle w:val="17"/>
                    <w:bidi w:val="0"/>
                    <w:jc w:val="center"/>
                    <w:rPr>
                      <w:rFonts w:hint="eastAsia"/>
                      <w:b w:val="0"/>
                      <w:bCs w:val="0"/>
                      <w:color w:val="auto"/>
                      <w:vertAlign w:val="baseline"/>
                      <w:lang w:val="en-US" w:eastAsia="zh-CN"/>
                    </w:rPr>
                  </w:pPr>
                </w:p>
              </w:tc>
              <w:tc>
                <w:tcPr>
                  <w:tcW w:w="316" w:type="pct"/>
                  <w:vAlign w:val="center"/>
                </w:tcPr>
                <w:p w14:paraId="0D993770">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-1.1</w:t>
                  </w:r>
                </w:p>
                <w:p w14:paraId="73656154">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72.2</w:t>
                  </w:r>
                </w:p>
                <w:p w14:paraId="4F1FD4D5">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1.2</w:t>
                  </w:r>
                </w:p>
              </w:tc>
              <w:tc>
                <w:tcPr>
                  <w:tcW w:w="383" w:type="pct"/>
                  <w:vAlign w:val="center"/>
                </w:tcPr>
                <w:p w14:paraId="04F088E8">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35.3</w:t>
                  </w:r>
                </w:p>
                <w:p w14:paraId="3D617E44">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72.8</w:t>
                  </w:r>
                </w:p>
                <w:p w14:paraId="2E4511A5">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5.3</w:t>
                  </w:r>
                </w:p>
                <w:p w14:paraId="2E67A978">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5.2</w:t>
                  </w:r>
                </w:p>
              </w:tc>
              <w:tc>
                <w:tcPr>
                  <w:tcW w:w="384" w:type="pct"/>
                  <w:vAlign w:val="center"/>
                </w:tcPr>
                <w:p w14:paraId="2FBD5590">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65.0</w:t>
                  </w:r>
                </w:p>
                <w:p w14:paraId="7416053F">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65.0</w:t>
                  </w:r>
                </w:p>
                <w:p w14:paraId="4709C944">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66.1</w:t>
                  </w:r>
                </w:p>
                <w:p w14:paraId="161BF6DB">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66.1</w:t>
                  </w:r>
                </w:p>
              </w:tc>
              <w:tc>
                <w:tcPr>
                  <w:tcW w:w="187" w:type="pct"/>
                  <w:vMerge w:val="continue"/>
                  <w:vAlign w:val="center"/>
                </w:tcPr>
                <w:p w14:paraId="07C5246A">
                  <w:pPr>
                    <w:pStyle w:val="17"/>
                    <w:bidi w:val="0"/>
                    <w:jc w:val="center"/>
                    <w:rPr>
                      <w:rFonts w:hint="eastAsia"/>
                      <w:b w:val="0"/>
                      <w:bCs w:val="0"/>
                      <w:color w:val="auto"/>
                      <w:vertAlign w:val="baseline"/>
                      <w:lang w:val="en-US" w:eastAsia="zh-CN"/>
                    </w:rPr>
                  </w:pPr>
                </w:p>
              </w:tc>
              <w:tc>
                <w:tcPr>
                  <w:tcW w:w="443" w:type="pct"/>
                  <w:vAlign w:val="center"/>
                </w:tcPr>
                <w:p w14:paraId="01D58AEF">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51.0</w:t>
                  </w:r>
                </w:p>
                <w:p w14:paraId="564A7DCE">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51.0</w:t>
                  </w:r>
                </w:p>
                <w:p w14:paraId="3ED9A071">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51.0</w:t>
                  </w:r>
                </w:p>
                <w:p w14:paraId="157785BA">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51.0</w:t>
                  </w:r>
                </w:p>
              </w:tc>
              <w:tc>
                <w:tcPr>
                  <w:tcW w:w="262" w:type="pct"/>
                  <w:vAlign w:val="center"/>
                </w:tcPr>
                <w:p w14:paraId="11A9E0E0">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14.0</w:t>
                  </w:r>
                </w:p>
                <w:p w14:paraId="7810D506">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14.0</w:t>
                  </w:r>
                </w:p>
                <w:p w14:paraId="151441E3">
                  <w:pPr>
                    <w:pStyle w:val="17"/>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15.1</w:t>
                  </w:r>
                </w:p>
                <w:p w14:paraId="611E014B">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15.1</w:t>
                  </w:r>
                </w:p>
              </w:tc>
              <w:tc>
                <w:tcPr>
                  <w:tcW w:w="360" w:type="pct"/>
                  <w:vAlign w:val="center"/>
                </w:tcPr>
                <w:p w14:paraId="5028E91D">
                  <w:pPr>
                    <w:pStyle w:val="17"/>
                    <w:bidi w:val="0"/>
                    <w:jc w:val="center"/>
                    <w:rPr>
                      <w:rFonts w:hint="default"/>
                      <w:b w:val="0"/>
                      <w:bCs w:val="0"/>
                      <w:color w:val="auto"/>
                      <w:vertAlign w:val="baseline"/>
                      <w:lang w:val="en-US" w:eastAsia="zh-CN"/>
                    </w:rPr>
                  </w:pPr>
                  <w:r>
                    <w:rPr>
                      <w:rFonts w:hint="eastAsia"/>
                      <w:b w:val="0"/>
                      <w:bCs w:val="0"/>
                      <w:color w:val="auto"/>
                      <w:vertAlign w:val="baseline"/>
                      <w:lang w:val="en-US" w:eastAsia="zh-CN"/>
                    </w:rPr>
                    <w:t>1</w:t>
                  </w:r>
                </w:p>
              </w:tc>
            </w:tr>
          </w:tbl>
          <w:p w14:paraId="5030628D">
            <w:pPr>
              <w:pStyle w:val="5"/>
              <w:bidi w:val="0"/>
              <w:rPr>
                <w:rFonts w:hint="eastAsia"/>
                <w:color w:val="auto"/>
                <w:lang w:val="en-US" w:eastAsia="zh-CN"/>
              </w:rPr>
            </w:pPr>
            <w:bookmarkStart w:id="446" w:name="_Toc767"/>
            <w:r>
              <w:rPr>
                <w:rFonts w:hint="eastAsia"/>
                <w:color w:val="auto"/>
                <w:lang w:val="en-US" w:eastAsia="zh-CN"/>
              </w:rPr>
              <w:t>4.2 噪声达标分析</w:t>
            </w:r>
            <w:bookmarkEnd w:id="442"/>
            <w:bookmarkEnd w:id="443"/>
            <w:bookmarkEnd w:id="444"/>
            <w:bookmarkEnd w:id="445"/>
            <w:bookmarkEnd w:id="446"/>
          </w:p>
          <w:p w14:paraId="17EBFA8C">
            <w:pPr>
              <w:rPr>
                <w:rFonts w:hint="default"/>
                <w:color w:val="auto"/>
                <w:lang w:val="en-US" w:eastAsia="zh-CN"/>
              </w:rPr>
            </w:pPr>
            <w:r>
              <w:rPr>
                <w:rFonts w:hint="default"/>
                <w:color w:val="auto"/>
                <w:lang w:val="en-US" w:eastAsia="zh-CN"/>
              </w:rPr>
              <w:t>根据《环境影响评价技术导则 声环境》（HJ 2.4-2021）中的有关规定，室内声源等效为室外声源按如下方法进行：</w:t>
            </w:r>
          </w:p>
          <w:p w14:paraId="5E5C4252">
            <w:pPr>
              <w:rPr>
                <w:rFonts w:hint="eastAsia"/>
                <w:color w:val="auto"/>
                <w:lang w:val="en-US" w:eastAsia="zh-CN"/>
              </w:rPr>
            </w:pPr>
            <w:r>
              <w:rPr>
                <w:rFonts w:hint="eastAsia"/>
                <w:color w:val="auto"/>
                <w:lang w:val="en-US" w:eastAsia="zh-CN"/>
              </w:rPr>
              <w:t>A.室内声源等效室外声源声功率级计算方法：</w:t>
            </w:r>
          </w:p>
          <w:p w14:paraId="75E14BA7">
            <w:pPr>
              <w:pStyle w:val="17"/>
              <w:bidi w:val="0"/>
              <w:rPr>
                <w:rFonts w:hint="default"/>
                <w:color w:val="auto"/>
                <w:lang w:val="en-US" w:eastAsia="zh-CN"/>
              </w:rPr>
            </w:pPr>
            <w:r>
              <w:rPr>
                <w:rFonts w:hint="default"/>
                <w:color w:val="auto"/>
                <w:position w:val="-28"/>
                <w:lang w:val="en-US" w:eastAsia="zh-CN"/>
              </w:rPr>
              <w:object>
                <v:shape id="_x0000_i1043" o:spt="75" type="#_x0000_t75" style="height:34pt;width:132.95pt;" o:ole="t" filled="f" o:preferrelative="t" stroked="f" coordsize="21600,21600">
                  <v:path/>
                  <v:fill on="f" focussize="0,0"/>
                  <v:stroke on="f"/>
                  <v:imagedata r:id="rId45" o:title=""/>
                  <o:lock v:ext="edit" aspectratio="t"/>
                  <w10:wrap type="none"/>
                  <w10:anchorlock/>
                </v:shape>
                <o:OLEObject Type="Embed" ProgID="Equation.KSEE3" ShapeID="_x0000_i1043" DrawAspect="Content" ObjectID="_1468075743" r:id="rId44">
                  <o:LockedField>false</o:LockedField>
                </o:OLEObject>
              </w:object>
            </w:r>
          </w:p>
          <w:p w14:paraId="325BBB7F">
            <w:pPr>
              <w:bidi w:val="0"/>
              <w:rPr>
                <w:rFonts w:hint="eastAsia"/>
                <w:color w:val="auto"/>
                <w:lang w:val="en-US" w:eastAsia="zh-CN"/>
              </w:rPr>
            </w:pPr>
            <w:r>
              <w:rPr>
                <w:rFonts w:hint="eastAsia"/>
                <w:color w:val="auto"/>
                <w:lang w:val="en-US" w:eastAsia="zh-CN"/>
              </w:rPr>
              <w:t>式中：</w:t>
            </w:r>
            <w:r>
              <w:rPr>
                <w:rFonts w:hint="eastAsia"/>
                <w:i/>
                <w:iCs/>
                <w:color w:val="auto"/>
                <w:lang w:val="en-US" w:eastAsia="zh-CN"/>
              </w:rPr>
              <w:t>L</w:t>
            </w:r>
            <w:r>
              <w:rPr>
                <w:rFonts w:hint="eastAsia"/>
                <w:i/>
                <w:iCs/>
                <w:color w:val="auto"/>
                <w:vertAlign w:val="subscript"/>
                <w:lang w:val="en-US" w:eastAsia="zh-CN"/>
              </w:rPr>
              <w:t>p</w:t>
            </w:r>
            <w:r>
              <w:rPr>
                <w:rFonts w:hint="eastAsia"/>
                <w:color w:val="auto"/>
                <w:vertAlign w:val="subscript"/>
                <w:lang w:val="en-US" w:eastAsia="zh-CN"/>
              </w:rPr>
              <w:t>1</w:t>
            </w:r>
            <w:r>
              <w:rPr>
                <w:rFonts w:hint="eastAsia"/>
                <w:color w:val="auto"/>
                <w:lang w:val="en-US" w:eastAsia="zh-CN"/>
              </w:rPr>
              <w:t>——靠近开口处（或窗户）室内某倍频带的声压级或A声级，dB；</w:t>
            </w:r>
          </w:p>
          <w:p w14:paraId="3BEAC3E0">
            <w:pPr>
              <w:keepNext w:val="0"/>
              <w:keepLines w:val="0"/>
              <w:pageBreakBefore w:val="0"/>
              <w:widowControl w:val="0"/>
              <w:kinsoku/>
              <w:wordWrap/>
              <w:overflowPunct/>
              <w:topLinePunct w:val="0"/>
              <w:autoSpaceDE/>
              <w:autoSpaceDN/>
              <w:bidi w:val="0"/>
              <w:adjustRightInd w:val="0"/>
              <w:snapToGrid w:val="0"/>
              <w:ind w:firstLine="1200" w:firstLineChars="500"/>
              <w:textAlignment w:val="auto"/>
              <w:rPr>
                <w:rFonts w:hint="eastAsia"/>
                <w:i w:val="0"/>
                <w:iCs w:val="0"/>
                <w:color w:val="auto"/>
                <w:lang w:val="en-US" w:eastAsia="zh-CN"/>
              </w:rPr>
            </w:pPr>
            <w:r>
              <w:rPr>
                <w:rFonts w:hint="eastAsia"/>
                <w:i/>
                <w:iCs/>
                <w:color w:val="auto"/>
                <w:lang w:val="en-US" w:eastAsia="zh-CN"/>
              </w:rPr>
              <w:t>L</w:t>
            </w:r>
            <w:r>
              <w:rPr>
                <w:rFonts w:hint="eastAsia"/>
                <w:i w:val="0"/>
                <w:iCs w:val="0"/>
                <w:color w:val="auto"/>
                <w:vertAlign w:val="subscript"/>
                <w:lang w:val="en-US" w:eastAsia="zh-CN"/>
              </w:rPr>
              <w:t>w</w:t>
            </w:r>
            <w:r>
              <w:rPr>
                <w:rFonts w:hint="eastAsia"/>
                <w:i/>
                <w:iCs/>
                <w:color w:val="auto"/>
                <w:lang w:val="en-US" w:eastAsia="zh-CN"/>
              </w:rPr>
              <w:t>——</w:t>
            </w:r>
            <w:r>
              <w:rPr>
                <w:rFonts w:hint="eastAsia"/>
                <w:i w:val="0"/>
                <w:iCs w:val="0"/>
                <w:color w:val="auto"/>
                <w:lang w:val="en-US" w:eastAsia="zh-CN"/>
              </w:rPr>
              <w:t>点声源声功率级（A计权或倍频带），dB；</w:t>
            </w:r>
          </w:p>
          <w:p w14:paraId="61BE7C38">
            <w:pPr>
              <w:keepNext w:val="0"/>
              <w:keepLines w:val="0"/>
              <w:pageBreakBefore w:val="0"/>
              <w:widowControl w:val="0"/>
              <w:kinsoku/>
              <w:wordWrap/>
              <w:overflowPunct/>
              <w:topLinePunct w:val="0"/>
              <w:autoSpaceDE/>
              <w:autoSpaceDN/>
              <w:bidi w:val="0"/>
              <w:adjustRightInd w:val="0"/>
              <w:snapToGrid w:val="0"/>
              <w:ind w:firstLine="1200" w:firstLineChars="500"/>
              <w:textAlignment w:val="auto"/>
              <w:rPr>
                <w:rFonts w:hint="eastAsia"/>
                <w:i w:val="0"/>
                <w:iCs w:val="0"/>
                <w:color w:val="auto"/>
                <w:lang w:val="en-US" w:eastAsia="zh-CN"/>
              </w:rPr>
            </w:pPr>
            <w:r>
              <w:rPr>
                <w:rFonts w:hint="eastAsia"/>
                <w:i/>
                <w:iCs/>
                <w:color w:val="auto"/>
                <w:lang w:val="en-US" w:eastAsia="zh-CN"/>
              </w:rPr>
              <w:t>Q</w:t>
            </w:r>
            <w:r>
              <w:rPr>
                <w:rFonts w:hint="eastAsia"/>
                <w:i w:val="0"/>
                <w:iCs w:val="0"/>
                <w:color w:val="auto"/>
                <w:lang w:val="en-US" w:eastAsia="zh-CN"/>
              </w:rPr>
              <w:t>——指向性因数；通常对无指向性声源，当声源放在房间中心时，</w:t>
            </w:r>
            <w:r>
              <w:rPr>
                <w:rFonts w:hint="eastAsia"/>
                <w:i/>
                <w:iCs/>
                <w:color w:val="auto"/>
                <w:lang w:val="en-US" w:eastAsia="zh-CN"/>
              </w:rPr>
              <w:t>Q</w:t>
            </w:r>
            <w:r>
              <w:rPr>
                <w:rFonts w:hint="eastAsia"/>
                <w:i w:val="0"/>
                <w:iCs w:val="0"/>
                <w:color w:val="auto"/>
                <w:lang w:val="en-US" w:eastAsia="zh-CN"/>
              </w:rPr>
              <w:t>=1；当放在一面墙的中心时，</w:t>
            </w:r>
            <w:r>
              <w:rPr>
                <w:rFonts w:hint="eastAsia"/>
                <w:i/>
                <w:iCs/>
                <w:color w:val="auto"/>
                <w:lang w:val="en-US" w:eastAsia="zh-CN"/>
              </w:rPr>
              <w:t>Q</w:t>
            </w:r>
            <w:r>
              <w:rPr>
                <w:rFonts w:hint="eastAsia"/>
                <w:i w:val="0"/>
                <w:iCs w:val="0"/>
                <w:color w:val="auto"/>
                <w:lang w:val="en-US" w:eastAsia="zh-CN"/>
              </w:rPr>
              <w:t>=2；当放在两面墙夹角处时，</w:t>
            </w:r>
            <w:r>
              <w:rPr>
                <w:rFonts w:hint="eastAsia"/>
                <w:i/>
                <w:iCs/>
                <w:color w:val="auto"/>
                <w:lang w:val="en-US" w:eastAsia="zh-CN"/>
              </w:rPr>
              <w:t>Q</w:t>
            </w:r>
            <w:r>
              <w:rPr>
                <w:rFonts w:hint="eastAsia"/>
                <w:i w:val="0"/>
                <w:iCs w:val="0"/>
                <w:color w:val="auto"/>
                <w:lang w:val="en-US" w:eastAsia="zh-CN"/>
              </w:rPr>
              <w:t>=4；当放在三面墙夹角处时，</w:t>
            </w:r>
            <w:r>
              <w:rPr>
                <w:rFonts w:hint="eastAsia"/>
                <w:i/>
                <w:iCs/>
                <w:color w:val="auto"/>
                <w:lang w:val="en-US" w:eastAsia="zh-CN"/>
              </w:rPr>
              <w:t>Q</w:t>
            </w:r>
            <w:r>
              <w:rPr>
                <w:rFonts w:hint="eastAsia"/>
                <w:i w:val="0"/>
                <w:iCs w:val="0"/>
                <w:color w:val="auto"/>
                <w:lang w:val="en-US" w:eastAsia="zh-CN"/>
              </w:rPr>
              <w:t>=8；</w:t>
            </w:r>
          </w:p>
          <w:p w14:paraId="553D6246">
            <w:pPr>
              <w:keepNext w:val="0"/>
              <w:keepLines w:val="0"/>
              <w:pageBreakBefore w:val="0"/>
              <w:widowControl w:val="0"/>
              <w:kinsoku/>
              <w:wordWrap/>
              <w:overflowPunct/>
              <w:topLinePunct w:val="0"/>
              <w:autoSpaceDE/>
              <w:autoSpaceDN/>
              <w:bidi w:val="0"/>
              <w:adjustRightInd w:val="0"/>
              <w:snapToGrid w:val="0"/>
              <w:ind w:firstLine="1200" w:firstLineChars="500"/>
              <w:textAlignment w:val="auto"/>
              <w:rPr>
                <w:rFonts w:hint="eastAsia" w:cs="Times New Roman"/>
                <w:i w:val="0"/>
                <w:iCs w:val="0"/>
                <w:color w:val="auto"/>
                <w:lang w:val="en-US" w:eastAsia="zh-CN"/>
              </w:rPr>
            </w:pPr>
            <w:r>
              <w:rPr>
                <w:rFonts w:hint="eastAsia"/>
                <w:i/>
                <w:iCs/>
                <w:color w:val="auto"/>
                <w:lang w:val="en-US" w:eastAsia="zh-CN"/>
              </w:rPr>
              <w:t>R</w:t>
            </w:r>
            <w:r>
              <w:rPr>
                <w:rFonts w:hint="eastAsia"/>
                <w:i w:val="0"/>
                <w:iCs w:val="0"/>
                <w:color w:val="auto"/>
                <w:lang w:val="en-US" w:eastAsia="zh-CN"/>
              </w:rPr>
              <w:t>——房间常数；</w:t>
            </w:r>
            <w:r>
              <w:rPr>
                <w:rFonts w:hint="eastAsia"/>
                <w:i/>
                <w:iCs/>
                <w:color w:val="auto"/>
                <w:lang w:val="en-US" w:eastAsia="zh-CN"/>
              </w:rPr>
              <w:t>R</w:t>
            </w:r>
            <w:r>
              <w:rPr>
                <w:rFonts w:hint="eastAsia"/>
                <w:i w:val="0"/>
                <w:iCs w:val="0"/>
                <w:color w:val="auto"/>
                <w:lang w:val="en-US" w:eastAsia="zh-CN"/>
              </w:rPr>
              <w:t>=</w:t>
            </w:r>
            <w:r>
              <w:rPr>
                <w:rFonts w:hint="eastAsia"/>
                <w:i/>
                <w:iCs/>
                <w:color w:val="auto"/>
                <w:lang w:val="en-US" w:eastAsia="zh-CN"/>
              </w:rPr>
              <w:t>S</w:t>
            </w:r>
            <w:r>
              <w:rPr>
                <w:rFonts w:hint="default" w:ascii="Times New Roman" w:hAnsi="Times New Roman" w:cs="Times New Roman"/>
                <w:i w:val="0"/>
                <w:iCs w:val="0"/>
                <w:color w:val="auto"/>
                <w:lang w:val="en-US" w:eastAsia="zh-CN"/>
              </w:rPr>
              <w:t>α/(1-α</w:t>
            </w:r>
            <w:r>
              <w:rPr>
                <w:rFonts w:hint="eastAsia"/>
                <w:i w:val="0"/>
                <w:iCs w:val="0"/>
                <w:color w:val="auto"/>
                <w:lang w:val="en-US" w:eastAsia="zh-CN"/>
              </w:rPr>
              <w:t>)，S为房间内表面积，m</w:t>
            </w:r>
            <w:r>
              <w:rPr>
                <w:rFonts w:hint="eastAsia"/>
                <w:i w:val="0"/>
                <w:iCs w:val="0"/>
                <w:color w:val="auto"/>
                <w:vertAlign w:val="superscript"/>
                <w:lang w:val="en-US" w:eastAsia="zh-CN"/>
              </w:rPr>
              <w:t>2</w:t>
            </w:r>
            <w:r>
              <w:rPr>
                <w:rFonts w:hint="eastAsia"/>
                <w:i w:val="0"/>
                <w:iCs w:val="0"/>
                <w:color w:val="auto"/>
                <w:lang w:val="en-US" w:eastAsia="zh-CN"/>
              </w:rPr>
              <w:t>；</w:t>
            </w:r>
            <w:r>
              <w:rPr>
                <w:rFonts w:hint="default" w:ascii="Times New Roman" w:hAnsi="Times New Roman" w:cs="Times New Roman"/>
                <w:i w:val="0"/>
                <w:iCs w:val="0"/>
                <w:color w:val="auto"/>
                <w:lang w:val="en-US" w:eastAsia="zh-CN"/>
              </w:rPr>
              <w:t>α</w:t>
            </w:r>
            <w:r>
              <w:rPr>
                <w:rFonts w:hint="eastAsia" w:cs="Times New Roman"/>
                <w:i w:val="0"/>
                <w:iCs w:val="0"/>
                <w:color w:val="auto"/>
                <w:lang w:val="en-US" w:eastAsia="zh-CN"/>
              </w:rPr>
              <w:t>为平均吸声系数，本环评取0.1；</w:t>
            </w:r>
          </w:p>
          <w:p w14:paraId="60861575">
            <w:pPr>
              <w:keepNext w:val="0"/>
              <w:keepLines w:val="0"/>
              <w:pageBreakBefore w:val="0"/>
              <w:widowControl w:val="0"/>
              <w:kinsoku/>
              <w:wordWrap/>
              <w:overflowPunct/>
              <w:topLinePunct w:val="0"/>
              <w:autoSpaceDE/>
              <w:autoSpaceDN/>
              <w:bidi w:val="0"/>
              <w:adjustRightInd w:val="0"/>
              <w:snapToGrid w:val="0"/>
              <w:ind w:firstLine="1200" w:firstLineChars="500"/>
              <w:textAlignment w:val="auto"/>
              <w:rPr>
                <w:rFonts w:hint="eastAsia" w:cs="Times New Roman"/>
                <w:i w:val="0"/>
                <w:iCs w:val="0"/>
                <w:color w:val="auto"/>
                <w:lang w:val="en-US" w:eastAsia="zh-CN"/>
              </w:rPr>
            </w:pPr>
            <w:r>
              <w:rPr>
                <w:rFonts w:hint="eastAsia" w:cs="Times New Roman"/>
                <w:i/>
                <w:iCs/>
                <w:color w:val="auto"/>
                <w:lang w:val="en-US" w:eastAsia="zh-CN"/>
              </w:rPr>
              <w:t>r</w:t>
            </w:r>
            <w:r>
              <w:rPr>
                <w:rFonts w:hint="eastAsia" w:cs="Times New Roman"/>
                <w:i w:val="0"/>
                <w:iCs w:val="0"/>
                <w:color w:val="auto"/>
                <w:lang w:val="en-US" w:eastAsia="zh-CN"/>
              </w:rPr>
              <w:t>——声源到靠近围护结构某点处的距离，m。</w:t>
            </w:r>
          </w:p>
          <w:p w14:paraId="18B58762">
            <w:pPr>
              <w:bidi w:val="0"/>
              <w:rPr>
                <w:rFonts w:hint="eastAsia"/>
                <w:color w:val="auto"/>
                <w:lang w:val="en-US" w:eastAsia="zh-CN"/>
              </w:rPr>
            </w:pPr>
            <w:r>
              <w:rPr>
                <w:rFonts w:hint="eastAsia"/>
                <w:color w:val="auto"/>
                <w:lang w:val="en-US" w:eastAsia="zh-CN"/>
              </w:rPr>
              <w:t>B.所有室内声源在围护结构处产生的</w:t>
            </w:r>
            <w:r>
              <w:rPr>
                <w:rFonts w:hint="eastAsia"/>
                <w:i/>
                <w:iCs/>
                <w:color w:val="auto"/>
                <w:lang w:val="en-US" w:eastAsia="zh-CN"/>
              </w:rPr>
              <w:t>i</w:t>
            </w:r>
            <w:r>
              <w:rPr>
                <w:rFonts w:hint="eastAsia"/>
                <w:color w:val="auto"/>
                <w:lang w:val="en-US" w:eastAsia="zh-CN"/>
              </w:rPr>
              <w:t>倍频带叠加声压级：</w:t>
            </w:r>
          </w:p>
          <w:p w14:paraId="342D9DCA">
            <w:pPr>
              <w:pStyle w:val="17"/>
              <w:bidi w:val="0"/>
              <w:rPr>
                <w:rFonts w:hint="default"/>
                <w:color w:val="auto"/>
                <w:lang w:val="en-US" w:eastAsia="zh-CN"/>
              </w:rPr>
            </w:pPr>
            <w:r>
              <w:rPr>
                <w:rFonts w:hint="default"/>
                <w:color w:val="auto"/>
                <w:position w:val="-32"/>
                <w:lang w:val="en-US" w:eastAsia="zh-CN"/>
              </w:rPr>
              <w:object>
                <v:shape id="_x0000_i1044" o:spt="75" type="#_x0000_t75" style="height:38pt;width:131pt;" o:ole="t" filled="f" o:preferrelative="t" stroked="f" coordsize="21600,21600">
                  <v:path/>
                  <v:fill on="f" focussize="0,0"/>
                  <v:stroke on="f"/>
                  <v:imagedata r:id="rId47" o:title=""/>
                  <o:lock v:ext="edit" aspectratio="t"/>
                  <w10:wrap type="none"/>
                  <w10:anchorlock/>
                </v:shape>
                <o:OLEObject Type="Embed" ProgID="Equation.KSEE3" ShapeID="_x0000_i1044" DrawAspect="Content" ObjectID="_1468075744" r:id="rId46">
                  <o:LockedField>false</o:LockedField>
                </o:OLEObject>
              </w:object>
            </w:r>
          </w:p>
          <w:p w14:paraId="7A1AD6EF">
            <w:pPr>
              <w:bidi w:val="0"/>
              <w:rPr>
                <w:rFonts w:hint="default"/>
                <w:color w:val="auto"/>
                <w:lang w:val="en-US" w:eastAsia="zh-CN"/>
              </w:rPr>
            </w:pPr>
            <w:r>
              <w:rPr>
                <w:rFonts w:hint="eastAsia"/>
                <w:color w:val="auto"/>
                <w:lang w:val="en-US" w:eastAsia="zh-CN"/>
              </w:rPr>
              <w:t>式中：</w:t>
            </w:r>
            <w:r>
              <w:rPr>
                <w:rFonts w:hint="default"/>
                <w:i/>
                <w:iCs/>
                <w:color w:val="auto"/>
                <w:lang w:val="en-US" w:eastAsia="zh-CN"/>
              </w:rPr>
              <w:t>L</w:t>
            </w:r>
            <w:r>
              <w:rPr>
                <w:rFonts w:hint="default"/>
                <w:i/>
                <w:iCs/>
                <w:color w:val="auto"/>
                <w:vertAlign w:val="subscript"/>
                <w:lang w:val="en-US" w:eastAsia="zh-CN"/>
              </w:rPr>
              <w:t>p</w:t>
            </w:r>
            <w:r>
              <w:rPr>
                <w:rFonts w:hint="eastAsia"/>
                <w:color w:val="auto"/>
                <w:vertAlign w:val="subscript"/>
                <w:lang w:val="en-US" w:eastAsia="zh-CN"/>
              </w:rPr>
              <w:t>1</w:t>
            </w:r>
            <w:r>
              <w:rPr>
                <w:rFonts w:hint="default"/>
                <w:i/>
                <w:iCs/>
                <w:color w:val="auto"/>
                <w:vertAlign w:val="subscript"/>
                <w:lang w:val="en-US" w:eastAsia="zh-CN"/>
              </w:rPr>
              <w:t>i</w:t>
            </w:r>
            <w:r>
              <w:rPr>
                <w:rFonts w:hint="eastAsia"/>
                <w:color w:val="auto"/>
                <w:lang w:val="en-US" w:eastAsia="zh-CN"/>
              </w:rPr>
              <w:t>(</w:t>
            </w:r>
            <w:r>
              <w:rPr>
                <w:rFonts w:hint="default"/>
                <w:i/>
                <w:iCs/>
                <w:color w:val="auto"/>
                <w:lang w:val="en-US" w:eastAsia="zh-CN"/>
              </w:rPr>
              <w:t>T</w:t>
            </w:r>
            <w:r>
              <w:rPr>
                <w:rFonts w:hint="eastAsia"/>
                <w:color w:val="auto"/>
                <w:lang w:val="en-US" w:eastAsia="zh-CN"/>
              </w:rPr>
              <w:t>)——</w:t>
            </w:r>
            <w:r>
              <w:rPr>
                <w:rFonts w:hint="default"/>
                <w:color w:val="auto"/>
                <w:lang w:val="en-US" w:eastAsia="zh-CN"/>
              </w:rPr>
              <w:t>靠近围护结构处室内</w:t>
            </w:r>
            <w:r>
              <w:rPr>
                <w:rFonts w:hint="default"/>
                <w:i/>
                <w:iCs/>
                <w:color w:val="auto"/>
                <w:lang w:val="en-US" w:eastAsia="zh-CN"/>
              </w:rPr>
              <w:t>N</w:t>
            </w:r>
            <w:r>
              <w:rPr>
                <w:rFonts w:hint="default"/>
                <w:color w:val="auto"/>
                <w:lang w:val="en-US" w:eastAsia="zh-CN"/>
              </w:rPr>
              <w:t>个声源</w:t>
            </w:r>
            <w:r>
              <w:rPr>
                <w:rFonts w:hint="default"/>
                <w:i/>
                <w:iCs/>
                <w:color w:val="auto"/>
                <w:lang w:val="en-US" w:eastAsia="zh-CN"/>
              </w:rPr>
              <w:t>i</w:t>
            </w:r>
            <w:r>
              <w:rPr>
                <w:rFonts w:hint="default"/>
                <w:color w:val="auto"/>
                <w:lang w:val="en-US" w:eastAsia="zh-CN"/>
              </w:rPr>
              <w:t>倍频带的叠加声压级，dB；</w:t>
            </w:r>
          </w:p>
          <w:p w14:paraId="3D042C8A">
            <w:pPr>
              <w:keepNext w:val="0"/>
              <w:keepLines w:val="0"/>
              <w:pageBreakBefore w:val="0"/>
              <w:widowControl w:val="0"/>
              <w:kinsoku/>
              <w:wordWrap/>
              <w:overflowPunct/>
              <w:topLinePunct w:val="0"/>
              <w:autoSpaceDE/>
              <w:autoSpaceDN/>
              <w:bidi w:val="0"/>
              <w:adjustRightInd w:val="0"/>
              <w:snapToGrid w:val="0"/>
              <w:ind w:firstLine="1200" w:firstLineChars="500"/>
              <w:textAlignment w:val="auto"/>
              <w:rPr>
                <w:rFonts w:hint="default"/>
                <w:color w:val="auto"/>
                <w:lang w:val="en-US" w:eastAsia="zh-CN"/>
              </w:rPr>
            </w:pPr>
            <w:r>
              <w:rPr>
                <w:rFonts w:hint="default"/>
                <w:i/>
                <w:iCs/>
                <w:color w:val="auto"/>
                <w:lang w:val="en-US" w:eastAsia="zh-CN"/>
              </w:rPr>
              <w:t>L</w:t>
            </w:r>
            <w:r>
              <w:rPr>
                <w:rFonts w:hint="default"/>
                <w:i/>
                <w:iCs/>
                <w:color w:val="auto"/>
                <w:vertAlign w:val="subscript"/>
                <w:lang w:val="en-US" w:eastAsia="zh-CN"/>
              </w:rPr>
              <w:t>p</w:t>
            </w:r>
            <w:r>
              <w:rPr>
                <w:rFonts w:hint="eastAsia"/>
                <w:color w:val="auto"/>
                <w:vertAlign w:val="subscript"/>
                <w:lang w:val="en-US" w:eastAsia="zh-CN"/>
              </w:rPr>
              <w:t>1</w:t>
            </w:r>
            <w:r>
              <w:rPr>
                <w:rFonts w:hint="default"/>
                <w:i/>
                <w:iCs/>
                <w:color w:val="auto"/>
                <w:vertAlign w:val="subscript"/>
                <w:lang w:val="en-US" w:eastAsia="zh-CN"/>
              </w:rPr>
              <w:t>ij</w:t>
            </w:r>
            <w:r>
              <w:rPr>
                <w:rFonts w:hint="default"/>
                <w:color w:val="auto"/>
                <w:lang w:val="en-US" w:eastAsia="zh-CN"/>
              </w:rPr>
              <w:t>—室内</w:t>
            </w:r>
            <w:r>
              <w:rPr>
                <w:rFonts w:hint="default"/>
                <w:i/>
                <w:iCs/>
                <w:color w:val="auto"/>
                <w:lang w:val="en-US" w:eastAsia="zh-CN"/>
              </w:rPr>
              <w:t>j</w:t>
            </w:r>
            <w:r>
              <w:rPr>
                <w:rFonts w:hint="default"/>
                <w:color w:val="auto"/>
                <w:lang w:val="en-US" w:eastAsia="zh-CN"/>
              </w:rPr>
              <w:t>声源</w:t>
            </w:r>
            <w:r>
              <w:rPr>
                <w:rFonts w:hint="default"/>
                <w:i/>
                <w:iCs/>
                <w:color w:val="auto"/>
                <w:lang w:val="en-US" w:eastAsia="zh-CN"/>
              </w:rPr>
              <w:t>i</w:t>
            </w:r>
            <w:r>
              <w:rPr>
                <w:rFonts w:hint="default"/>
                <w:color w:val="auto"/>
                <w:lang w:val="en-US" w:eastAsia="zh-CN"/>
              </w:rPr>
              <w:t>倍频带的声压级，dB；</w:t>
            </w:r>
          </w:p>
          <w:p w14:paraId="03A3E5C6">
            <w:pPr>
              <w:keepNext w:val="0"/>
              <w:keepLines w:val="0"/>
              <w:pageBreakBefore w:val="0"/>
              <w:widowControl w:val="0"/>
              <w:kinsoku/>
              <w:wordWrap/>
              <w:overflowPunct/>
              <w:topLinePunct w:val="0"/>
              <w:autoSpaceDE/>
              <w:autoSpaceDN/>
              <w:bidi w:val="0"/>
              <w:adjustRightInd w:val="0"/>
              <w:snapToGrid w:val="0"/>
              <w:ind w:firstLine="1200" w:firstLineChars="500"/>
              <w:textAlignment w:val="auto"/>
              <w:rPr>
                <w:rFonts w:hint="default"/>
                <w:color w:val="auto"/>
                <w:lang w:val="en-US" w:eastAsia="zh-CN"/>
              </w:rPr>
            </w:pPr>
            <w:r>
              <w:rPr>
                <w:rFonts w:hint="default"/>
                <w:i/>
                <w:iCs/>
                <w:color w:val="auto"/>
                <w:lang w:val="en-US" w:eastAsia="zh-CN"/>
              </w:rPr>
              <w:t>N</w:t>
            </w:r>
            <w:r>
              <w:rPr>
                <w:rFonts w:hint="default"/>
                <w:color w:val="auto"/>
                <w:lang w:val="en-US" w:eastAsia="zh-CN"/>
              </w:rPr>
              <w:t>—室内声源总数。</w:t>
            </w:r>
          </w:p>
          <w:p w14:paraId="371C6B1A">
            <w:pPr>
              <w:bidi w:val="0"/>
              <w:rPr>
                <w:rFonts w:hint="eastAsia"/>
                <w:color w:val="auto"/>
                <w:lang w:val="en-US" w:eastAsia="zh-CN"/>
              </w:rPr>
            </w:pPr>
            <w:r>
              <w:rPr>
                <w:rFonts w:hint="eastAsia"/>
                <w:color w:val="auto"/>
                <w:lang w:val="en-US" w:eastAsia="zh-CN"/>
              </w:rPr>
              <w:t>C.靠近室外围护结构处的声压级：</w:t>
            </w:r>
          </w:p>
          <w:p w14:paraId="644B778E">
            <w:pPr>
              <w:pStyle w:val="17"/>
              <w:bidi w:val="0"/>
              <w:rPr>
                <w:rFonts w:hint="default"/>
                <w:color w:val="auto"/>
                <w:lang w:val="en-US" w:eastAsia="zh-CN"/>
              </w:rPr>
            </w:pPr>
            <w:r>
              <w:rPr>
                <w:rFonts w:hint="default"/>
                <w:color w:val="auto"/>
                <w:position w:val="-14"/>
                <w:lang w:val="en-US" w:eastAsia="zh-CN"/>
              </w:rPr>
              <w:object>
                <v:shape id="_x0000_i1045" o:spt="75" type="#_x0000_t75" style="height:19pt;width:132pt;" o:ole="t" filled="f" o:preferrelative="t" stroked="f" coordsize="21600,21600">
                  <v:path/>
                  <v:fill on="f" focussize="0,0"/>
                  <v:stroke on="f"/>
                  <v:imagedata r:id="rId49" o:title=""/>
                  <o:lock v:ext="edit" aspectratio="t"/>
                  <w10:wrap type="none"/>
                  <w10:anchorlock/>
                </v:shape>
                <o:OLEObject Type="Embed" ProgID="Equation.KSEE3" ShapeID="_x0000_i1045" DrawAspect="Content" ObjectID="_1468075745" r:id="rId48">
                  <o:LockedField>false</o:LockedField>
                </o:OLEObject>
              </w:object>
            </w:r>
          </w:p>
          <w:p w14:paraId="393AE170">
            <w:pPr>
              <w:bidi w:val="0"/>
              <w:rPr>
                <w:rFonts w:hint="eastAsia"/>
                <w:color w:val="auto"/>
                <w:lang w:val="en-US" w:eastAsia="zh-CN"/>
              </w:rPr>
            </w:pPr>
            <w:r>
              <w:rPr>
                <w:rFonts w:hint="eastAsia"/>
                <w:color w:val="auto"/>
                <w:lang w:val="en-US" w:eastAsia="zh-CN"/>
              </w:rPr>
              <w:t>式中：</w:t>
            </w:r>
            <w:r>
              <w:rPr>
                <w:rFonts w:hint="eastAsia"/>
                <w:i/>
                <w:iCs/>
                <w:color w:val="auto"/>
                <w:lang w:val="en-US" w:eastAsia="zh-CN"/>
              </w:rPr>
              <w:t>L</w:t>
            </w:r>
            <w:r>
              <w:rPr>
                <w:rFonts w:hint="eastAsia"/>
                <w:i/>
                <w:iCs/>
                <w:color w:val="auto"/>
                <w:vertAlign w:val="subscript"/>
                <w:lang w:val="en-US" w:eastAsia="zh-CN"/>
              </w:rPr>
              <w:t>p</w:t>
            </w:r>
            <w:r>
              <w:rPr>
                <w:rFonts w:hint="eastAsia"/>
                <w:color w:val="auto"/>
                <w:vertAlign w:val="subscript"/>
                <w:lang w:val="en-US" w:eastAsia="zh-CN"/>
              </w:rPr>
              <w:t>2</w:t>
            </w:r>
            <w:r>
              <w:rPr>
                <w:rFonts w:hint="eastAsia"/>
                <w:i/>
                <w:iCs/>
                <w:color w:val="auto"/>
                <w:vertAlign w:val="subscript"/>
                <w:lang w:val="en-US" w:eastAsia="zh-CN"/>
              </w:rPr>
              <w:t>i</w:t>
            </w:r>
            <w:r>
              <w:rPr>
                <w:rFonts w:hint="eastAsia"/>
                <w:color w:val="auto"/>
                <w:lang w:val="en-US" w:eastAsia="zh-CN"/>
              </w:rPr>
              <w:t>(</w:t>
            </w:r>
            <w:r>
              <w:rPr>
                <w:rFonts w:hint="eastAsia"/>
                <w:i/>
                <w:iCs/>
                <w:color w:val="auto"/>
                <w:lang w:val="en-US" w:eastAsia="zh-CN"/>
              </w:rPr>
              <w:t>T</w:t>
            </w:r>
            <w:r>
              <w:rPr>
                <w:rFonts w:hint="eastAsia"/>
                <w:color w:val="auto"/>
                <w:lang w:val="en-US" w:eastAsia="zh-CN"/>
              </w:rPr>
              <w:t>)——靠近围护结构处室外</w:t>
            </w:r>
            <w:r>
              <w:rPr>
                <w:rFonts w:hint="eastAsia"/>
                <w:i/>
                <w:iCs/>
                <w:color w:val="auto"/>
                <w:lang w:val="en-US" w:eastAsia="zh-CN"/>
              </w:rPr>
              <w:t>N</w:t>
            </w:r>
            <w:r>
              <w:rPr>
                <w:rFonts w:hint="eastAsia"/>
                <w:color w:val="auto"/>
                <w:lang w:val="en-US" w:eastAsia="zh-CN"/>
              </w:rPr>
              <w:t>个声源</w:t>
            </w:r>
            <w:r>
              <w:rPr>
                <w:rFonts w:hint="eastAsia"/>
                <w:i/>
                <w:iCs/>
                <w:color w:val="auto"/>
                <w:lang w:val="en-US" w:eastAsia="zh-CN"/>
              </w:rPr>
              <w:t>i</w:t>
            </w:r>
            <w:r>
              <w:rPr>
                <w:rFonts w:hint="eastAsia"/>
                <w:color w:val="auto"/>
                <w:lang w:val="en-US" w:eastAsia="zh-CN"/>
              </w:rPr>
              <w:t>倍频带的叠加声压级，dB；</w:t>
            </w:r>
          </w:p>
          <w:p w14:paraId="2FA5A075">
            <w:pPr>
              <w:keepNext w:val="0"/>
              <w:keepLines w:val="0"/>
              <w:pageBreakBefore w:val="0"/>
              <w:widowControl w:val="0"/>
              <w:kinsoku/>
              <w:wordWrap/>
              <w:overflowPunct/>
              <w:topLinePunct w:val="0"/>
              <w:autoSpaceDE/>
              <w:autoSpaceDN/>
              <w:bidi w:val="0"/>
              <w:adjustRightInd w:val="0"/>
              <w:snapToGrid w:val="0"/>
              <w:ind w:firstLine="1200" w:firstLineChars="500"/>
              <w:textAlignment w:val="auto"/>
              <w:rPr>
                <w:rFonts w:hint="eastAsia"/>
                <w:color w:val="auto"/>
                <w:lang w:val="en-US" w:eastAsia="zh-CN"/>
              </w:rPr>
            </w:pPr>
            <w:r>
              <w:rPr>
                <w:rFonts w:hint="default"/>
                <w:i/>
                <w:iCs/>
                <w:color w:val="auto"/>
                <w:lang w:val="en-US" w:eastAsia="zh-CN"/>
              </w:rPr>
              <w:t>L</w:t>
            </w:r>
            <w:r>
              <w:rPr>
                <w:rFonts w:hint="default"/>
                <w:i/>
                <w:iCs/>
                <w:color w:val="auto"/>
                <w:vertAlign w:val="subscript"/>
                <w:lang w:val="en-US" w:eastAsia="zh-CN"/>
              </w:rPr>
              <w:t>p</w:t>
            </w:r>
            <w:r>
              <w:rPr>
                <w:rFonts w:hint="eastAsia"/>
                <w:color w:val="auto"/>
                <w:vertAlign w:val="subscript"/>
                <w:lang w:val="en-US" w:eastAsia="zh-CN"/>
              </w:rPr>
              <w:t>1</w:t>
            </w:r>
            <w:r>
              <w:rPr>
                <w:rFonts w:hint="default"/>
                <w:i/>
                <w:iCs/>
                <w:color w:val="auto"/>
                <w:vertAlign w:val="subscript"/>
                <w:lang w:val="en-US" w:eastAsia="zh-CN"/>
              </w:rPr>
              <w:t>i</w:t>
            </w:r>
            <w:r>
              <w:rPr>
                <w:rFonts w:hint="eastAsia"/>
                <w:color w:val="auto"/>
                <w:lang w:val="en-US" w:eastAsia="zh-CN"/>
              </w:rPr>
              <w:t>(</w:t>
            </w:r>
            <w:r>
              <w:rPr>
                <w:rFonts w:hint="default"/>
                <w:i/>
                <w:iCs/>
                <w:color w:val="auto"/>
                <w:lang w:val="en-US" w:eastAsia="zh-CN"/>
              </w:rPr>
              <w:t>T</w:t>
            </w:r>
            <w:r>
              <w:rPr>
                <w:rFonts w:hint="eastAsia"/>
                <w:color w:val="auto"/>
                <w:lang w:val="en-US" w:eastAsia="zh-CN"/>
              </w:rPr>
              <w:t>)——靠近围护结构处室内</w:t>
            </w:r>
            <w:r>
              <w:rPr>
                <w:rFonts w:hint="eastAsia"/>
                <w:i/>
                <w:iCs/>
                <w:color w:val="auto"/>
                <w:lang w:val="en-US" w:eastAsia="zh-CN"/>
              </w:rPr>
              <w:t>N</w:t>
            </w:r>
            <w:r>
              <w:rPr>
                <w:rFonts w:hint="eastAsia"/>
                <w:color w:val="auto"/>
                <w:lang w:val="en-US" w:eastAsia="zh-CN"/>
              </w:rPr>
              <w:t>个声源</w:t>
            </w:r>
            <w:r>
              <w:rPr>
                <w:rFonts w:hint="eastAsia"/>
                <w:i/>
                <w:iCs/>
                <w:color w:val="auto"/>
                <w:lang w:val="en-US" w:eastAsia="zh-CN"/>
              </w:rPr>
              <w:t>i</w:t>
            </w:r>
            <w:r>
              <w:rPr>
                <w:rFonts w:hint="eastAsia"/>
                <w:color w:val="auto"/>
                <w:lang w:val="en-US" w:eastAsia="zh-CN"/>
              </w:rPr>
              <w:t>倍频带的叠加声压级，dB；</w:t>
            </w:r>
          </w:p>
          <w:p w14:paraId="7C252951">
            <w:pPr>
              <w:keepNext w:val="0"/>
              <w:keepLines w:val="0"/>
              <w:pageBreakBefore w:val="0"/>
              <w:widowControl w:val="0"/>
              <w:kinsoku/>
              <w:wordWrap/>
              <w:overflowPunct/>
              <w:topLinePunct w:val="0"/>
              <w:autoSpaceDE/>
              <w:autoSpaceDN/>
              <w:bidi w:val="0"/>
              <w:adjustRightInd w:val="0"/>
              <w:snapToGrid w:val="0"/>
              <w:ind w:firstLine="1200" w:firstLineChars="500"/>
              <w:textAlignment w:val="auto"/>
              <w:rPr>
                <w:rFonts w:hint="eastAsia"/>
                <w:color w:val="auto"/>
                <w:lang w:val="en-US" w:eastAsia="zh-CN"/>
              </w:rPr>
            </w:pPr>
            <w:r>
              <w:rPr>
                <w:rFonts w:hint="eastAsia"/>
                <w:i/>
                <w:iCs/>
                <w:color w:val="auto"/>
                <w:lang w:val="en-US" w:eastAsia="zh-CN"/>
              </w:rPr>
              <w:t>TL</w:t>
            </w:r>
            <w:r>
              <w:rPr>
                <w:rFonts w:hint="eastAsia"/>
                <w:i/>
                <w:iCs/>
                <w:color w:val="auto"/>
                <w:vertAlign w:val="subscript"/>
                <w:lang w:val="en-US" w:eastAsia="zh-CN"/>
              </w:rPr>
              <w:t>i</w:t>
            </w:r>
            <w:r>
              <w:rPr>
                <w:rFonts w:hint="eastAsia"/>
                <w:color w:val="auto"/>
                <w:lang w:val="en-US" w:eastAsia="zh-CN"/>
              </w:rPr>
              <w:t>—围护结构</w:t>
            </w:r>
            <w:r>
              <w:rPr>
                <w:rFonts w:hint="eastAsia"/>
                <w:i/>
                <w:iCs/>
                <w:color w:val="auto"/>
                <w:lang w:val="en-US" w:eastAsia="zh-CN"/>
              </w:rPr>
              <w:t>i</w:t>
            </w:r>
            <w:r>
              <w:rPr>
                <w:rFonts w:hint="eastAsia"/>
                <w:color w:val="auto"/>
                <w:lang w:val="en-US" w:eastAsia="zh-CN"/>
              </w:rPr>
              <w:t>倍频带的隔声量，dB，本环评取45dB；</w:t>
            </w:r>
          </w:p>
          <w:p w14:paraId="717DA5A4">
            <w:pPr>
              <w:bidi w:val="0"/>
              <w:rPr>
                <w:rFonts w:hint="eastAsia"/>
                <w:color w:val="auto"/>
                <w:lang w:val="en-US" w:eastAsia="zh-CN"/>
              </w:rPr>
            </w:pPr>
            <w:r>
              <w:rPr>
                <w:rFonts w:hint="eastAsia"/>
                <w:color w:val="auto"/>
                <w:lang w:val="en-US" w:eastAsia="zh-CN"/>
              </w:rPr>
              <w:t>D.将室外声源的声压级和透过面积换算成等效的室外声源，计算出中心位置位于透声面积（</w:t>
            </w:r>
            <w:r>
              <w:rPr>
                <w:rFonts w:hint="eastAsia"/>
                <w:i/>
                <w:iCs/>
                <w:color w:val="auto"/>
                <w:lang w:val="en-US" w:eastAsia="zh-CN"/>
              </w:rPr>
              <w:t>S</w:t>
            </w:r>
            <w:r>
              <w:rPr>
                <w:rFonts w:hint="eastAsia"/>
                <w:color w:val="auto"/>
                <w:lang w:val="en-US" w:eastAsia="zh-CN"/>
              </w:rPr>
              <w:t>）处的等效声源的倍频带声功率级：</w:t>
            </w:r>
          </w:p>
          <w:p w14:paraId="0817B430">
            <w:pPr>
              <w:pStyle w:val="17"/>
              <w:bidi w:val="0"/>
              <w:rPr>
                <w:rFonts w:hint="default"/>
                <w:color w:val="auto"/>
                <w:lang w:val="en-US" w:eastAsia="zh-CN"/>
              </w:rPr>
            </w:pPr>
            <w:r>
              <w:rPr>
                <w:rFonts w:hint="default"/>
                <w:color w:val="auto"/>
                <w:position w:val="-14"/>
                <w:sz w:val="21"/>
                <w:szCs w:val="24"/>
                <w:lang w:val="en-US" w:eastAsia="zh-CN"/>
              </w:rPr>
              <w:object>
                <v:shape id="_x0000_i1046" o:spt="75" type="#_x0000_t75" style="height:19pt;width:101pt;" o:ole="t" filled="f" o:preferrelative="t" stroked="f" coordsize="21600,21600">
                  <v:path/>
                  <v:fill on="f" focussize="0,0"/>
                  <v:stroke on="f"/>
                  <v:imagedata r:id="rId51" o:title=""/>
                  <o:lock v:ext="edit" aspectratio="t"/>
                  <w10:wrap type="none"/>
                  <w10:anchorlock/>
                </v:shape>
                <o:OLEObject Type="Embed" ProgID="Equation.KSEE3" ShapeID="_x0000_i1046" DrawAspect="Content" ObjectID="_1468075746" r:id="rId50">
                  <o:LockedField>false</o:LockedField>
                </o:OLEObject>
              </w:object>
            </w:r>
          </w:p>
          <w:p w14:paraId="6D3D1083">
            <w:pPr>
              <w:bidi w:val="0"/>
              <w:rPr>
                <w:rFonts w:hint="eastAsia"/>
                <w:color w:val="auto"/>
                <w:lang w:val="en-US" w:eastAsia="zh-CN"/>
              </w:rPr>
            </w:pPr>
            <w:r>
              <w:rPr>
                <w:rFonts w:hint="eastAsia"/>
                <w:color w:val="auto"/>
                <w:lang w:val="en-US" w:eastAsia="zh-CN"/>
              </w:rPr>
              <w:t>式中：</w:t>
            </w:r>
            <w:r>
              <w:rPr>
                <w:rFonts w:hint="eastAsia"/>
                <w:i/>
                <w:iCs/>
                <w:color w:val="auto"/>
                <w:lang w:val="en-US" w:eastAsia="zh-CN"/>
              </w:rPr>
              <w:t>L</w:t>
            </w:r>
            <w:r>
              <w:rPr>
                <w:rFonts w:hint="eastAsia"/>
                <w:i/>
                <w:iCs/>
                <w:color w:val="auto"/>
                <w:vertAlign w:val="subscript"/>
                <w:lang w:val="en-US" w:eastAsia="zh-CN"/>
              </w:rPr>
              <w:t>w</w:t>
            </w:r>
            <w:r>
              <w:rPr>
                <w:rFonts w:hint="eastAsia"/>
                <w:color w:val="auto"/>
                <w:lang w:val="en-US" w:eastAsia="zh-CN"/>
              </w:rPr>
              <w:t>——中心位置位于透声面积（</w:t>
            </w:r>
            <w:r>
              <w:rPr>
                <w:rFonts w:hint="eastAsia"/>
                <w:i/>
                <w:iCs/>
                <w:color w:val="auto"/>
                <w:lang w:val="en-US" w:eastAsia="zh-CN"/>
              </w:rPr>
              <w:t>S</w:t>
            </w:r>
            <w:r>
              <w:rPr>
                <w:rFonts w:hint="eastAsia"/>
                <w:color w:val="auto"/>
                <w:lang w:val="en-US" w:eastAsia="zh-CN"/>
              </w:rPr>
              <w:t>）处的等效声源的倍频带声功率级，dB；</w:t>
            </w:r>
          </w:p>
          <w:p w14:paraId="205B5F52">
            <w:pPr>
              <w:keepNext w:val="0"/>
              <w:keepLines w:val="0"/>
              <w:pageBreakBefore w:val="0"/>
              <w:widowControl w:val="0"/>
              <w:kinsoku/>
              <w:wordWrap/>
              <w:overflowPunct/>
              <w:topLinePunct w:val="0"/>
              <w:autoSpaceDE/>
              <w:autoSpaceDN/>
              <w:bidi w:val="0"/>
              <w:adjustRightInd w:val="0"/>
              <w:snapToGrid w:val="0"/>
              <w:ind w:firstLine="1200" w:firstLineChars="500"/>
              <w:textAlignment w:val="auto"/>
              <w:rPr>
                <w:rFonts w:hint="eastAsia"/>
                <w:color w:val="auto"/>
                <w:lang w:val="en-US" w:eastAsia="zh-CN"/>
              </w:rPr>
            </w:pPr>
            <w:r>
              <w:rPr>
                <w:rFonts w:hint="eastAsia"/>
                <w:i/>
                <w:iCs/>
                <w:color w:val="auto"/>
                <w:lang w:val="en-US" w:eastAsia="zh-CN"/>
              </w:rPr>
              <w:t>L</w:t>
            </w:r>
            <w:r>
              <w:rPr>
                <w:rFonts w:hint="eastAsia"/>
                <w:i/>
                <w:iCs/>
                <w:color w:val="auto"/>
                <w:vertAlign w:val="subscript"/>
                <w:lang w:val="en-US" w:eastAsia="zh-CN"/>
              </w:rPr>
              <w:t>p</w:t>
            </w:r>
            <w:r>
              <w:rPr>
                <w:rFonts w:hint="eastAsia"/>
                <w:color w:val="auto"/>
                <w:vertAlign w:val="subscript"/>
                <w:lang w:val="en-US" w:eastAsia="zh-CN"/>
              </w:rPr>
              <w:t>2</w:t>
            </w:r>
            <w:r>
              <w:rPr>
                <w:rFonts w:hint="eastAsia"/>
                <w:color w:val="auto"/>
                <w:lang w:val="en-US" w:eastAsia="zh-CN"/>
              </w:rPr>
              <w:t>(</w:t>
            </w:r>
            <w:r>
              <w:rPr>
                <w:rFonts w:hint="eastAsia"/>
                <w:i/>
                <w:iCs/>
                <w:color w:val="auto"/>
                <w:lang w:val="en-US" w:eastAsia="zh-CN"/>
              </w:rPr>
              <w:t>T</w:t>
            </w:r>
            <w:r>
              <w:rPr>
                <w:rFonts w:hint="eastAsia"/>
                <w:color w:val="auto"/>
                <w:lang w:val="en-US" w:eastAsia="zh-CN"/>
              </w:rPr>
              <w:t>)——靠近围护结构处室外声源的声压级，dB；</w:t>
            </w:r>
          </w:p>
          <w:p w14:paraId="7C02C29D">
            <w:pPr>
              <w:keepNext w:val="0"/>
              <w:keepLines w:val="0"/>
              <w:pageBreakBefore w:val="0"/>
              <w:widowControl w:val="0"/>
              <w:kinsoku/>
              <w:wordWrap/>
              <w:overflowPunct/>
              <w:topLinePunct w:val="0"/>
              <w:autoSpaceDE/>
              <w:autoSpaceDN/>
              <w:bidi w:val="0"/>
              <w:adjustRightInd w:val="0"/>
              <w:snapToGrid w:val="0"/>
              <w:ind w:firstLine="1200" w:firstLineChars="500"/>
              <w:textAlignment w:val="auto"/>
              <w:rPr>
                <w:rFonts w:hint="eastAsia"/>
                <w:color w:val="auto"/>
                <w:lang w:val="en-US" w:eastAsia="zh-CN"/>
              </w:rPr>
            </w:pPr>
            <w:r>
              <w:rPr>
                <w:rFonts w:hint="eastAsia"/>
                <w:i/>
                <w:iCs/>
                <w:color w:val="auto"/>
                <w:lang w:val="en-US" w:eastAsia="zh-CN"/>
              </w:rPr>
              <w:t>S</w:t>
            </w:r>
            <w:r>
              <w:rPr>
                <w:rFonts w:hint="eastAsia"/>
                <w:color w:val="auto"/>
                <w:lang w:val="en-US" w:eastAsia="zh-CN"/>
              </w:rPr>
              <w:t>——透声面积。</w:t>
            </w:r>
          </w:p>
          <w:p w14:paraId="38266A22">
            <w:pPr>
              <w:bidi w:val="0"/>
              <w:rPr>
                <w:rFonts w:hint="eastAsia"/>
                <w:color w:val="auto"/>
                <w:lang w:val="en-US" w:eastAsia="zh-CN"/>
              </w:rPr>
            </w:pPr>
            <w:r>
              <w:rPr>
                <w:rFonts w:hint="eastAsia"/>
                <w:color w:val="auto"/>
                <w:lang w:val="en-US" w:eastAsia="zh-CN"/>
              </w:rPr>
              <w:t>E.计算等效室外声源传播到预测点的声压级：</w:t>
            </w:r>
          </w:p>
          <w:p w14:paraId="4FBEA5ED">
            <w:pPr>
              <w:pStyle w:val="17"/>
              <w:bidi w:val="0"/>
              <w:rPr>
                <w:rFonts w:hint="default"/>
                <w:color w:val="auto"/>
                <w:lang w:val="en-US" w:eastAsia="zh-CN"/>
              </w:rPr>
            </w:pPr>
            <w:r>
              <w:rPr>
                <w:rFonts w:hint="default"/>
                <w:color w:val="auto"/>
                <w:position w:val="-14"/>
                <w:lang w:val="en-US" w:eastAsia="zh-CN"/>
              </w:rPr>
              <w:object>
                <v:shape id="_x0000_i1047" o:spt="75" type="#_x0000_t75" style="height:19pt;width:110pt;" o:ole="t" filled="f" o:preferrelative="t" stroked="f" coordsize="21600,21600">
                  <v:path/>
                  <v:fill on="f" focussize="0,0"/>
                  <v:stroke on="f"/>
                  <v:imagedata r:id="rId53" o:title=""/>
                  <o:lock v:ext="edit" aspectratio="t"/>
                  <w10:wrap type="none"/>
                  <w10:anchorlock/>
                </v:shape>
                <o:OLEObject Type="Embed" ProgID="Equation.KSEE3" ShapeID="_x0000_i1047" DrawAspect="Content" ObjectID="_1468075747" r:id="rId52">
                  <o:LockedField>false</o:LockedField>
                </o:OLEObject>
              </w:object>
            </w:r>
          </w:p>
          <w:p w14:paraId="5DCC48DE">
            <w:pPr>
              <w:bidi w:val="0"/>
              <w:rPr>
                <w:rFonts w:hint="eastAsia"/>
                <w:color w:val="auto"/>
                <w:lang w:val="en-US" w:eastAsia="zh-CN"/>
              </w:rPr>
            </w:pPr>
            <w:r>
              <w:rPr>
                <w:rFonts w:hint="default"/>
                <w:color w:val="auto"/>
                <w:lang w:val="en-US" w:eastAsia="zh-CN"/>
              </w:rPr>
              <w:t>计算预测点的预测等效声级</w:t>
            </w:r>
            <w:r>
              <w:rPr>
                <w:rFonts w:hint="eastAsia"/>
                <w:color w:val="auto"/>
                <w:lang w:val="en-US" w:eastAsia="zh-CN"/>
              </w:rPr>
              <w:t>（</w:t>
            </w:r>
            <w:r>
              <w:rPr>
                <w:rFonts w:hint="default"/>
                <w:color w:val="auto"/>
                <w:lang w:val="en-US" w:eastAsia="zh-CN"/>
              </w:rPr>
              <w:t>L</w:t>
            </w:r>
            <w:r>
              <w:rPr>
                <w:rFonts w:hint="default"/>
                <w:color w:val="auto"/>
                <w:vertAlign w:val="subscript"/>
                <w:lang w:val="en-US" w:eastAsia="zh-CN"/>
              </w:rPr>
              <w:t>eq</w:t>
            </w:r>
            <w:r>
              <w:rPr>
                <w:rFonts w:hint="eastAsia"/>
                <w:color w:val="auto"/>
                <w:lang w:val="en-US" w:eastAsia="zh-CN"/>
              </w:rPr>
              <w:t>）：</w:t>
            </w:r>
          </w:p>
          <w:p w14:paraId="2116564A">
            <w:pPr>
              <w:pStyle w:val="17"/>
              <w:bidi w:val="0"/>
              <w:rPr>
                <w:rFonts w:hint="default"/>
                <w:color w:val="auto"/>
                <w:lang w:val="en-US" w:eastAsia="zh-CN"/>
              </w:rPr>
            </w:pPr>
            <w:r>
              <w:rPr>
                <w:rFonts w:hint="default"/>
                <w:color w:val="auto"/>
                <w:position w:val="-14"/>
                <w:lang w:val="en-US" w:eastAsia="zh-CN"/>
              </w:rPr>
              <w:object>
                <v:shape id="_x0000_i1048" o:spt="75" type="#_x0000_t75" style="height:21pt;width:135pt;" o:ole="t" filled="f" o:preferrelative="t" stroked="f" coordsize="21600,21600">
                  <v:path/>
                  <v:fill on="f" focussize="0,0"/>
                  <v:stroke on="f"/>
                  <v:imagedata r:id="rId55" o:title=""/>
                  <o:lock v:ext="edit" aspectratio="t"/>
                  <w10:wrap type="none"/>
                  <w10:anchorlock/>
                </v:shape>
                <o:OLEObject Type="Embed" ProgID="Equation.KSEE3" ShapeID="_x0000_i1048" DrawAspect="Content" ObjectID="_1468075748" r:id="rId54">
                  <o:LockedField>false</o:LockedField>
                </o:OLEObject>
              </w:object>
            </w:r>
          </w:p>
          <w:p w14:paraId="2E7EA39E">
            <w:pPr>
              <w:bidi w:val="0"/>
              <w:rPr>
                <w:rFonts w:hint="eastAsia"/>
                <w:color w:val="auto"/>
                <w:vertAlign w:val="baseline"/>
                <w:lang w:val="en-US" w:eastAsia="zh-CN"/>
              </w:rPr>
            </w:pPr>
            <w:r>
              <w:rPr>
                <w:rFonts w:hint="eastAsia"/>
                <w:color w:val="auto"/>
                <w:lang w:val="en-US" w:eastAsia="zh-CN"/>
              </w:rPr>
              <w:t>式中：</w:t>
            </w:r>
            <w:r>
              <w:rPr>
                <w:rFonts w:hint="eastAsia"/>
                <w:i/>
                <w:iCs/>
                <w:color w:val="auto"/>
                <w:lang w:val="en-US" w:eastAsia="zh-CN"/>
              </w:rPr>
              <w:t>L</w:t>
            </w:r>
            <w:r>
              <w:rPr>
                <w:rFonts w:hint="eastAsia"/>
                <w:color w:val="auto"/>
                <w:vertAlign w:val="subscript"/>
                <w:lang w:val="en-US" w:eastAsia="zh-CN"/>
              </w:rPr>
              <w:t>eq</w:t>
            </w:r>
            <w:r>
              <w:rPr>
                <w:rFonts w:hint="eastAsia"/>
                <w:color w:val="auto"/>
                <w:vertAlign w:val="baseline"/>
                <w:lang w:val="en-US" w:eastAsia="zh-CN"/>
              </w:rPr>
              <w:t>——预测点的噪声预测值，dB；</w:t>
            </w:r>
          </w:p>
          <w:p w14:paraId="0E4E4BAE">
            <w:pPr>
              <w:keepNext w:val="0"/>
              <w:keepLines w:val="0"/>
              <w:pageBreakBefore w:val="0"/>
              <w:widowControl w:val="0"/>
              <w:kinsoku/>
              <w:wordWrap/>
              <w:overflowPunct/>
              <w:topLinePunct w:val="0"/>
              <w:autoSpaceDE/>
              <w:autoSpaceDN/>
              <w:bidi w:val="0"/>
              <w:adjustRightInd w:val="0"/>
              <w:snapToGrid w:val="0"/>
              <w:ind w:firstLine="1200" w:firstLineChars="500"/>
              <w:textAlignment w:val="auto"/>
              <w:rPr>
                <w:rFonts w:hint="eastAsia"/>
                <w:color w:val="auto"/>
                <w:vertAlign w:val="baseline"/>
                <w:lang w:val="en-US" w:eastAsia="zh-CN"/>
              </w:rPr>
            </w:pPr>
            <w:r>
              <w:rPr>
                <w:rFonts w:hint="eastAsia"/>
                <w:i/>
                <w:iCs/>
                <w:color w:val="auto"/>
                <w:vertAlign w:val="baseline"/>
                <w:lang w:val="en-US" w:eastAsia="zh-CN"/>
              </w:rPr>
              <w:t>L</w:t>
            </w:r>
            <w:r>
              <w:rPr>
                <w:rFonts w:hint="eastAsia"/>
                <w:color w:val="auto"/>
                <w:vertAlign w:val="subscript"/>
                <w:lang w:val="en-US" w:eastAsia="zh-CN"/>
              </w:rPr>
              <w:t>eqg</w:t>
            </w:r>
            <w:r>
              <w:rPr>
                <w:rFonts w:hint="eastAsia"/>
                <w:color w:val="auto"/>
                <w:vertAlign w:val="baseline"/>
                <w:lang w:val="en-US" w:eastAsia="zh-CN"/>
              </w:rPr>
              <w:t>——建设项目声源在预测点产生的噪声贡献值，dB；</w:t>
            </w:r>
          </w:p>
          <w:p w14:paraId="258BD953">
            <w:pPr>
              <w:keepNext w:val="0"/>
              <w:keepLines w:val="0"/>
              <w:pageBreakBefore w:val="0"/>
              <w:widowControl w:val="0"/>
              <w:kinsoku/>
              <w:wordWrap/>
              <w:overflowPunct/>
              <w:topLinePunct w:val="0"/>
              <w:autoSpaceDE/>
              <w:autoSpaceDN/>
              <w:bidi w:val="0"/>
              <w:adjustRightInd w:val="0"/>
              <w:snapToGrid w:val="0"/>
              <w:ind w:firstLine="1200" w:firstLineChars="500"/>
              <w:textAlignment w:val="auto"/>
              <w:rPr>
                <w:rFonts w:hint="eastAsia"/>
                <w:color w:val="auto"/>
                <w:vertAlign w:val="baseline"/>
                <w:lang w:val="en-US" w:eastAsia="zh-CN"/>
              </w:rPr>
            </w:pPr>
            <w:r>
              <w:rPr>
                <w:rFonts w:hint="eastAsia"/>
                <w:i/>
                <w:iCs/>
                <w:color w:val="auto"/>
                <w:vertAlign w:val="baseline"/>
                <w:lang w:val="en-US" w:eastAsia="zh-CN"/>
              </w:rPr>
              <w:t>L</w:t>
            </w:r>
            <w:r>
              <w:rPr>
                <w:rFonts w:hint="eastAsia"/>
                <w:color w:val="auto"/>
                <w:vertAlign w:val="subscript"/>
                <w:lang w:val="en-US" w:eastAsia="zh-CN"/>
              </w:rPr>
              <w:t>eqb</w:t>
            </w:r>
            <w:r>
              <w:rPr>
                <w:rFonts w:hint="eastAsia"/>
                <w:color w:val="auto"/>
                <w:vertAlign w:val="baseline"/>
                <w:lang w:val="en-US" w:eastAsia="zh-CN"/>
              </w:rPr>
              <w:t>——预测点的背景噪声值，dB。</w:t>
            </w:r>
          </w:p>
          <w:p w14:paraId="4570F68F">
            <w:pPr>
              <w:bidi w:val="0"/>
              <w:rPr>
                <w:rFonts w:hint="eastAsia"/>
                <w:color w:val="auto"/>
                <w:lang w:val="en-US" w:eastAsia="zh-CN"/>
              </w:rPr>
            </w:pPr>
            <w:r>
              <w:rPr>
                <w:rFonts w:hint="eastAsia"/>
                <w:color w:val="auto"/>
                <w:lang w:val="en-US" w:eastAsia="zh-CN"/>
              </w:rPr>
              <w:t>因此，通过预测模型计算，本项目厂界噪声预测结果与达标分析</w:t>
            </w:r>
            <w:r>
              <w:rPr>
                <w:rFonts w:hint="default"/>
                <w:color w:val="auto"/>
                <w:lang w:val="en-US" w:eastAsia="zh-CN"/>
              </w:rPr>
              <w:t>结果</w:t>
            </w:r>
            <w:r>
              <w:rPr>
                <w:rFonts w:hint="eastAsia"/>
                <w:color w:val="auto"/>
                <w:lang w:val="en-US" w:eastAsia="zh-CN"/>
              </w:rPr>
              <w:t>详见表4-10、表4-11。</w:t>
            </w:r>
          </w:p>
          <w:p w14:paraId="5BE68A50">
            <w:pPr>
              <w:pStyle w:val="18"/>
              <w:bidi w:val="0"/>
              <w:rPr>
                <w:rFonts w:ascii="Times New Roman" w:hAnsi="Times New Roman" w:cs="Times New Roman"/>
                <w:b/>
                <w:color w:val="auto"/>
                <w:lang w:eastAsia="zh-CN"/>
              </w:rPr>
            </w:pPr>
            <w:r>
              <w:rPr>
                <w:rFonts w:hint="eastAsia"/>
                <w:color w:val="auto"/>
                <w:lang w:val="en-US" w:eastAsia="zh-CN"/>
              </w:rPr>
              <w:t>表4-10 项目厂界噪声预测结果与达标分析一览表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769"/>
              <w:gridCol w:w="770"/>
              <w:gridCol w:w="565"/>
              <w:gridCol w:w="514"/>
              <w:gridCol w:w="1041"/>
              <w:gridCol w:w="1041"/>
              <w:gridCol w:w="1041"/>
              <w:gridCol w:w="881"/>
              <w:gridCol w:w="690"/>
            </w:tblGrid>
            <w:tr w14:paraId="0AB8F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0" w:type="pct"/>
                  <w:vMerge w:val="restart"/>
                  <w:vAlign w:val="center"/>
                </w:tcPr>
                <w:p w14:paraId="1FEE1F9E">
                  <w:pPr>
                    <w:pStyle w:val="17"/>
                    <w:bidi w:val="0"/>
                    <w:rPr>
                      <w:color w:val="auto"/>
                    </w:rPr>
                  </w:pPr>
                  <w:r>
                    <w:rPr>
                      <w:color w:val="auto"/>
                    </w:rPr>
                    <w:t>预测方位</w:t>
                  </w:r>
                </w:p>
              </w:tc>
              <w:tc>
                <w:tcPr>
                  <w:tcW w:w="1314" w:type="pct"/>
                  <w:gridSpan w:val="3"/>
                  <w:vAlign w:val="center"/>
                </w:tcPr>
                <w:p w14:paraId="722E46D8">
                  <w:pPr>
                    <w:pStyle w:val="17"/>
                    <w:bidi w:val="0"/>
                    <w:rPr>
                      <w:color w:val="auto"/>
                    </w:rPr>
                  </w:pPr>
                  <w:r>
                    <w:rPr>
                      <w:rFonts w:hint="eastAsia"/>
                      <w:color w:val="auto"/>
                      <w:lang w:val="en-US" w:eastAsia="zh-CN"/>
                    </w:rPr>
                    <w:t>最大值点</w:t>
                  </w:r>
                  <w:r>
                    <w:rPr>
                      <w:color w:val="auto"/>
                    </w:rPr>
                    <w:t>空间相对位置/m</w:t>
                  </w:r>
                </w:p>
              </w:tc>
              <w:tc>
                <w:tcPr>
                  <w:tcW w:w="321" w:type="pct"/>
                  <w:vMerge w:val="restart"/>
                  <w:vAlign w:val="center"/>
                </w:tcPr>
                <w:p w14:paraId="3364DFF7">
                  <w:pPr>
                    <w:pStyle w:val="17"/>
                    <w:bidi w:val="0"/>
                    <w:rPr>
                      <w:color w:val="auto"/>
                    </w:rPr>
                  </w:pPr>
                  <w:r>
                    <w:rPr>
                      <w:color w:val="auto"/>
                    </w:rPr>
                    <w:t>时段</w:t>
                  </w:r>
                </w:p>
              </w:tc>
              <w:tc>
                <w:tcPr>
                  <w:tcW w:w="650" w:type="pct"/>
                  <w:vMerge w:val="restart"/>
                  <w:vAlign w:val="center"/>
                </w:tcPr>
                <w:p w14:paraId="63DD8896">
                  <w:pPr>
                    <w:pStyle w:val="17"/>
                    <w:bidi w:val="0"/>
                    <w:rPr>
                      <w:color w:val="auto"/>
                    </w:rPr>
                  </w:pPr>
                  <w:r>
                    <w:rPr>
                      <w:rFonts w:hint="eastAsia"/>
                      <w:color w:val="auto"/>
                    </w:rPr>
                    <w:t>贡献值</w:t>
                  </w:r>
                  <w:r>
                    <w:rPr>
                      <w:color w:val="auto"/>
                    </w:rPr>
                    <w:t>dB(A)</w:t>
                  </w:r>
                </w:p>
              </w:tc>
              <w:tc>
                <w:tcPr>
                  <w:tcW w:w="650" w:type="pct"/>
                  <w:vMerge w:val="restart"/>
                  <w:vAlign w:val="center"/>
                </w:tcPr>
                <w:p w14:paraId="3440ECC5">
                  <w:pPr>
                    <w:pStyle w:val="17"/>
                    <w:bidi w:val="0"/>
                    <w:rPr>
                      <w:rFonts w:hint="eastAsia" w:eastAsia="宋体"/>
                      <w:color w:val="auto"/>
                      <w:lang w:val="en-US" w:eastAsia="zh-CN"/>
                    </w:rPr>
                  </w:pPr>
                  <w:r>
                    <w:rPr>
                      <w:rFonts w:hint="eastAsia"/>
                      <w:color w:val="auto"/>
                      <w:lang w:val="en-US" w:eastAsia="zh-CN"/>
                    </w:rPr>
                    <w:t>现状值</w:t>
                  </w:r>
                  <w:r>
                    <w:rPr>
                      <w:color w:val="auto"/>
                    </w:rPr>
                    <w:t>dB(A)</w:t>
                  </w:r>
                </w:p>
              </w:tc>
              <w:tc>
                <w:tcPr>
                  <w:tcW w:w="650" w:type="pct"/>
                  <w:vMerge w:val="restart"/>
                  <w:vAlign w:val="center"/>
                </w:tcPr>
                <w:p w14:paraId="7262A03E">
                  <w:pPr>
                    <w:pStyle w:val="17"/>
                    <w:bidi w:val="0"/>
                    <w:rPr>
                      <w:rFonts w:hint="eastAsia" w:eastAsia="宋体"/>
                      <w:color w:val="auto"/>
                      <w:lang w:val="en-US" w:eastAsia="zh-CN"/>
                    </w:rPr>
                  </w:pPr>
                  <w:r>
                    <w:rPr>
                      <w:rFonts w:hint="eastAsia"/>
                      <w:color w:val="auto"/>
                      <w:lang w:val="en-US" w:eastAsia="zh-CN"/>
                    </w:rPr>
                    <w:t>预测值</w:t>
                  </w:r>
                  <w:r>
                    <w:rPr>
                      <w:color w:val="auto"/>
                    </w:rPr>
                    <w:t>dB(A)</w:t>
                  </w:r>
                </w:p>
              </w:tc>
              <w:tc>
                <w:tcPr>
                  <w:tcW w:w="550" w:type="pct"/>
                  <w:vMerge w:val="restart"/>
                  <w:vAlign w:val="center"/>
                </w:tcPr>
                <w:p w14:paraId="5424774F">
                  <w:pPr>
                    <w:pStyle w:val="17"/>
                    <w:bidi w:val="0"/>
                    <w:rPr>
                      <w:color w:val="auto"/>
                    </w:rPr>
                  </w:pPr>
                  <w:r>
                    <w:rPr>
                      <w:color w:val="auto"/>
                    </w:rPr>
                    <w:t>标准限值</w:t>
                  </w:r>
                </w:p>
                <w:p w14:paraId="57437F48">
                  <w:pPr>
                    <w:pStyle w:val="17"/>
                    <w:bidi w:val="0"/>
                    <w:rPr>
                      <w:color w:val="auto"/>
                    </w:rPr>
                  </w:pPr>
                  <w:r>
                    <w:rPr>
                      <w:color w:val="auto"/>
                    </w:rPr>
                    <w:t>dB(A)</w:t>
                  </w:r>
                </w:p>
              </w:tc>
              <w:tc>
                <w:tcPr>
                  <w:tcW w:w="431" w:type="pct"/>
                  <w:vMerge w:val="restart"/>
                  <w:vAlign w:val="center"/>
                </w:tcPr>
                <w:p w14:paraId="52A085AD">
                  <w:pPr>
                    <w:pStyle w:val="17"/>
                    <w:bidi w:val="0"/>
                    <w:rPr>
                      <w:color w:val="auto"/>
                    </w:rPr>
                  </w:pPr>
                  <w:r>
                    <w:rPr>
                      <w:color w:val="auto"/>
                    </w:rPr>
                    <w:t>达标情况</w:t>
                  </w:r>
                </w:p>
              </w:tc>
            </w:tr>
            <w:tr w14:paraId="2F740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0" w:type="pct"/>
                  <w:vMerge w:val="continue"/>
                  <w:shd w:val="clear" w:color="auto" w:fill="FFFFFF"/>
                  <w:vAlign w:val="center"/>
                </w:tcPr>
                <w:p w14:paraId="39CE48D9">
                  <w:pPr>
                    <w:pStyle w:val="17"/>
                    <w:bidi w:val="0"/>
                    <w:rPr>
                      <w:color w:val="auto"/>
                    </w:rPr>
                  </w:pPr>
                </w:p>
              </w:tc>
              <w:tc>
                <w:tcPr>
                  <w:tcW w:w="480" w:type="pct"/>
                  <w:shd w:val="clear" w:color="auto" w:fill="FFFFFF"/>
                  <w:vAlign w:val="center"/>
                </w:tcPr>
                <w:p w14:paraId="7F0EB4B7">
                  <w:pPr>
                    <w:pStyle w:val="17"/>
                    <w:bidi w:val="0"/>
                    <w:rPr>
                      <w:color w:val="auto"/>
                    </w:rPr>
                  </w:pPr>
                  <w:r>
                    <w:rPr>
                      <w:color w:val="auto"/>
                    </w:rPr>
                    <w:t>X</w:t>
                  </w:r>
                </w:p>
              </w:tc>
              <w:tc>
                <w:tcPr>
                  <w:tcW w:w="481" w:type="pct"/>
                  <w:shd w:val="clear" w:color="auto" w:fill="FFFFFF"/>
                  <w:vAlign w:val="center"/>
                </w:tcPr>
                <w:p w14:paraId="2CE8524E">
                  <w:pPr>
                    <w:pStyle w:val="17"/>
                    <w:bidi w:val="0"/>
                    <w:rPr>
                      <w:color w:val="auto"/>
                    </w:rPr>
                  </w:pPr>
                  <w:r>
                    <w:rPr>
                      <w:color w:val="auto"/>
                    </w:rPr>
                    <w:t>Y</w:t>
                  </w:r>
                </w:p>
              </w:tc>
              <w:tc>
                <w:tcPr>
                  <w:tcW w:w="353" w:type="pct"/>
                  <w:shd w:val="clear" w:color="auto" w:fill="FFFFFF"/>
                  <w:vAlign w:val="center"/>
                </w:tcPr>
                <w:p w14:paraId="1BAEF980">
                  <w:pPr>
                    <w:pStyle w:val="17"/>
                    <w:bidi w:val="0"/>
                    <w:rPr>
                      <w:color w:val="auto"/>
                    </w:rPr>
                  </w:pPr>
                  <w:r>
                    <w:rPr>
                      <w:color w:val="auto"/>
                    </w:rPr>
                    <w:t>Z</w:t>
                  </w:r>
                </w:p>
              </w:tc>
              <w:tc>
                <w:tcPr>
                  <w:tcW w:w="321" w:type="pct"/>
                  <w:vMerge w:val="continue"/>
                  <w:shd w:val="clear" w:color="auto" w:fill="FFFFFF"/>
                  <w:vAlign w:val="center"/>
                </w:tcPr>
                <w:p w14:paraId="7EFAD60D">
                  <w:pPr>
                    <w:pStyle w:val="17"/>
                    <w:bidi w:val="0"/>
                    <w:rPr>
                      <w:color w:val="auto"/>
                    </w:rPr>
                  </w:pPr>
                </w:p>
              </w:tc>
              <w:tc>
                <w:tcPr>
                  <w:tcW w:w="650" w:type="pct"/>
                  <w:vMerge w:val="continue"/>
                  <w:shd w:val="clear" w:color="auto" w:fill="FFFFFF"/>
                  <w:vAlign w:val="center"/>
                </w:tcPr>
                <w:p w14:paraId="279D01D6">
                  <w:pPr>
                    <w:pStyle w:val="17"/>
                    <w:bidi w:val="0"/>
                    <w:rPr>
                      <w:color w:val="auto"/>
                    </w:rPr>
                  </w:pPr>
                </w:p>
              </w:tc>
              <w:tc>
                <w:tcPr>
                  <w:tcW w:w="650" w:type="pct"/>
                  <w:vMerge w:val="continue"/>
                  <w:shd w:val="clear" w:color="auto" w:fill="FFFFFF"/>
                  <w:vAlign w:val="center"/>
                </w:tcPr>
                <w:p w14:paraId="20E111BC">
                  <w:pPr>
                    <w:pStyle w:val="17"/>
                    <w:bidi w:val="0"/>
                    <w:rPr>
                      <w:color w:val="auto"/>
                    </w:rPr>
                  </w:pPr>
                </w:p>
              </w:tc>
              <w:tc>
                <w:tcPr>
                  <w:tcW w:w="650" w:type="pct"/>
                  <w:vMerge w:val="continue"/>
                  <w:shd w:val="clear" w:color="auto" w:fill="FFFFFF"/>
                  <w:vAlign w:val="center"/>
                </w:tcPr>
                <w:p w14:paraId="6EF5107D">
                  <w:pPr>
                    <w:pStyle w:val="17"/>
                    <w:bidi w:val="0"/>
                    <w:rPr>
                      <w:color w:val="auto"/>
                    </w:rPr>
                  </w:pPr>
                </w:p>
              </w:tc>
              <w:tc>
                <w:tcPr>
                  <w:tcW w:w="550" w:type="pct"/>
                  <w:vMerge w:val="continue"/>
                  <w:shd w:val="clear" w:color="auto" w:fill="FFFFFF"/>
                  <w:vAlign w:val="center"/>
                </w:tcPr>
                <w:p w14:paraId="4F0ADDF7">
                  <w:pPr>
                    <w:pStyle w:val="17"/>
                    <w:bidi w:val="0"/>
                    <w:rPr>
                      <w:color w:val="auto"/>
                    </w:rPr>
                  </w:pPr>
                </w:p>
              </w:tc>
              <w:tc>
                <w:tcPr>
                  <w:tcW w:w="431" w:type="pct"/>
                  <w:vMerge w:val="continue"/>
                  <w:shd w:val="clear" w:color="auto" w:fill="FFFFFF"/>
                  <w:vAlign w:val="center"/>
                </w:tcPr>
                <w:p w14:paraId="64626848">
                  <w:pPr>
                    <w:pStyle w:val="17"/>
                    <w:bidi w:val="0"/>
                    <w:rPr>
                      <w:color w:val="auto"/>
                    </w:rPr>
                  </w:pPr>
                </w:p>
              </w:tc>
            </w:tr>
            <w:tr w14:paraId="04400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430" w:type="pct"/>
                  <w:shd w:val="clear" w:color="auto" w:fill="FFFFFF"/>
                  <w:vAlign w:val="center"/>
                </w:tcPr>
                <w:p w14:paraId="16C6D6CD">
                  <w:pPr>
                    <w:pStyle w:val="17"/>
                    <w:bidi w:val="0"/>
                    <w:rPr>
                      <w:color w:val="auto"/>
                    </w:rPr>
                  </w:pPr>
                  <w:r>
                    <w:rPr>
                      <w:color w:val="auto"/>
                    </w:rPr>
                    <w:t>东侧</w:t>
                  </w:r>
                </w:p>
              </w:tc>
              <w:tc>
                <w:tcPr>
                  <w:tcW w:w="480" w:type="pct"/>
                  <w:shd w:val="clear" w:color="auto" w:fill="FFFFFF"/>
                  <w:vAlign w:val="center"/>
                </w:tcPr>
                <w:p w14:paraId="73DCDD61">
                  <w:pPr>
                    <w:pStyle w:val="17"/>
                    <w:bidi w:val="0"/>
                    <w:rPr>
                      <w:rFonts w:hint="default" w:eastAsia="宋体"/>
                      <w:color w:val="auto"/>
                      <w:lang w:val="en-US" w:eastAsia="zh-CN"/>
                    </w:rPr>
                  </w:pPr>
                  <w:r>
                    <w:rPr>
                      <w:rFonts w:hint="eastAsia"/>
                      <w:color w:val="auto"/>
                      <w:lang w:val="en-US" w:eastAsia="zh-CN"/>
                    </w:rPr>
                    <w:t>49.7</w:t>
                  </w:r>
                </w:p>
              </w:tc>
              <w:tc>
                <w:tcPr>
                  <w:tcW w:w="481" w:type="pct"/>
                  <w:shd w:val="clear" w:color="auto" w:fill="FFFFFF"/>
                  <w:vAlign w:val="center"/>
                </w:tcPr>
                <w:p w14:paraId="5E5ACB0E">
                  <w:pPr>
                    <w:pStyle w:val="17"/>
                    <w:bidi w:val="0"/>
                    <w:rPr>
                      <w:rFonts w:hint="default" w:eastAsia="宋体"/>
                      <w:color w:val="auto"/>
                      <w:lang w:val="en-US" w:eastAsia="zh-CN"/>
                    </w:rPr>
                  </w:pPr>
                  <w:r>
                    <w:rPr>
                      <w:rFonts w:hint="eastAsia"/>
                      <w:color w:val="auto"/>
                      <w:lang w:val="en-US" w:eastAsia="zh-CN"/>
                    </w:rPr>
                    <w:t>43.4</w:t>
                  </w:r>
                </w:p>
              </w:tc>
              <w:tc>
                <w:tcPr>
                  <w:tcW w:w="353" w:type="pct"/>
                  <w:shd w:val="clear" w:color="auto" w:fill="FFFFFF"/>
                  <w:vAlign w:val="center"/>
                </w:tcPr>
                <w:p w14:paraId="5C308F21">
                  <w:pPr>
                    <w:pStyle w:val="17"/>
                    <w:bidi w:val="0"/>
                    <w:rPr>
                      <w:rFonts w:hint="default" w:eastAsia="宋体"/>
                      <w:color w:val="auto"/>
                      <w:lang w:val="en-US" w:eastAsia="zh-CN"/>
                    </w:rPr>
                  </w:pPr>
                  <w:r>
                    <w:rPr>
                      <w:rFonts w:hint="eastAsia"/>
                      <w:color w:val="auto"/>
                      <w:lang w:val="en-US" w:eastAsia="zh-CN"/>
                    </w:rPr>
                    <w:t>1.2</w:t>
                  </w:r>
                </w:p>
              </w:tc>
              <w:tc>
                <w:tcPr>
                  <w:tcW w:w="321" w:type="pct"/>
                  <w:vMerge w:val="restart"/>
                  <w:shd w:val="clear" w:color="auto" w:fill="FFFFFF"/>
                  <w:vAlign w:val="center"/>
                </w:tcPr>
                <w:p w14:paraId="4E59F2BE">
                  <w:pPr>
                    <w:pStyle w:val="17"/>
                    <w:bidi w:val="0"/>
                    <w:rPr>
                      <w:color w:val="auto"/>
                    </w:rPr>
                  </w:pPr>
                  <w:r>
                    <w:rPr>
                      <w:color w:val="auto"/>
                    </w:rPr>
                    <w:t>昼间</w:t>
                  </w:r>
                </w:p>
              </w:tc>
              <w:tc>
                <w:tcPr>
                  <w:tcW w:w="650" w:type="pct"/>
                  <w:shd w:val="clear" w:color="auto" w:fill="FFFFFF"/>
                  <w:vAlign w:val="center"/>
                </w:tcPr>
                <w:p w14:paraId="6FB7B893">
                  <w:pPr>
                    <w:pStyle w:val="17"/>
                    <w:bidi w:val="0"/>
                    <w:rPr>
                      <w:rFonts w:hint="default" w:eastAsia="宋体"/>
                      <w:color w:val="auto"/>
                      <w:lang w:val="en-US" w:eastAsia="zh-CN"/>
                    </w:rPr>
                  </w:pPr>
                  <w:r>
                    <w:rPr>
                      <w:rFonts w:hint="eastAsia"/>
                      <w:color w:val="auto"/>
                      <w:lang w:val="en-US" w:eastAsia="zh-CN"/>
                    </w:rPr>
                    <w:t>21.5</w:t>
                  </w:r>
                </w:p>
              </w:tc>
              <w:tc>
                <w:tcPr>
                  <w:tcW w:w="650" w:type="pct"/>
                  <w:shd w:val="clear" w:color="auto" w:fill="FFFFFF"/>
                  <w:vAlign w:val="center"/>
                </w:tcPr>
                <w:p w14:paraId="0A17419D">
                  <w:pPr>
                    <w:pStyle w:val="17"/>
                    <w:bidi w:val="0"/>
                    <w:rPr>
                      <w:rFonts w:hint="default" w:eastAsia="宋体"/>
                      <w:color w:val="auto"/>
                      <w:lang w:val="en-US" w:eastAsia="zh-CN"/>
                    </w:rPr>
                  </w:pPr>
                  <w:r>
                    <w:rPr>
                      <w:rFonts w:hint="eastAsia"/>
                      <w:color w:val="auto"/>
                      <w:lang w:val="en-US" w:eastAsia="zh-CN"/>
                    </w:rPr>
                    <w:t>51</w:t>
                  </w:r>
                </w:p>
              </w:tc>
              <w:tc>
                <w:tcPr>
                  <w:tcW w:w="650" w:type="pct"/>
                  <w:shd w:val="clear" w:color="auto" w:fill="FFFFFF"/>
                  <w:vAlign w:val="center"/>
                </w:tcPr>
                <w:p w14:paraId="0EA26A04">
                  <w:pPr>
                    <w:pStyle w:val="17"/>
                    <w:bidi w:val="0"/>
                    <w:rPr>
                      <w:rFonts w:hint="default" w:eastAsia="宋体"/>
                      <w:color w:val="auto"/>
                      <w:lang w:val="en-US" w:eastAsia="zh-CN"/>
                    </w:rPr>
                  </w:pPr>
                  <w:r>
                    <w:rPr>
                      <w:rFonts w:hint="eastAsia"/>
                      <w:color w:val="auto"/>
                      <w:lang w:val="en-US" w:eastAsia="zh-CN"/>
                    </w:rPr>
                    <w:t>51.0</w:t>
                  </w:r>
                </w:p>
              </w:tc>
              <w:tc>
                <w:tcPr>
                  <w:tcW w:w="550" w:type="pct"/>
                  <w:shd w:val="clear" w:color="auto" w:fill="FFFFFF"/>
                  <w:vAlign w:val="center"/>
                </w:tcPr>
                <w:p w14:paraId="559BC352">
                  <w:pPr>
                    <w:pStyle w:val="17"/>
                    <w:bidi w:val="0"/>
                    <w:rPr>
                      <w:rFonts w:hint="default" w:eastAsia="宋体"/>
                      <w:color w:val="auto"/>
                      <w:lang w:val="en-US" w:eastAsia="zh-CN"/>
                    </w:rPr>
                  </w:pPr>
                  <w:r>
                    <w:rPr>
                      <w:rFonts w:hint="eastAsia" w:eastAsia="宋体"/>
                      <w:color w:val="auto"/>
                      <w:lang w:val="en-US" w:eastAsia="zh-CN"/>
                    </w:rPr>
                    <w:t>60</w:t>
                  </w:r>
                </w:p>
              </w:tc>
              <w:tc>
                <w:tcPr>
                  <w:tcW w:w="431" w:type="pct"/>
                  <w:shd w:val="clear" w:color="auto" w:fill="FFFFFF"/>
                  <w:vAlign w:val="center"/>
                </w:tcPr>
                <w:p w14:paraId="3BDB845A">
                  <w:pPr>
                    <w:pStyle w:val="17"/>
                    <w:bidi w:val="0"/>
                    <w:rPr>
                      <w:color w:val="auto"/>
                    </w:rPr>
                  </w:pPr>
                  <w:r>
                    <w:rPr>
                      <w:color w:val="auto"/>
                    </w:rPr>
                    <w:t>达标</w:t>
                  </w:r>
                </w:p>
              </w:tc>
            </w:tr>
            <w:tr w14:paraId="23BAB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430" w:type="pct"/>
                  <w:shd w:val="clear" w:color="auto" w:fill="FFFFFF"/>
                  <w:vAlign w:val="center"/>
                </w:tcPr>
                <w:p w14:paraId="2337F279">
                  <w:pPr>
                    <w:pStyle w:val="17"/>
                    <w:bidi w:val="0"/>
                    <w:rPr>
                      <w:color w:val="auto"/>
                    </w:rPr>
                  </w:pPr>
                  <w:r>
                    <w:rPr>
                      <w:color w:val="auto"/>
                    </w:rPr>
                    <w:t>南侧</w:t>
                  </w:r>
                </w:p>
              </w:tc>
              <w:tc>
                <w:tcPr>
                  <w:tcW w:w="480" w:type="pct"/>
                  <w:shd w:val="clear" w:color="auto" w:fill="FFFFFF"/>
                  <w:vAlign w:val="center"/>
                </w:tcPr>
                <w:p w14:paraId="789CA0F5">
                  <w:pPr>
                    <w:pStyle w:val="17"/>
                    <w:bidi w:val="0"/>
                    <w:rPr>
                      <w:rFonts w:hint="default" w:eastAsia="宋体"/>
                      <w:color w:val="auto"/>
                      <w:lang w:val="en-US" w:eastAsia="zh-CN"/>
                    </w:rPr>
                  </w:pPr>
                  <w:r>
                    <w:rPr>
                      <w:rFonts w:hint="eastAsia"/>
                      <w:color w:val="auto"/>
                      <w:lang w:val="en-US" w:eastAsia="zh-CN"/>
                    </w:rPr>
                    <w:t>1.6</w:t>
                  </w:r>
                </w:p>
              </w:tc>
              <w:tc>
                <w:tcPr>
                  <w:tcW w:w="481" w:type="pct"/>
                  <w:shd w:val="clear" w:color="auto" w:fill="FFFFFF"/>
                  <w:vAlign w:val="center"/>
                </w:tcPr>
                <w:p w14:paraId="13ECD632">
                  <w:pPr>
                    <w:pStyle w:val="17"/>
                    <w:bidi w:val="0"/>
                    <w:rPr>
                      <w:rFonts w:hint="default" w:eastAsia="宋体"/>
                      <w:color w:val="auto"/>
                      <w:lang w:val="en-US" w:eastAsia="zh-CN"/>
                    </w:rPr>
                  </w:pPr>
                  <w:r>
                    <w:rPr>
                      <w:rFonts w:hint="eastAsia"/>
                      <w:color w:val="auto"/>
                      <w:lang w:val="en-US" w:eastAsia="zh-CN"/>
                    </w:rPr>
                    <w:t>-76.4</w:t>
                  </w:r>
                </w:p>
              </w:tc>
              <w:tc>
                <w:tcPr>
                  <w:tcW w:w="353" w:type="pct"/>
                  <w:shd w:val="clear" w:color="auto" w:fill="FFFFFF"/>
                  <w:vAlign w:val="center"/>
                </w:tcPr>
                <w:p w14:paraId="659C2E3E">
                  <w:pPr>
                    <w:pStyle w:val="17"/>
                    <w:bidi w:val="0"/>
                    <w:rPr>
                      <w:rFonts w:hint="default" w:eastAsia="宋体"/>
                      <w:color w:val="auto"/>
                      <w:lang w:val="en-US" w:eastAsia="zh-CN"/>
                    </w:rPr>
                  </w:pPr>
                  <w:r>
                    <w:rPr>
                      <w:rFonts w:hint="eastAsia"/>
                      <w:color w:val="auto"/>
                      <w:lang w:val="en-US" w:eastAsia="zh-CN"/>
                    </w:rPr>
                    <w:t>1.2</w:t>
                  </w:r>
                </w:p>
              </w:tc>
              <w:tc>
                <w:tcPr>
                  <w:tcW w:w="321" w:type="pct"/>
                  <w:vMerge w:val="continue"/>
                  <w:shd w:val="clear" w:color="auto" w:fill="FFFFFF"/>
                  <w:vAlign w:val="center"/>
                </w:tcPr>
                <w:p w14:paraId="00B13F5F">
                  <w:pPr>
                    <w:pStyle w:val="17"/>
                    <w:bidi w:val="0"/>
                    <w:rPr>
                      <w:color w:val="auto"/>
                    </w:rPr>
                  </w:pPr>
                </w:p>
              </w:tc>
              <w:tc>
                <w:tcPr>
                  <w:tcW w:w="650" w:type="pct"/>
                  <w:shd w:val="clear" w:color="auto" w:fill="FFFFFF"/>
                  <w:vAlign w:val="center"/>
                </w:tcPr>
                <w:p w14:paraId="760148D6">
                  <w:pPr>
                    <w:pStyle w:val="17"/>
                    <w:bidi w:val="0"/>
                    <w:rPr>
                      <w:rFonts w:hint="default" w:eastAsia="宋体"/>
                      <w:color w:val="auto"/>
                      <w:lang w:val="en-US" w:eastAsia="zh-CN"/>
                    </w:rPr>
                  </w:pPr>
                  <w:r>
                    <w:rPr>
                      <w:rFonts w:hint="eastAsia"/>
                      <w:color w:val="auto"/>
                      <w:lang w:val="en-US" w:eastAsia="zh-CN"/>
                    </w:rPr>
                    <w:t>3.9</w:t>
                  </w:r>
                </w:p>
              </w:tc>
              <w:tc>
                <w:tcPr>
                  <w:tcW w:w="650" w:type="pct"/>
                  <w:shd w:val="clear" w:color="auto" w:fill="FFFFFF"/>
                  <w:vAlign w:val="center"/>
                </w:tcPr>
                <w:p w14:paraId="6BF32BA9">
                  <w:pPr>
                    <w:pStyle w:val="17"/>
                    <w:bidi w:val="0"/>
                    <w:rPr>
                      <w:rFonts w:hint="default" w:eastAsia="宋体"/>
                      <w:color w:val="auto"/>
                      <w:lang w:val="en-US" w:eastAsia="zh-CN"/>
                    </w:rPr>
                  </w:pPr>
                  <w:r>
                    <w:rPr>
                      <w:rFonts w:hint="eastAsia"/>
                      <w:color w:val="auto"/>
                      <w:lang w:val="en-US" w:eastAsia="zh-CN"/>
                    </w:rPr>
                    <w:t>51.5</w:t>
                  </w:r>
                </w:p>
              </w:tc>
              <w:tc>
                <w:tcPr>
                  <w:tcW w:w="650" w:type="pct"/>
                  <w:shd w:val="clear" w:color="auto" w:fill="FFFFFF"/>
                  <w:vAlign w:val="center"/>
                </w:tcPr>
                <w:p w14:paraId="7BDAF4D8">
                  <w:pPr>
                    <w:pStyle w:val="17"/>
                    <w:bidi w:val="0"/>
                    <w:rPr>
                      <w:rFonts w:hint="default" w:eastAsia="宋体"/>
                      <w:color w:val="auto"/>
                      <w:lang w:val="en-US" w:eastAsia="zh-CN"/>
                    </w:rPr>
                  </w:pPr>
                  <w:r>
                    <w:rPr>
                      <w:rFonts w:hint="eastAsia"/>
                      <w:color w:val="auto"/>
                      <w:lang w:val="en-US" w:eastAsia="zh-CN"/>
                    </w:rPr>
                    <w:t>51.5</w:t>
                  </w:r>
                </w:p>
              </w:tc>
              <w:tc>
                <w:tcPr>
                  <w:tcW w:w="550" w:type="pct"/>
                  <w:shd w:val="clear" w:color="auto" w:fill="FFFFFF"/>
                  <w:vAlign w:val="center"/>
                </w:tcPr>
                <w:p w14:paraId="3380947E">
                  <w:pPr>
                    <w:pStyle w:val="17"/>
                    <w:bidi w:val="0"/>
                    <w:ind w:firstLine="0" w:firstLineChars="0"/>
                    <w:rPr>
                      <w:rFonts w:hint="default" w:eastAsia="宋体"/>
                      <w:color w:val="auto"/>
                      <w:lang w:val="en-US" w:eastAsia="zh-CN"/>
                    </w:rPr>
                  </w:pPr>
                  <w:r>
                    <w:rPr>
                      <w:rFonts w:hint="eastAsia"/>
                      <w:color w:val="auto"/>
                      <w:lang w:val="en-US" w:eastAsia="zh-CN"/>
                    </w:rPr>
                    <w:t>60</w:t>
                  </w:r>
                </w:p>
              </w:tc>
              <w:tc>
                <w:tcPr>
                  <w:tcW w:w="431" w:type="pct"/>
                  <w:shd w:val="clear" w:color="auto" w:fill="FFFFFF"/>
                  <w:vAlign w:val="center"/>
                </w:tcPr>
                <w:p w14:paraId="2E6FE4B5">
                  <w:pPr>
                    <w:pStyle w:val="17"/>
                    <w:bidi w:val="0"/>
                    <w:rPr>
                      <w:color w:val="auto"/>
                    </w:rPr>
                  </w:pPr>
                  <w:r>
                    <w:rPr>
                      <w:color w:val="auto"/>
                    </w:rPr>
                    <w:t>达标</w:t>
                  </w:r>
                </w:p>
              </w:tc>
            </w:tr>
            <w:tr w14:paraId="1FFF3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430" w:type="pct"/>
                  <w:shd w:val="clear" w:color="auto" w:fill="FFFFFF"/>
                  <w:vAlign w:val="center"/>
                </w:tcPr>
                <w:p w14:paraId="1ADFC0F1">
                  <w:pPr>
                    <w:pStyle w:val="17"/>
                    <w:bidi w:val="0"/>
                    <w:rPr>
                      <w:color w:val="auto"/>
                    </w:rPr>
                  </w:pPr>
                  <w:r>
                    <w:rPr>
                      <w:color w:val="auto"/>
                    </w:rPr>
                    <w:t>西侧</w:t>
                  </w:r>
                </w:p>
              </w:tc>
              <w:tc>
                <w:tcPr>
                  <w:tcW w:w="480" w:type="pct"/>
                  <w:shd w:val="clear" w:color="auto" w:fill="FFFFFF"/>
                  <w:vAlign w:val="center"/>
                </w:tcPr>
                <w:p w14:paraId="6E1C0E67">
                  <w:pPr>
                    <w:pStyle w:val="17"/>
                    <w:bidi w:val="0"/>
                    <w:rPr>
                      <w:rFonts w:hint="default" w:eastAsia="宋体"/>
                      <w:color w:val="auto"/>
                      <w:lang w:val="en-US" w:eastAsia="zh-CN"/>
                    </w:rPr>
                  </w:pPr>
                  <w:r>
                    <w:rPr>
                      <w:rFonts w:hint="eastAsia"/>
                      <w:color w:val="auto"/>
                      <w:lang w:val="en-US" w:eastAsia="zh-CN"/>
                    </w:rPr>
                    <w:t>-2</w:t>
                  </w:r>
                </w:p>
              </w:tc>
              <w:tc>
                <w:tcPr>
                  <w:tcW w:w="481" w:type="pct"/>
                  <w:shd w:val="clear" w:color="auto" w:fill="FFFFFF"/>
                  <w:vAlign w:val="center"/>
                </w:tcPr>
                <w:p w14:paraId="54AEC3A4">
                  <w:pPr>
                    <w:pStyle w:val="17"/>
                    <w:bidi w:val="0"/>
                    <w:rPr>
                      <w:rFonts w:hint="default" w:eastAsia="宋体"/>
                      <w:color w:val="auto"/>
                      <w:lang w:val="en-US" w:eastAsia="zh-CN"/>
                    </w:rPr>
                  </w:pPr>
                  <w:r>
                    <w:rPr>
                      <w:rFonts w:hint="eastAsia"/>
                      <w:color w:val="auto"/>
                      <w:lang w:val="en-US" w:eastAsia="zh-CN"/>
                    </w:rPr>
                    <w:t>1.7</w:t>
                  </w:r>
                </w:p>
              </w:tc>
              <w:tc>
                <w:tcPr>
                  <w:tcW w:w="353" w:type="pct"/>
                  <w:shd w:val="clear" w:color="auto" w:fill="FFFFFF"/>
                  <w:vAlign w:val="center"/>
                </w:tcPr>
                <w:p w14:paraId="6833AC9E">
                  <w:pPr>
                    <w:pStyle w:val="17"/>
                    <w:bidi w:val="0"/>
                    <w:rPr>
                      <w:rFonts w:hint="default" w:eastAsia="宋体"/>
                      <w:color w:val="auto"/>
                      <w:lang w:val="en-US" w:eastAsia="zh-CN"/>
                    </w:rPr>
                  </w:pPr>
                  <w:r>
                    <w:rPr>
                      <w:rFonts w:hint="eastAsia"/>
                      <w:color w:val="auto"/>
                      <w:lang w:val="en-US" w:eastAsia="zh-CN"/>
                    </w:rPr>
                    <w:t>1.2</w:t>
                  </w:r>
                </w:p>
              </w:tc>
              <w:tc>
                <w:tcPr>
                  <w:tcW w:w="321" w:type="pct"/>
                  <w:vMerge w:val="continue"/>
                  <w:shd w:val="clear" w:color="auto" w:fill="FFFFFF"/>
                  <w:vAlign w:val="center"/>
                </w:tcPr>
                <w:p w14:paraId="6BA5F14A">
                  <w:pPr>
                    <w:pStyle w:val="17"/>
                    <w:bidi w:val="0"/>
                    <w:rPr>
                      <w:color w:val="auto"/>
                    </w:rPr>
                  </w:pPr>
                </w:p>
              </w:tc>
              <w:tc>
                <w:tcPr>
                  <w:tcW w:w="650" w:type="pct"/>
                  <w:shd w:val="clear" w:color="auto" w:fill="FFFFFF"/>
                  <w:vAlign w:val="center"/>
                </w:tcPr>
                <w:p w14:paraId="0927C6E1">
                  <w:pPr>
                    <w:pStyle w:val="17"/>
                    <w:bidi w:val="0"/>
                    <w:rPr>
                      <w:rFonts w:hint="default" w:eastAsia="宋体"/>
                      <w:color w:val="auto"/>
                      <w:lang w:val="en-US" w:eastAsia="zh-CN"/>
                    </w:rPr>
                  </w:pPr>
                  <w:r>
                    <w:rPr>
                      <w:rFonts w:hint="eastAsia"/>
                      <w:color w:val="auto"/>
                      <w:lang w:val="en-US" w:eastAsia="zh-CN"/>
                    </w:rPr>
                    <w:t>13.9</w:t>
                  </w:r>
                </w:p>
              </w:tc>
              <w:tc>
                <w:tcPr>
                  <w:tcW w:w="650" w:type="pct"/>
                  <w:shd w:val="clear" w:color="auto" w:fill="FFFFFF"/>
                  <w:vAlign w:val="center"/>
                </w:tcPr>
                <w:p w14:paraId="035371E7">
                  <w:pPr>
                    <w:pStyle w:val="17"/>
                    <w:bidi w:val="0"/>
                    <w:rPr>
                      <w:rFonts w:hint="default" w:eastAsia="宋体"/>
                      <w:color w:val="auto"/>
                      <w:lang w:val="en-US" w:eastAsia="zh-CN"/>
                    </w:rPr>
                  </w:pPr>
                  <w:r>
                    <w:rPr>
                      <w:rFonts w:hint="eastAsia"/>
                      <w:color w:val="auto"/>
                      <w:lang w:val="en-US" w:eastAsia="zh-CN"/>
                    </w:rPr>
                    <w:t>51</w:t>
                  </w:r>
                </w:p>
              </w:tc>
              <w:tc>
                <w:tcPr>
                  <w:tcW w:w="650" w:type="pct"/>
                  <w:shd w:val="clear" w:color="auto" w:fill="FFFFFF"/>
                  <w:vAlign w:val="center"/>
                </w:tcPr>
                <w:p w14:paraId="7C950B28">
                  <w:pPr>
                    <w:pStyle w:val="17"/>
                    <w:bidi w:val="0"/>
                    <w:rPr>
                      <w:rFonts w:hint="default" w:eastAsia="宋体"/>
                      <w:color w:val="auto"/>
                      <w:lang w:val="en-US" w:eastAsia="zh-CN"/>
                    </w:rPr>
                  </w:pPr>
                  <w:r>
                    <w:rPr>
                      <w:rFonts w:hint="eastAsia"/>
                      <w:color w:val="auto"/>
                      <w:lang w:val="en-US" w:eastAsia="zh-CN"/>
                    </w:rPr>
                    <w:t>51.0</w:t>
                  </w:r>
                </w:p>
              </w:tc>
              <w:tc>
                <w:tcPr>
                  <w:tcW w:w="550" w:type="pct"/>
                  <w:shd w:val="clear" w:color="auto" w:fill="FFFFFF"/>
                  <w:vAlign w:val="center"/>
                </w:tcPr>
                <w:p w14:paraId="330B1BA4">
                  <w:pPr>
                    <w:pStyle w:val="17"/>
                    <w:bidi w:val="0"/>
                    <w:ind w:firstLine="0" w:firstLineChars="0"/>
                    <w:rPr>
                      <w:rFonts w:hint="default" w:eastAsia="宋体"/>
                      <w:color w:val="auto"/>
                      <w:lang w:val="en-US" w:eastAsia="zh-CN"/>
                    </w:rPr>
                  </w:pPr>
                  <w:r>
                    <w:rPr>
                      <w:rFonts w:hint="eastAsia"/>
                      <w:color w:val="auto"/>
                      <w:lang w:val="en-US" w:eastAsia="zh-CN"/>
                    </w:rPr>
                    <w:t>60</w:t>
                  </w:r>
                </w:p>
              </w:tc>
              <w:tc>
                <w:tcPr>
                  <w:tcW w:w="431" w:type="pct"/>
                  <w:shd w:val="clear" w:color="auto" w:fill="FFFFFF"/>
                  <w:vAlign w:val="center"/>
                </w:tcPr>
                <w:p w14:paraId="4758471A">
                  <w:pPr>
                    <w:pStyle w:val="17"/>
                    <w:bidi w:val="0"/>
                    <w:rPr>
                      <w:color w:val="auto"/>
                    </w:rPr>
                  </w:pPr>
                  <w:r>
                    <w:rPr>
                      <w:color w:val="auto"/>
                    </w:rPr>
                    <w:t>达标</w:t>
                  </w:r>
                </w:p>
              </w:tc>
            </w:tr>
            <w:tr w14:paraId="51B13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430" w:type="pct"/>
                  <w:shd w:val="clear" w:color="auto" w:fill="FFFFFF"/>
                  <w:vAlign w:val="center"/>
                </w:tcPr>
                <w:p w14:paraId="10D9EAB1">
                  <w:pPr>
                    <w:pStyle w:val="17"/>
                    <w:bidi w:val="0"/>
                    <w:rPr>
                      <w:color w:val="auto"/>
                    </w:rPr>
                  </w:pPr>
                  <w:r>
                    <w:rPr>
                      <w:color w:val="auto"/>
                    </w:rPr>
                    <w:t>北侧</w:t>
                  </w:r>
                </w:p>
              </w:tc>
              <w:tc>
                <w:tcPr>
                  <w:tcW w:w="480" w:type="pct"/>
                  <w:shd w:val="clear" w:color="auto" w:fill="FFFFFF"/>
                  <w:vAlign w:val="center"/>
                </w:tcPr>
                <w:p w14:paraId="311E8127">
                  <w:pPr>
                    <w:pStyle w:val="17"/>
                    <w:bidi w:val="0"/>
                    <w:rPr>
                      <w:rFonts w:hint="default" w:eastAsia="宋体"/>
                      <w:color w:val="auto"/>
                      <w:lang w:val="en-US" w:eastAsia="zh-CN"/>
                    </w:rPr>
                  </w:pPr>
                  <w:r>
                    <w:rPr>
                      <w:rFonts w:hint="eastAsia"/>
                      <w:color w:val="auto"/>
                      <w:lang w:val="en-US" w:eastAsia="zh-CN"/>
                    </w:rPr>
                    <w:t>6.4</w:t>
                  </w:r>
                </w:p>
              </w:tc>
              <w:tc>
                <w:tcPr>
                  <w:tcW w:w="481" w:type="pct"/>
                  <w:shd w:val="clear" w:color="auto" w:fill="FFFFFF"/>
                  <w:vAlign w:val="center"/>
                </w:tcPr>
                <w:p w14:paraId="408409DF">
                  <w:pPr>
                    <w:pStyle w:val="17"/>
                    <w:bidi w:val="0"/>
                    <w:rPr>
                      <w:rFonts w:hint="default" w:eastAsia="宋体"/>
                      <w:color w:val="auto"/>
                      <w:lang w:val="en-US" w:eastAsia="zh-CN"/>
                    </w:rPr>
                  </w:pPr>
                  <w:r>
                    <w:rPr>
                      <w:rFonts w:hint="eastAsia"/>
                      <w:color w:val="auto"/>
                      <w:lang w:val="en-US" w:eastAsia="zh-CN"/>
                    </w:rPr>
                    <w:t>31.1</w:t>
                  </w:r>
                </w:p>
              </w:tc>
              <w:tc>
                <w:tcPr>
                  <w:tcW w:w="353" w:type="pct"/>
                  <w:shd w:val="clear" w:color="auto" w:fill="FFFFFF"/>
                  <w:vAlign w:val="center"/>
                </w:tcPr>
                <w:p w14:paraId="33020AEB">
                  <w:pPr>
                    <w:pStyle w:val="17"/>
                    <w:bidi w:val="0"/>
                    <w:rPr>
                      <w:rFonts w:hint="default" w:eastAsia="宋体"/>
                      <w:color w:val="auto"/>
                      <w:lang w:val="en-US" w:eastAsia="zh-CN"/>
                    </w:rPr>
                  </w:pPr>
                  <w:r>
                    <w:rPr>
                      <w:rFonts w:hint="eastAsia"/>
                      <w:color w:val="auto"/>
                      <w:lang w:val="en-US" w:eastAsia="zh-CN"/>
                    </w:rPr>
                    <w:t>1.2</w:t>
                  </w:r>
                </w:p>
              </w:tc>
              <w:tc>
                <w:tcPr>
                  <w:tcW w:w="321" w:type="pct"/>
                  <w:vMerge w:val="continue"/>
                  <w:shd w:val="clear" w:color="auto" w:fill="FFFFFF"/>
                  <w:vAlign w:val="center"/>
                </w:tcPr>
                <w:p w14:paraId="5C5CA347">
                  <w:pPr>
                    <w:pStyle w:val="17"/>
                    <w:bidi w:val="0"/>
                    <w:rPr>
                      <w:color w:val="auto"/>
                    </w:rPr>
                  </w:pPr>
                </w:p>
              </w:tc>
              <w:tc>
                <w:tcPr>
                  <w:tcW w:w="650" w:type="pct"/>
                  <w:shd w:val="clear" w:color="auto" w:fill="FFFFFF"/>
                  <w:vAlign w:val="center"/>
                </w:tcPr>
                <w:p w14:paraId="21762ECA">
                  <w:pPr>
                    <w:pStyle w:val="17"/>
                    <w:bidi w:val="0"/>
                    <w:rPr>
                      <w:rFonts w:hint="default" w:eastAsia="宋体"/>
                      <w:color w:val="auto"/>
                      <w:lang w:val="en-US" w:eastAsia="zh-CN"/>
                    </w:rPr>
                  </w:pPr>
                  <w:r>
                    <w:rPr>
                      <w:rFonts w:hint="eastAsia"/>
                      <w:color w:val="auto"/>
                      <w:lang w:val="en-US" w:eastAsia="zh-CN"/>
                    </w:rPr>
                    <w:t>22.5</w:t>
                  </w:r>
                </w:p>
              </w:tc>
              <w:tc>
                <w:tcPr>
                  <w:tcW w:w="650" w:type="pct"/>
                  <w:shd w:val="clear" w:color="auto" w:fill="FFFFFF"/>
                  <w:vAlign w:val="center"/>
                </w:tcPr>
                <w:p w14:paraId="5CCD9A70">
                  <w:pPr>
                    <w:pStyle w:val="17"/>
                    <w:bidi w:val="0"/>
                    <w:rPr>
                      <w:rFonts w:hint="default" w:eastAsia="宋体"/>
                      <w:color w:val="auto"/>
                      <w:lang w:val="en-US" w:eastAsia="zh-CN"/>
                    </w:rPr>
                  </w:pPr>
                  <w:r>
                    <w:rPr>
                      <w:rFonts w:hint="eastAsia" w:eastAsia="宋体"/>
                      <w:color w:val="auto"/>
                      <w:lang w:val="en-US" w:eastAsia="zh-CN"/>
                    </w:rPr>
                    <w:t>54</w:t>
                  </w:r>
                  <w:r>
                    <w:rPr>
                      <w:rFonts w:hint="eastAsia"/>
                      <w:color w:val="auto"/>
                      <w:lang w:val="en-US" w:eastAsia="zh-CN"/>
                    </w:rPr>
                    <w:t>.5</w:t>
                  </w:r>
                </w:p>
              </w:tc>
              <w:tc>
                <w:tcPr>
                  <w:tcW w:w="650" w:type="pct"/>
                  <w:shd w:val="clear" w:color="auto" w:fill="FFFFFF"/>
                  <w:vAlign w:val="center"/>
                </w:tcPr>
                <w:p w14:paraId="3F1DCB63">
                  <w:pPr>
                    <w:pStyle w:val="17"/>
                    <w:bidi w:val="0"/>
                    <w:rPr>
                      <w:rFonts w:hint="default" w:eastAsia="宋体"/>
                      <w:color w:val="auto"/>
                      <w:lang w:val="en-US" w:eastAsia="zh-CN"/>
                    </w:rPr>
                  </w:pPr>
                  <w:r>
                    <w:rPr>
                      <w:rFonts w:hint="eastAsia"/>
                      <w:color w:val="auto"/>
                      <w:lang w:val="en-US" w:eastAsia="zh-CN"/>
                    </w:rPr>
                    <w:t>54.5</w:t>
                  </w:r>
                </w:p>
              </w:tc>
              <w:tc>
                <w:tcPr>
                  <w:tcW w:w="550" w:type="pct"/>
                  <w:shd w:val="clear" w:color="auto" w:fill="FFFFFF"/>
                  <w:vAlign w:val="center"/>
                </w:tcPr>
                <w:p w14:paraId="09D56EC2">
                  <w:pPr>
                    <w:pStyle w:val="17"/>
                    <w:bidi w:val="0"/>
                    <w:ind w:firstLine="0" w:firstLineChars="0"/>
                    <w:rPr>
                      <w:rFonts w:hint="default" w:eastAsia="宋体"/>
                      <w:color w:val="auto"/>
                      <w:lang w:val="en-US" w:eastAsia="zh-CN"/>
                    </w:rPr>
                  </w:pPr>
                  <w:r>
                    <w:rPr>
                      <w:rFonts w:hint="eastAsia"/>
                      <w:color w:val="auto"/>
                      <w:lang w:val="en-US" w:eastAsia="zh-CN"/>
                    </w:rPr>
                    <w:t>60</w:t>
                  </w:r>
                </w:p>
              </w:tc>
              <w:tc>
                <w:tcPr>
                  <w:tcW w:w="431" w:type="pct"/>
                  <w:shd w:val="clear" w:color="auto" w:fill="FFFFFF"/>
                  <w:vAlign w:val="center"/>
                </w:tcPr>
                <w:p w14:paraId="2826B77F">
                  <w:pPr>
                    <w:pStyle w:val="17"/>
                    <w:bidi w:val="0"/>
                    <w:rPr>
                      <w:color w:val="auto"/>
                    </w:rPr>
                  </w:pPr>
                  <w:r>
                    <w:rPr>
                      <w:color w:val="auto"/>
                    </w:rPr>
                    <w:t>达标</w:t>
                  </w:r>
                </w:p>
              </w:tc>
            </w:tr>
          </w:tbl>
          <w:p w14:paraId="0776A4CF">
            <w:pPr>
              <w:pStyle w:val="18"/>
              <w:bidi w:val="0"/>
              <w:rPr>
                <w:rFonts w:hint="eastAsia"/>
                <w:color w:val="auto"/>
                <w:lang w:val="en-US" w:eastAsia="zh-CN"/>
              </w:rPr>
            </w:pPr>
            <w:r>
              <w:rPr>
                <w:rFonts w:hint="eastAsia"/>
                <w:color w:val="auto"/>
                <w:lang w:val="en-US" w:eastAsia="zh-CN"/>
              </w:rPr>
              <w:t xml:space="preserve">表4-11 </w:t>
            </w:r>
            <w:r>
              <w:rPr>
                <w:rFonts w:cs="Times New Roman" w:asciiTheme="minorEastAsia" w:hAnsiTheme="minorEastAsia" w:eastAsiaTheme="minorEastAsia"/>
                <w:b/>
                <w:color w:val="auto"/>
                <w:lang w:eastAsia="zh-CN"/>
              </w:rPr>
              <w:t>工</w:t>
            </w:r>
            <w:r>
              <w:rPr>
                <w:rFonts w:cs="Times New Roman" w:asciiTheme="minorEastAsia" w:hAnsiTheme="minorEastAsia" w:eastAsiaTheme="minorEastAsia"/>
                <w:b/>
                <w:color w:val="auto"/>
                <w:spacing w:val="-3"/>
                <w:lang w:eastAsia="zh-CN"/>
              </w:rPr>
              <w:t>业</w:t>
            </w:r>
            <w:r>
              <w:rPr>
                <w:rFonts w:cs="Times New Roman" w:asciiTheme="minorEastAsia" w:hAnsiTheme="minorEastAsia" w:eastAsiaTheme="minorEastAsia"/>
                <w:b/>
                <w:color w:val="auto"/>
                <w:lang w:eastAsia="zh-CN"/>
              </w:rPr>
              <w:t>企</w:t>
            </w:r>
            <w:r>
              <w:rPr>
                <w:rFonts w:cs="Times New Roman" w:asciiTheme="minorEastAsia" w:hAnsiTheme="minorEastAsia" w:eastAsiaTheme="minorEastAsia"/>
                <w:b/>
                <w:color w:val="auto"/>
                <w:spacing w:val="-3"/>
                <w:lang w:eastAsia="zh-CN"/>
              </w:rPr>
              <w:t>业</w:t>
            </w:r>
            <w:r>
              <w:rPr>
                <w:rFonts w:cs="Times New Roman" w:asciiTheme="minorEastAsia" w:hAnsiTheme="minorEastAsia" w:eastAsiaTheme="minorEastAsia"/>
                <w:b/>
                <w:color w:val="auto"/>
                <w:lang w:eastAsia="zh-CN"/>
              </w:rPr>
              <w:t>声</w:t>
            </w:r>
            <w:r>
              <w:rPr>
                <w:rFonts w:cs="Times New Roman" w:asciiTheme="minorEastAsia" w:hAnsiTheme="minorEastAsia" w:eastAsiaTheme="minorEastAsia"/>
                <w:b/>
                <w:color w:val="auto"/>
                <w:spacing w:val="-3"/>
                <w:lang w:eastAsia="zh-CN"/>
              </w:rPr>
              <w:t>环境</w:t>
            </w:r>
            <w:r>
              <w:rPr>
                <w:rFonts w:cs="Times New Roman" w:asciiTheme="minorEastAsia" w:hAnsiTheme="minorEastAsia" w:eastAsiaTheme="minorEastAsia"/>
                <w:b/>
                <w:color w:val="auto"/>
                <w:lang w:eastAsia="zh-CN"/>
              </w:rPr>
              <w:t>保护</w:t>
            </w:r>
            <w:r>
              <w:rPr>
                <w:rFonts w:cs="Times New Roman" w:asciiTheme="minorEastAsia" w:hAnsiTheme="minorEastAsia" w:eastAsiaTheme="minorEastAsia"/>
                <w:b/>
                <w:color w:val="auto"/>
                <w:spacing w:val="-3"/>
                <w:lang w:eastAsia="zh-CN"/>
              </w:rPr>
              <w:t>目</w:t>
            </w:r>
            <w:r>
              <w:rPr>
                <w:rFonts w:cs="Times New Roman" w:asciiTheme="minorEastAsia" w:hAnsiTheme="minorEastAsia" w:eastAsiaTheme="minorEastAsia"/>
                <w:b/>
                <w:color w:val="auto"/>
                <w:lang w:eastAsia="zh-CN"/>
              </w:rPr>
              <w:t>标</w:t>
            </w:r>
            <w:r>
              <w:rPr>
                <w:rFonts w:cs="Times New Roman" w:asciiTheme="minorEastAsia" w:hAnsiTheme="minorEastAsia" w:eastAsiaTheme="minorEastAsia"/>
                <w:b/>
                <w:color w:val="auto"/>
                <w:spacing w:val="-3"/>
                <w:lang w:eastAsia="zh-CN"/>
              </w:rPr>
              <w:t>噪</w:t>
            </w:r>
            <w:r>
              <w:rPr>
                <w:rFonts w:cs="Times New Roman" w:asciiTheme="minorEastAsia" w:hAnsiTheme="minorEastAsia" w:eastAsiaTheme="minorEastAsia"/>
                <w:b/>
                <w:color w:val="auto"/>
                <w:lang w:eastAsia="zh-CN"/>
              </w:rPr>
              <w:t>声</w:t>
            </w:r>
            <w:r>
              <w:rPr>
                <w:rFonts w:cs="Times New Roman" w:asciiTheme="minorEastAsia" w:hAnsiTheme="minorEastAsia" w:eastAsiaTheme="minorEastAsia"/>
                <w:b/>
                <w:color w:val="auto"/>
                <w:spacing w:val="-3"/>
                <w:lang w:eastAsia="zh-CN"/>
              </w:rPr>
              <w:t>预</w:t>
            </w:r>
            <w:r>
              <w:rPr>
                <w:rFonts w:cs="Times New Roman" w:asciiTheme="minorEastAsia" w:hAnsiTheme="minorEastAsia" w:eastAsiaTheme="minorEastAsia"/>
                <w:b/>
                <w:color w:val="auto"/>
                <w:lang w:eastAsia="zh-CN"/>
              </w:rPr>
              <w:t>测</w:t>
            </w:r>
            <w:r>
              <w:rPr>
                <w:rFonts w:cs="Times New Roman" w:asciiTheme="minorEastAsia" w:hAnsiTheme="minorEastAsia" w:eastAsiaTheme="minorEastAsia"/>
                <w:b/>
                <w:color w:val="auto"/>
                <w:spacing w:val="-3"/>
                <w:lang w:eastAsia="zh-CN"/>
              </w:rPr>
              <w:t>结</w:t>
            </w:r>
            <w:r>
              <w:rPr>
                <w:rFonts w:cs="Times New Roman" w:asciiTheme="minorEastAsia" w:hAnsiTheme="minorEastAsia" w:eastAsiaTheme="minorEastAsia"/>
                <w:b/>
                <w:color w:val="auto"/>
                <w:lang w:eastAsia="zh-CN"/>
              </w:rPr>
              <w:t>果</w:t>
            </w:r>
            <w:r>
              <w:rPr>
                <w:rFonts w:cs="Times New Roman" w:asciiTheme="minorEastAsia" w:hAnsiTheme="minorEastAsia" w:eastAsiaTheme="minorEastAsia"/>
                <w:b/>
                <w:color w:val="auto"/>
                <w:spacing w:val="-3"/>
                <w:lang w:eastAsia="zh-CN"/>
              </w:rPr>
              <w:t>与</w:t>
            </w:r>
            <w:r>
              <w:rPr>
                <w:rFonts w:cs="Times New Roman" w:asciiTheme="minorEastAsia" w:hAnsiTheme="minorEastAsia" w:eastAsiaTheme="minorEastAsia"/>
                <w:b/>
                <w:color w:val="auto"/>
                <w:lang w:eastAsia="zh-CN"/>
              </w:rPr>
              <w:t>达标</w:t>
            </w:r>
            <w:r>
              <w:rPr>
                <w:rFonts w:cs="Times New Roman" w:asciiTheme="minorEastAsia" w:hAnsiTheme="minorEastAsia" w:eastAsiaTheme="minorEastAsia"/>
                <w:b/>
                <w:color w:val="auto"/>
                <w:spacing w:val="-3"/>
                <w:lang w:eastAsia="zh-CN"/>
              </w:rPr>
              <w:t>分</w:t>
            </w:r>
            <w:r>
              <w:rPr>
                <w:rFonts w:cs="Times New Roman" w:asciiTheme="minorEastAsia" w:hAnsiTheme="minorEastAsia" w:eastAsiaTheme="minorEastAsia"/>
                <w:b/>
                <w:color w:val="auto"/>
                <w:lang w:eastAsia="zh-CN"/>
              </w:rPr>
              <w:t>析表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8"/>
              <w:gridCol w:w="1000"/>
              <w:gridCol w:w="1000"/>
              <w:gridCol w:w="1000"/>
              <w:gridCol w:w="1000"/>
              <w:gridCol w:w="1001"/>
              <w:gridCol w:w="1002"/>
              <w:gridCol w:w="1000"/>
            </w:tblGrid>
            <w:tr w14:paraId="0827D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dxa"/>
                  <w:vAlign w:val="center"/>
                </w:tcPr>
                <w:p w14:paraId="71254C65">
                  <w:pPr>
                    <w:pStyle w:val="17"/>
                    <w:jc w:val="center"/>
                    <w:rPr>
                      <w:rFonts w:hint="default"/>
                      <w:color w:val="auto"/>
                      <w:vertAlign w:val="baseline"/>
                      <w:lang w:val="en-US" w:eastAsia="zh-CN"/>
                    </w:rPr>
                  </w:pPr>
                  <w:r>
                    <w:rPr>
                      <w:rFonts w:hint="eastAsia"/>
                      <w:color w:val="auto"/>
                      <w:vertAlign w:val="baseline"/>
                      <w:lang w:val="en-US" w:eastAsia="zh-CN"/>
                    </w:rPr>
                    <w:t>声环境保护目标名称</w:t>
                  </w:r>
                </w:p>
              </w:tc>
              <w:tc>
                <w:tcPr>
                  <w:tcW w:w="1001" w:type="dxa"/>
                  <w:vAlign w:val="center"/>
                </w:tcPr>
                <w:p w14:paraId="6625DF84">
                  <w:pPr>
                    <w:pStyle w:val="17"/>
                    <w:jc w:val="center"/>
                    <w:rPr>
                      <w:rFonts w:hint="default"/>
                      <w:color w:val="auto"/>
                      <w:vertAlign w:val="baseline"/>
                      <w:lang w:val="en-US" w:eastAsia="zh-CN"/>
                    </w:rPr>
                  </w:pPr>
                  <w:r>
                    <w:rPr>
                      <w:rFonts w:hint="eastAsia"/>
                      <w:color w:val="auto"/>
                      <w:vertAlign w:val="baseline"/>
                      <w:lang w:val="en-US" w:eastAsia="zh-CN"/>
                    </w:rPr>
                    <w:t>噪声背景值/dB(A)</w:t>
                  </w:r>
                </w:p>
              </w:tc>
              <w:tc>
                <w:tcPr>
                  <w:tcW w:w="1001" w:type="dxa"/>
                  <w:vAlign w:val="center"/>
                </w:tcPr>
                <w:p w14:paraId="5140CE63">
                  <w:pPr>
                    <w:pStyle w:val="17"/>
                    <w:jc w:val="center"/>
                    <w:rPr>
                      <w:rFonts w:hint="default"/>
                      <w:color w:val="auto"/>
                      <w:vertAlign w:val="baseline"/>
                      <w:lang w:val="en-US" w:eastAsia="zh-CN"/>
                    </w:rPr>
                  </w:pPr>
                  <w:r>
                    <w:rPr>
                      <w:rFonts w:hint="eastAsia"/>
                      <w:color w:val="auto"/>
                      <w:vertAlign w:val="baseline"/>
                      <w:lang w:val="en-US" w:eastAsia="zh-CN"/>
                    </w:rPr>
                    <w:t>噪声现状值/dB(A)</w:t>
                  </w:r>
                </w:p>
              </w:tc>
              <w:tc>
                <w:tcPr>
                  <w:tcW w:w="1001" w:type="dxa"/>
                  <w:vAlign w:val="center"/>
                </w:tcPr>
                <w:p w14:paraId="1D58F4A2">
                  <w:pPr>
                    <w:pStyle w:val="17"/>
                    <w:jc w:val="center"/>
                    <w:rPr>
                      <w:rFonts w:hint="default"/>
                      <w:color w:val="auto"/>
                      <w:vertAlign w:val="baseline"/>
                      <w:lang w:val="en-US" w:eastAsia="zh-CN"/>
                    </w:rPr>
                  </w:pPr>
                  <w:r>
                    <w:rPr>
                      <w:rFonts w:hint="eastAsia"/>
                      <w:color w:val="auto"/>
                      <w:vertAlign w:val="baseline"/>
                      <w:lang w:val="en-US" w:eastAsia="zh-CN"/>
                    </w:rPr>
                    <w:t>噪声标准/dB(A)</w:t>
                  </w:r>
                </w:p>
              </w:tc>
              <w:tc>
                <w:tcPr>
                  <w:tcW w:w="1001" w:type="dxa"/>
                  <w:vAlign w:val="center"/>
                </w:tcPr>
                <w:p w14:paraId="781418D4">
                  <w:pPr>
                    <w:pStyle w:val="17"/>
                    <w:jc w:val="center"/>
                    <w:rPr>
                      <w:rFonts w:hint="default"/>
                      <w:color w:val="auto"/>
                      <w:vertAlign w:val="baseline"/>
                      <w:lang w:val="en-US" w:eastAsia="zh-CN"/>
                    </w:rPr>
                  </w:pPr>
                  <w:r>
                    <w:rPr>
                      <w:rFonts w:hint="eastAsia"/>
                      <w:color w:val="auto"/>
                      <w:vertAlign w:val="baseline"/>
                      <w:lang w:val="en-US" w:eastAsia="zh-CN"/>
                    </w:rPr>
                    <w:t>噪声贡献值/dB(A)</w:t>
                  </w:r>
                </w:p>
              </w:tc>
              <w:tc>
                <w:tcPr>
                  <w:tcW w:w="1002" w:type="dxa"/>
                  <w:vAlign w:val="center"/>
                </w:tcPr>
                <w:p w14:paraId="000AF0DE">
                  <w:pPr>
                    <w:pStyle w:val="17"/>
                    <w:jc w:val="center"/>
                    <w:rPr>
                      <w:rFonts w:hint="default"/>
                      <w:color w:val="auto"/>
                      <w:vertAlign w:val="baseline"/>
                      <w:lang w:val="en-US" w:eastAsia="zh-CN"/>
                    </w:rPr>
                  </w:pPr>
                  <w:r>
                    <w:rPr>
                      <w:rFonts w:hint="eastAsia"/>
                      <w:color w:val="auto"/>
                      <w:vertAlign w:val="baseline"/>
                      <w:lang w:val="en-US" w:eastAsia="zh-CN"/>
                    </w:rPr>
                    <w:t>噪声预测值/dB(A)</w:t>
                  </w:r>
                </w:p>
              </w:tc>
              <w:tc>
                <w:tcPr>
                  <w:tcW w:w="1002" w:type="dxa"/>
                  <w:vAlign w:val="center"/>
                </w:tcPr>
                <w:p w14:paraId="41374A32">
                  <w:pPr>
                    <w:pStyle w:val="17"/>
                    <w:jc w:val="center"/>
                    <w:rPr>
                      <w:rFonts w:hint="default"/>
                      <w:color w:val="auto"/>
                      <w:vertAlign w:val="baseline"/>
                      <w:lang w:val="en-US" w:eastAsia="zh-CN"/>
                    </w:rPr>
                  </w:pPr>
                  <w:r>
                    <w:rPr>
                      <w:rFonts w:hint="eastAsia"/>
                      <w:color w:val="auto"/>
                      <w:vertAlign w:val="baseline"/>
                      <w:lang w:val="en-US" w:eastAsia="zh-CN"/>
                    </w:rPr>
                    <w:t>较现状增量/dB(A)</w:t>
                  </w:r>
                </w:p>
              </w:tc>
              <w:tc>
                <w:tcPr>
                  <w:tcW w:w="1002" w:type="dxa"/>
                  <w:vAlign w:val="center"/>
                </w:tcPr>
                <w:p w14:paraId="4550221E">
                  <w:pPr>
                    <w:pStyle w:val="17"/>
                    <w:jc w:val="center"/>
                    <w:rPr>
                      <w:rFonts w:hint="default"/>
                      <w:color w:val="auto"/>
                      <w:vertAlign w:val="baseline"/>
                      <w:lang w:val="en-US" w:eastAsia="zh-CN"/>
                    </w:rPr>
                  </w:pPr>
                  <w:r>
                    <w:rPr>
                      <w:rFonts w:hint="eastAsia"/>
                      <w:color w:val="auto"/>
                      <w:vertAlign w:val="baseline"/>
                      <w:lang w:val="en-US" w:eastAsia="zh-CN"/>
                    </w:rPr>
                    <w:t>超标和达标情况</w:t>
                  </w:r>
                </w:p>
              </w:tc>
            </w:tr>
            <w:tr w14:paraId="47E22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dxa"/>
                  <w:vAlign w:val="center"/>
                </w:tcPr>
                <w:p w14:paraId="28EE651C">
                  <w:pPr>
                    <w:pStyle w:val="17"/>
                    <w:jc w:val="center"/>
                    <w:rPr>
                      <w:rFonts w:hint="default"/>
                      <w:color w:val="auto"/>
                      <w:vertAlign w:val="baseline"/>
                      <w:lang w:val="en-US" w:eastAsia="zh-CN"/>
                    </w:rPr>
                  </w:pPr>
                  <w:r>
                    <w:rPr>
                      <w:rFonts w:hint="eastAsia"/>
                      <w:color w:val="auto"/>
                      <w:vertAlign w:val="baseline"/>
                      <w:lang w:val="en-US" w:eastAsia="zh-CN"/>
                    </w:rPr>
                    <w:t>西侧居民点</w:t>
                  </w:r>
                </w:p>
              </w:tc>
              <w:tc>
                <w:tcPr>
                  <w:tcW w:w="1001" w:type="dxa"/>
                  <w:vAlign w:val="center"/>
                </w:tcPr>
                <w:p w14:paraId="03A5BA49">
                  <w:pPr>
                    <w:pStyle w:val="17"/>
                    <w:jc w:val="center"/>
                    <w:rPr>
                      <w:rFonts w:hint="default"/>
                      <w:color w:val="auto"/>
                      <w:vertAlign w:val="baseline"/>
                      <w:lang w:val="en-US" w:eastAsia="zh-CN"/>
                    </w:rPr>
                  </w:pPr>
                  <w:r>
                    <w:rPr>
                      <w:rFonts w:hint="eastAsia"/>
                      <w:color w:val="auto"/>
                      <w:vertAlign w:val="baseline"/>
                      <w:lang w:val="en-US" w:eastAsia="zh-CN"/>
                    </w:rPr>
                    <w:t>52.0</w:t>
                  </w:r>
                </w:p>
              </w:tc>
              <w:tc>
                <w:tcPr>
                  <w:tcW w:w="1001" w:type="dxa"/>
                  <w:vAlign w:val="center"/>
                </w:tcPr>
                <w:p w14:paraId="3969EC60">
                  <w:pPr>
                    <w:pStyle w:val="17"/>
                    <w:jc w:val="center"/>
                    <w:rPr>
                      <w:rFonts w:hint="default"/>
                      <w:color w:val="auto"/>
                      <w:vertAlign w:val="baseline"/>
                      <w:lang w:val="en-US" w:eastAsia="zh-CN"/>
                    </w:rPr>
                  </w:pPr>
                  <w:r>
                    <w:rPr>
                      <w:rFonts w:hint="eastAsia"/>
                      <w:color w:val="auto"/>
                      <w:vertAlign w:val="baseline"/>
                      <w:lang w:val="en-US" w:eastAsia="zh-CN"/>
                    </w:rPr>
                    <w:t>52.0</w:t>
                  </w:r>
                </w:p>
              </w:tc>
              <w:tc>
                <w:tcPr>
                  <w:tcW w:w="1001" w:type="dxa"/>
                  <w:vAlign w:val="center"/>
                </w:tcPr>
                <w:p w14:paraId="6D929D9F">
                  <w:pPr>
                    <w:pStyle w:val="17"/>
                    <w:jc w:val="center"/>
                    <w:rPr>
                      <w:rFonts w:hint="default"/>
                      <w:color w:val="auto"/>
                      <w:vertAlign w:val="baseline"/>
                      <w:lang w:val="en-US" w:eastAsia="zh-CN"/>
                    </w:rPr>
                  </w:pPr>
                  <w:r>
                    <w:rPr>
                      <w:rFonts w:hint="eastAsia"/>
                      <w:color w:val="auto"/>
                      <w:vertAlign w:val="baseline"/>
                      <w:lang w:val="en-US" w:eastAsia="zh-CN"/>
                    </w:rPr>
                    <w:t>60</w:t>
                  </w:r>
                </w:p>
              </w:tc>
              <w:tc>
                <w:tcPr>
                  <w:tcW w:w="1001" w:type="dxa"/>
                  <w:vAlign w:val="center"/>
                </w:tcPr>
                <w:p w14:paraId="46858104">
                  <w:pPr>
                    <w:pStyle w:val="17"/>
                    <w:jc w:val="center"/>
                    <w:rPr>
                      <w:rFonts w:hint="default"/>
                      <w:color w:val="auto"/>
                      <w:vertAlign w:val="baseline"/>
                      <w:lang w:val="en-US" w:eastAsia="zh-CN"/>
                    </w:rPr>
                  </w:pPr>
                  <w:r>
                    <w:rPr>
                      <w:rFonts w:hint="eastAsia"/>
                      <w:color w:val="auto"/>
                      <w:vertAlign w:val="baseline"/>
                      <w:lang w:val="en-US" w:eastAsia="zh-CN"/>
                    </w:rPr>
                    <w:t>16.2</w:t>
                  </w:r>
                </w:p>
              </w:tc>
              <w:tc>
                <w:tcPr>
                  <w:tcW w:w="1002" w:type="dxa"/>
                  <w:vAlign w:val="center"/>
                </w:tcPr>
                <w:p w14:paraId="4144E98B">
                  <w:pPr>
                    <w:pStyle w:val="17"/>
                    <w:jc w:val="center"/>
                    <w:rPr>
                      <w:rFonts w:hint="default"/>
                      <w:color w:val="auto"/>
                      <w:vertAlign w:val="baseline"/>
                      <w:lang w:val="en-US" w:eastAsia="zh-CN"/>
                    </w:rPr>
                  </w:pPr>
                  <w:r>
                    <w:rPr>
                      <w:rFonts w:hint="eastAsia"/>
                      <w:color w:val="auto"/>
                      <w:vertAlign w:val="baseline"/>
                      <w:lang w:val="en-US" w:eastAsia="zh-CN"/>
                    </w:rPr>
                    <w:t>52.0</w:t>
                  </w:r>
                </w:p>
              </w:tc>
              <w:tc>
                <w:tcPr>
                  <w:tcW w:w="1002" w:type="dxa"/>
                  <w:vAlign w:val="center"/>
                </w:tcPr>
                <w:p w14:paraId="67B00409">
                  <w:pPr>
                    <w:pStyle w:val="17"/>
                    <w:jc w:val="center"/>
                    <w:rPr>
                      <w:rFonts w:hint="default"/>
                      <w:color w:val="auto"/>
                      <w:vertAlign w:val="baseline"/>
                      <w:lang w:val="en-US" w:eastAsia="zh-CN"/>
                    </w:rPr>
                  </w:pPr>
                  <w:r>
                    <w:rPr>
                      <w:rFonts w:hint="eastAsia"/>
                      <w:color w:val="auto"/>
                      <w:vertAlign w:val="baseline"/>
                      <w:lang w:val="en-US" w:eastAsia="zh-CN"/>
                    </w:rPr>
                    <w:t>0</w:t>
                  </w:r>
                </w:p>
              </w:tc>
              <w:tc>
                <w:tcPr>
                  <w:tcW w:w="1002" w:type="dxa"/>
                  <w:vAlign w:val="center"/>
                </w:tcPr>
                <w:p w14:paraId="7D5F4020">
                  <w:pPr>
                    <w:pStyle w:val="17"/>
                    <w:jc w:val="center"/>
                    <w:rPr>
                      <w:rFonts w:hint="default"/>
                      <w:color w:val="auto"/>
                      <w:vertAlign w:val="baseline"/>
                      <w:lang w:val="en-US" w:eastAsia="zh-CN"/>
                    </w:rPr>
                  </w:pPr>
                  <w:r>
                    <w:rPr>
                      <w:rFonts w:hint="eastAsia"/>
                      <w:color w:val="auto"/>
                      <w:vertAlign w:val="baseline"/>
                      <w:lang w:val="en-US" w:eastAsia="zh-CN"/>
                    </w:rPr>
                    <w:t>达标</w:t>
                  </w:r>
                </w:p>
              </w:tc>
            </w:tr>
            <w:tr w14:paraId="7D484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dxa"/>
                  <w:vAlign w:val="center"/>
                </w:tcPr>
                <w:p w14:paraId="1291B793">
                  <w:pPr>
                    <w:pStyle w:val="17"/>
                    <w:jc w:val="center"/>
                    <w:rPr>
                      <w:rFonts w:hint="default"/>
                      <w:color w:val="auto"/>
                      <w:vertAlign w:val="baseline"/>
                      <w:lang w:val="en-US" w:eastAsia="zh-CN"/>
                    </w:rPr>
                  </w:pPr>
                  <w:r>
                    <w:rPr>
                      <w:rFonts w:hint="eastAsia"/>
                      <w:color w:val="auto"/>
                      <w:vertAlign w:val="baseline"/>
                      <w:lang w:val="en-US" w:eastAsia="zh-CN"/>
                    </w:rPr>
                    <w:t>东侧居民点</w:t>
                  </w:r>
                </w:p>
              </w:tc>
              <w:tc>
                <w:tcPr>
                  <w:tcW w:w="1001" w:type="dxa"/>
                  <w:vAlign w:val="center"/>
                </w:tcPr>
                <w:p w14:paraId="5296A3A9">
                  <w:pPr>
                    <w:pStyle w:val="17"/>
                    <w:jc w:val="center"/>
                    <w:rPr>
                      <w:rFonts w:hint="default"/>
                      <w:color w:val="auto"/>
                      <w:vertAlign w:val="baseline"/>
                      <w:lang w:val="en-US" w:eastAsia="zh-CN"/>
                    </w:rPr>
                  </w:pPr>
                  <w:r>
                    <w:rPr>
                      <w:rFonts w:hint="eastAsia"/>
                      <w:color w:val="auto"/>
                      <w:vertAlign w:val="baseline"/>
                      <w:lang w:val="en-US" w:eastAsia="zh-CN"/>
                    </w:rPr>
                    <w:t>52.0</w:t>
                  </w:r>
                </w:p>
              </w:tc>
              <w:tc>
                <w:tcPr>
                  <w:tcW w:w="1001" w:type="dxa"/>
                  <w:vAlign w:val="center"/>
                </w:tcPr>
                <w:p w14:paraId="5DA0F814">
                  <w:pPr>
                    <w:pStyle w:val="17"/>
                    <w:jc w:val="center"/>
                    <w:rPr>
                      <w:rFonts w:hint="default"/>
                      <w:color w:val="auto"/>
                      <w:vertAlign w:val="baseline"/>
                      <w:lang w:val="en-US" w:eastAsia="zh-CN"/>
                    </w:rPr>
                  </w:pPr>
                  <w:r>
                    <w:rPr>
                      <w:rFonts w:hint="eastAsia"/>
                      <w:color w:val="auto"/>
                      <w:vertAlign w:val="baseline"/>
                      <w:lang w:val="en-US" w:eastAsia="zh-CN"/>
                    </w:rPr>
                    <w:t>52.0</w:t>
                  </w:r>
                </w:p>
              </w:tc>
              <w:tc>
                <w:tcPr>
                  <w:tcW w:w="1001" w:type="dxa"/>
                  <w:vAlign w:val="center"/>
                </w:tcPr>
                <w:p w14:paraId="0135F039">
                  <w:pPr>
                    <w:pStyle w:val="17"/>
                    <w:jc w:val="center"/>
                    <w:rPr>
                      <w:rFonts w:hint="default"/>
                      <w:color w:val="auto"/>
                      <w:vertAlign w:val="baseline"/>
                      <w:lang w:val="en-US" w:eastAsia="zh-CN"/>
                    </w:rPr>
                  </w:pPr>
                  <w:r>
                    <w:rPr>
                      <w:rFonts w:hint="eastAsia"/>
                      <w:color w:val="auto"/>
                      <w:vertAlign w:val="baseline"/>
                      <w:lang w:val="en-US" w:eastAsia="zh-CN"/>
                    </w:rPr>
                    <w:t>60</w:t>
                  </w:r>
                </w:p>
              </w:tc>
              <w:tc>
                <w:tcPr>
                  <w:tcW w:w="1001" w:type="dxa"/>
                  <w:vAlign w:val="center"/>
                </w:tcPr>
                <w:p w14:paraId="2FC16669">
                  <w:pPr>
                    <w:pStyle w:val="17"/>
                    <w:jc w:val="center"/>
                    <w:rPr>
                      <w:rFonts w:hint="default"/>
                      <w:color w:val="auto"/>
                      <w:vertAlign w:val="baseline"/>
                      <w:lang w:val="en-US" w:eastAsia="zh-CN"/>
                    </w:rPr>
                  </w:pPr>
                  <w:r>
                    <w:rPr>
                      <w:rFonts w:hint="eastAsia"/>
                      <w:color w:val="auto"/>
                      <w:vertAlign w:val="baseline"/>
                      <w:lang w:val="en-US" w:eastAsia="zh-CN"/>
                    </w:rPr>
                    <w:t>16.9</w:t>
                  </w:r>
                </w:p>
              </w:tc>
              <w:tc>
                <w:tcPr>
                  <w:tcW w:w="1002" w:type="dxa"/>
                  <w:vAlign w:val="center"/>
                </w:tcPr>
                <w:p w14:paraId="458C70C1">
                  <w:pPr>
                    <w:pStyle w:val="17"/>
                    <w:jc w:val="center"/>
                    <w:rPr>
                      <w:rFonts w:hint="default"/>
                      <w:color w:val="auto"/>
                      <w:vertAlign w:val="baseline"/>
                      <w:lang w:val="en-US" w:eastAsia="zh-CN"/>
                    </w:rPr>
                  </w:pPr>
                  <w:r>
                    <w:rPr>
                      <w:rFonts w:hint="eastAsia"/>
                      <w:color w:val="auto"/>
                      <w:vertAlign w:val="baseline"/>
                      <w:lang w:val="en-US" w:eastAsia="zh-CN"/>
                    </w:rPr>
                    <w:t>52.0</w:t>
                  </w:r>
                </w:p>
              </w:tc>
              <w:tc>
                <w:tcPr>
                  <w:tcW w:w="1002" w:type="dxa"/>
                  <w:vAlign w:val="center"/>
                </w:tcPr>
                <w:p w14:paraId="34529A4E">
                  <w:pPr>
                    <w:pStyle w:val="17"/>
                    <w:jc w:val="center"/>
                    <w:rPr>
                      <w:rFonts w:hint="default"/>
                      <w:color w:val="auto"/>
                      <w:vertAlign w:val="baseline"/>
                      <w:lang w:val="en-US" w:eastAsia="zh-CN"/>
                    </w:rPr>
                  </w:pPr>
                  <w:r>
                    <w:rPr>
                      <w:rFonts w:hint="eastAsia"/>
                      <w:color w:val="auto"/>
                      <w:vertAlign w:val="baseline"/>
                      <w:lang w:val="en-US" w:eastAsia="zh-CN"/>
                    </w:rPr>
                    <w:t>0</w:t>
                  </w:r>
                </w:p>
              </w:tc>
              <w:tc>
                <w:tcPr>
                  <w:tcW w:w="1002" w:type="dxa"/>
                  <w:vAlign w:val="center"/>
                </w:tcPr>
                <w:p w14:paraId="763FC72F">
                  <w:pPr>
                    <w:pStyle w:val="17"/>
                    <w:jc w:val="center"/>
                    <w:rPr>
                      <w:rFonts w:hint="default"/>
                      <w:color w:val="auto"/>
                      <w:vertAlign w:val="baseline"/>
                      <w:lang w:val="en-US" w:eastAsia="zh-CN"/>
                    </w:rPr>
                  </w:pPr>
                  <w:r>
                    <w:rPr>
                      <w:rFonts w:hint="eastAsia"/>
                      <w:color w:val="auto"/>
                      <w:vertAlign w:val="baseline"/>
                      <w:lang w:val="en-US" w:eastAsia="zh-CN"/>
                    </w:rPr>
                    <w:t>达标</w:t>
                  </w:r>
                </w:p>
              </w:tc>
            </w:tr>
          </w:tbl>
          <w:p w14:paraId="6CDE491B">
            <w:pPr>
              <w:bidi w:val="0"/>
              <w:rPr>
                <w:rFonts w:hint="eastAsia"/>
                <w:color w:val="auto"/>
                <w:lang w:val="en-US" w:eastAsia="zh-CN"/>
              </w:rPr>
            </w:pPr>
            <w:r>
              <w:rPr>
                <w:rFonts w:hint="eastAsia"/>
                <w:color w:val="auto"/>
                <w:lang w:val="en-US" w:eastAsia="zh-CN"/>
              </w:rPr>
              <w:t>由预测结果可知，本项目改建完成后全厂昼间厂界噪声预测值与声环境保护目标噪声预测值均能达到《工业企业厂界环境噪声排放标准》（GB 12348-2008）中的2类标准。</w:t>
            </w:r>
          </w:p>
          <w:p w14:paraId="68175DB7">
            <w:pPr>
              <w:pStyle w:val="5"/>
              <w:bidi w:val="0"/>
              <w:rPr>
                <w:rFonts w:hint="eastAsia"/>
                <w:color w:val="auto"/>
                <w:lang w:val="en-US" w:eastAsia="zh-CN"/>
              </w:rPr>
            </w:pPr>
            <w:bookmarkStart w:id="447" w:name="_Toc11770"/>
            <w:bookmarkStart w:id="448" w:name="_Toc28627"/>
            <w:bookmarkStart w:id="449" w:name="_Toc6475"/>
            <w:bookmarkStart w:id="450" w:name="_Toc32719"/>
            <w:bookmarkStart w:id="451" w:name="_Toc25935"/>
            <w:r>
              <w:rPr>
                <w:rFonts w:hint="eastAsia"/>
                <w:color w:val="auto"/>
                <w:lang w:val="en-US" w:eastAsia="zh-CN"/>
              </w:rPr>
              <w:t>4.3 防治措施</w:t>
            </w:r>
            <w:bookmarkEnd w:id="447"/>
            <w:bookmarkEnd w:id="448"/>
            <w:bookmarkEnd w:id="449"/>
            <w:bookmarkEnd w:id="450"/>
            <w:bookmarkEnd w:id="451"/>
          </w:p>
          <w:p w14:paraId="1552EAC7">
            <w:pPr>
              <w:rPr>
                <w:rFonts w:hint="eastAsia"/>
                <w:color w:val="auto"/>
                <w:lang w:val="en-US" w:eastAsia="zh-CN"/>
              </w:rPr>
            </w:pPr>
            <w:r>
              <w:rPr>
                <w:rFonts w:hint="eastAsia"/>
                <w:color w:val="auto"/>
                <w:lang w:val="en-US" w:eastAsia="zh-CN"/>
              </w:rPr>
              <w:t>本项目运营期噪声主要为各种生产设备噪声，噪声值约在70-100dB（A），为降低噪声对周边环境的影响，项目拟采取以下治理措施：</w:t>
            </w:r>
          </w:p>
          <w:p w14:paraId="6040D1D2">
            <w:pPr>
              <w:rPr>
                <w:rFonts w:hint="eastAsia"/>
                <w:color w:val="auto"/>
                <w:lang w:val="en-US" w:eastAsia="zh-CN"/>
              </w:rPr>
            </w:pPr>
            <w:r>
              <w:rPr>
                <w:rFonts w:hint="eastAsia"/>
                <w:color w:val="auto"/>
                <w:lang w:val="en-US" w:eastAsia="zh-CN"/>
              </w:rPr>
              <w:t>①合理布局，重视总平面布置</w:t>
            </w:r>
          </w:p>
          <w:p w14:paraId="379A4D1F">
            <w:pPr>
              <w:rPr>
                <w:rFonts w:hint="eastAsia"/>
                <w:color w:val="auto"/>
                <w:lang w:val="en-US" w:eastAsia="zh-CN"/>
              </w:rPr>
            </w:pPr>
            <w:r>
              <w:rPr>
                <w:rFonts w:hint="eastAsia"/>
                <w:color w:val="auto"/>
                <w:lang w:val="en-US" w:eastAsia="zh-CN"/>
              </w:rPr>
              <w:t>将高噪声设备集中布置车间厂房内，并尽量远离厂界；生产车间在生产作业时关闭门窗；在管道布置、设计及支吊架选择上注意防震、防冲击，以减少噪声对环境的影响。</w:t>
            </w:r>
          </w:p>
          <w:p w14:paraId="3B423ED4">
            <w:pPr>
              <w:rPr>
                <w:rFonts w:hint="eastAsia"/>
                <w:color w:val="auto"/>
                <w:lang w:val="en-US" w:eastAsia="zh-CN"/>
              </w:rPr>
            </w:pPr>
            <w:r>
              <w:rPr>
                <w:rFonts w:hint="eastAsia"/>
                <w:color w:val="auto"/>
                <w:lang w:val="en-US" w:eastAsia="zh-CN"/>
              </w:rPr>
              <w:t>②技术防治</w:t>
            </w:r>
          </w:p>
          <w:p w14:paraId="5DFAD12B">
            <w:pPr>
              <w:rPr>
                <w:rFonts w:hint="eastAsia"/>
                <w:color w:val="auto"/>
                <w:lang w:val="en-US" w:eastAsia="zh-CN"/>
              </w:rPr>
            </w:pPr>
            <w:r>
              <w:rPr>
                <w:rFonts w:hint="eastAsia"/>
                <w:color w:val="auto"/>
                <w:lang w:val="en-US" w:eastAsia="zh-CN"/>
              </w:rPr>
              <w:t>I.在设备选型方面，在满足工艺生产的前提下，选用精度高、装配质量好、噪声低的设备；对于某些设备运行时由振动产生的噪声，应对设备基础进行减振，能降低噪声级10-15分贝。</w:t>
            </w:r>
          </w:p>
          <w:p w14:paraId="29511852">
            <w:pPr>
              <w:rPr>
                <w:rFonts w:hint="eastAsia"/>
                <w:color w:val="auto"/>
                <w:lang w:val="en-US" w:eastAsia="zh-CN"/>
              </w:rPr>
            </w:pPr>
            <w:r>
              <w:rPr>
                <w:rFonts w:hint="eastAsia"/>
                <w:color w:val="auto"/>
                <w:lang w:val="en-US" w:eastAsia="zh-CN"/>
              </w:rPr>
              <w:t>II.重视厂房的使用状况，尽量采用密闭形式，不设门窗或设隔声玻璃门窗，能降低噪声级10-15分贝；在厂房内可使用隔声材料进行降噪，并在其表面，主要有多孔材料如（玻璃棉、矿棉、丝棉、聚氨酯泡沫塑料、珍珠岩吸声砖），穿孔板吸声结构和薄板共振吸声结构，能降低噪声级10-20分贝。</w:t>
            </w:r>
          </w:p>
          <w:p w14:paraId="48617A47">
            <w:pPr>
              <w:rPr>
                <w:rFonts w:hint="eastAsia"/>
                <w:color w:val="auto"/>
                <w:lang w:val="en-US" w:eastAsia="zh-CN"/>
              </w:rPr>
            </w:pPr>
            <w:r>
              <w:rPr>
                <w:rFonts w:hint="eastAsia"/>
                <w:color w:val="auto"/>
                <w:lang w:val="en-US" w:eastAsia="zh-CN"/>
              </w:rPr>
              <w:t>③加强管理建立设备定期维护、保养的管理制度，以防止设备故障形成的非生产噪声，同时确保环保措施发挥最有效的功能；加强职工环保意识教育，提倡文明生产，防止人为噪声；对于厂区内流动声源（汽车），应强化行车管理制度，严禁鸣号，进入厂区低速行驶，最大限度减少流动噪声源。</w:t>
            </w:r>
          </w:p>
          <w:p w14:paraId="13270FA1">
            <w:pPr>
              <w:rPr>
                <w:rFonts w:hint="eastAsia"/>
                <w:color w:val="auto"/>
                <w:lang w:val="en-US" w:eastAsia="zh-CN"/>
              </w:rPr>
            </w:pPr>
            <w:r>
              <w:rPr>
                <w:rFonts w:hint="eastAsia"/>
                <w:color w:val="auto"/>
                <w:lang w:val="en-US" w:eastAsia="zh-CN"/>
              </w:rPr>
              <w:t>④加强生产机械的日常维护并对老化和性能降低的旧设备进行及时更换，以此降低摩擦，减小噪声强度。</w:t>
            </w:r>
          </w:p>
          <w:p w14:paraId="3B5CADEF">
            <w:pPr>
              <w:pStyle w:val="5"/>
              <w:bidi w:val="0"/>
              <w:rPr>
                <w:rFonts w:hint="eastAsia"/>
                <w:color w:val="auto"/>
                <w:lang w:val="en-US" w:eastAsia="zh-CN"/>
              </w:rPr>
            </w:pPr>
            <w:bookmarkStart w:id="452" w:name="_Toc25079"/>
            <w:bookmarkStart w:id="453" w:name="_Toc24595"/>
            <w:bookmarkStart w:id="454" w:name="_Toc31649"/>
            <w:bookmarkStart w:id="455" w:name="_Toc28096"/>
            <w:bookmarkStart w:id="456" w:name="_Toc22916"/>
            <w:r>
              <w:rPr>
                <w:rFonts w:hint="eastAsia"/>
                <w:color w:val="auto"/>
                <w:lang w:val="en-US" w:eastAsia="zh-CN"/>
              </w:rPr>
              <w:t>4.4 噪声自行监测要求</w:t>
            </w:r>
            <w:bookmarkEnd w:id="452"/>
            <w:bookmarkEnd w:id="453"/>
            <w:bookmarkEnd w:id="454"/>
            <w:bookmarkEnd w:id="455"/>
            <w:bookmarkEnd w:id="456"/>
          </w:p>
          <w:p w14:paraId="26CFE077">
            <w:pPr>
              <w:bidi w:val="0"/>
              <w:ind w:firstLine="480" w:firstLineChars="200"/>
              <w:rPr>
                <w:rFonts w:hint="default"/>
                <w:color w:val="auto"/>
                <w:lang w:val="en-US" w:eastAsia="zh-CN"/>
              </w:rPr>
            </w:pPr>
            <w:r>
              <w:rPr>
                <w:rFonts w:hint="default"/>
                <w:color w:val="auto"/>
                <w:lang w:val="en-US" w:eastAsia="zh-CN"/>
              </w:rPr>
              <w:t>建设单位应定期或不定期委托有检测资质单位对</w:t>
            </w:r>
            <w:r>
              <w:rPr>
                <w:rFonts w:hint="eastAsia"/>
                <w:color w:val="auto"/>
                <w:lang w:val="en-US" w:eastAsia="zh-CN"/>
              </w:rPr>
              <w:t>厂界噪声</w:t>
            </w:r>
            <w:r>
              <w:rPr>
                <w:rFonts w:hint="default"/>
                <w:color w:val="auto"/>
                <w:lang w:val="en-US" w:eastAsia="zh-CN"/>
              </w:rPr>
              <w:t>进行监测。自行监测的记录要求</w:t>
            </w:r>
            <w:r>
              <w:rPr>
                <w:rFonts w:hint="eastAsia"/>
                <w:color w:val="auto"/>
                <w:lang w:val="en-US" w:eastAsia="zh-CN"/>
              </w:rPr>
              <w:t>根据《排污单位自行监测技术指南 总则》（HJ 819-2017）、</w:t>
            </w:r>
            <w:r>
              <w:rPr>
                <w:rFonts w:hint="default"/>
                <w:color w:val="auto"/>
                <w:lang w:val="en-US" w:eastAsia="zh-CN"/>
              </w:rPr>
              <w:t xml:space="preserve">《排污单位自行监测技术指南 </w:t>
            </w:r>
            <w:r>
              <w:rPr>
                <w:rFonts w:hint="eastAsia"/>
                <w:color w:val="auto"/>
                <w:lang w:val="en-US" w:eastAsia="zh-CN"/>
              </w:rPr>
              <w:t>工业固体废物和危险废物治理</w:t>
            </w:r>
            <w:r>
              <w:rPr>
                <w:rFonts w:hint="default"/>
                <w:color w:val="auto"/>
                <w:lang w:val="en-US" w:eastAsia="zh-CN"/>
              </w:rPr>
              <w:t>》（HJ</w:t>
            </w:r>
            <w:r>
              <w:rPr>
                <w:rFonts w:hint="eastAsia"/>
                <w:color w:val="auto"/>
                <w:lang w:val="en-US" w:eastAsia="zh-CN"/>
              </w:rPr>
              <w:t xml:space="preserve"> 1250-2022</w:t>
            </w:r>
            <w:r>
              <w:rPr>
                <w:rFonts w:hint="default"/>
                <w:color w:val="auto"/>
                <w:lang w:val="en-US" w:eastAsia="zh-CN"/>
              </w:rPr>
              <w:t>）</w:t>
            </w:r>
            <w:r>
              <w:rPr>
                <w:rFonts w:hint="eastAsia"/>
                <w:color w:val="auto"/>
                <w:lang w:val="en-US" w:eastAsia="zh-CN"/>
              </w:rPr>
              <w:t>、《排污单位自行监测技术指南 水泥工业》（HJ 848-2017）</w:t>
            </w:r>
            <w:r>
              <w:rPr>
                <w:rFonts w:hint="default"/>
                <w:color w:val="auto"/>
                <w:lang w:val="en-US" w:eastAsia="zh-CN"/>
              </w:rPr>
              <w:t>进行，待所属行业的</w:t>
            </w:r>
            <w:r>
              <w:rPr>
                <w:rFonts w:hint="eastAsia"/>
                <w:color w:val="auto"/>
                <w:lang w:val="en-US" w:eastAsia="zh-CN"/>
              </w:rPr>
              <w:t>其他</w:t>
            </w:r>
            <w:r>
              <w:rPr>
                <w:rFonts w:hint="default"/>
                <w:color w:val="auto"/>
                <w:lang w:val="en-US" w:eastAsia="zh-CN"/>
              </w:rPr>
              <w:t>排污单位自行监测技术指南发布实施后从其规定。</w:t>
            </w:r>
          </w:p>
          <w:p w14:paraId="3FD5E65B">
            <w:pPr>
              <w:bidi w:val="0"/>
              <w:ind w:firstLine="480" w:firstLineChars="200"/>
              <w:rPr>
                <w:rFonts w:hint="default"/>
                <w:color w:val="auto"/>
                <w:lang w:val="en-US" w:eastAsia="zh-CN"/>
              </w:rPr>
            </w:pPr>
            <w:r>
              <w:rPr>
                <w:rFonts w:hint="eastAsia"/>
                <w:color w:val="auto"/>
                <w:lang w:val="en-US" w:eastAsia="zh-CN"/>
              </w:rPr>
              <w:t>本项目改建完成后全厂的噪声</w:t>
            </w:r>
            <w:r>
              <w:rPr>
                <w:rFonts w:hint="default"/>
                <w:color w:val="auto"/>
                <w:lang w:val="en-US" w:eastAsia="zh-CN"/>
              </w:rPr>
              <w:t>监测计划见表4-</w:t>
            </w:r>
            <w:r>
              <w:rPr>
                <w:rFonts w:hint="eastAsia"/>
                <w:color w:val="auto"/>
                <w:lang w:val="en-US" w:eastAsia="zh-CN"/>
              </w:rPr>
              <w:t>12</w:t>
            </w:r>
            <w:r>
              <w:rPr>
                <w:rFonts w:hint="default"/>
                <w:color w:val="auto"/>
                <w:lang w:val="en-US" w:eastAsia="zh-CN"/>
              </w:rPr>
              <w:t>。</w:t>
            </w:r>
          </w:p>
          <w:p w14:paraId="6D313EE6">
            <w:pPr>
              <w:pStyle w:val="18"/>
              <w:bidi w:val="0"/>
              <w:rPr>
                <w:rFonts w:hint="default"/>
                <w:color w:val="auto"/>
                <w:lang w:val="en-US" w:eastAsia="zh-CN"/>
              </w:rPr>
            </w:pPr>
            <w:r>
              <w:rPr>
                <w:rFonts w:hint="default"/>
                <w:color w:val="auto"/>
                <w:lang w:val="en-US" w:eastAsia="zh-CN"/>
              </w:rPr>
              <w:t>表4-</w:t>
            </w:r>
            <w:r>
              <w:rPr>
                <w:rFonts w:hint="eastAsia"/>
                <w:color w:val="auto"/>
                <w:lang w:val="en-US" w:eastAsia="zh-CN"/>
              </w:rPr>
              <w:t>12 改建后全厂</w:t>
            </w:r>
            <w:r>
              <w:rPr>
                <w:rFonts w:hint="default"/>
                <w:color w:val="auto"/>
                <w:lang w:val="en-US" w:eastAsia="zh-CN"/>
              </w:rPr>
              <w:t>运营期噪声自行监测要求一览表</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1"/>
              <w:gridCol w:w="1709"/>
              <w:gridCol w:w="1556"/>
              <w:gridCol w:w="3625"/>
            </w:tblGrid>
            <w:tr w14:paraId="7BB4A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vAlign w:val="center"/>
                </w:tcPr>
                <w:p w14:paraId="75E19204">
                  <w:pPr>
                    <w:pStyle w:val="17"/>
                    <w:bidi w:val="0"/>
                    <w:rPr>
                      <w:rFonts w:hint="default"/>
                      <w:color w:val="auto"/>
                      <w:lang w:val="en-US" w:eastAsia="zh-CN"/>
                    </w:rPr>
                  </w:pPr>
                  <w:r>
                    <w:rPr>
                      <w:rFonts w:hint="default"/>
                      <w:color w:val="auto"/>
                      <w:lang w:val="en-US" w:eastAsia="zh-CN"/>
                    </w:rPr>
                    <w:t>监测因子</w:t>
                  </w:r>
                </w:p>
              </w:tc>
              <w:tc>
                <w:tcPr>
                  <w:tcW w:w="1695" w:type="dxa"/>
                  <w:vAlign w:val="center"/>
                </w:tcPr>
                <w:p w14:paraId="356D5983">
                  <w:pPr>
                    <w:pStyle w:val="17"/>
                    <w:bidi w:val="0"/>
                    <w:rPr>
                      <w:rFonts w:hint="default"/>
                      <w:color w:val="auto"/>
                      <w:lang w:val="en-US" w:eastAsia="zh-CN"/>
                    </w:rPr>
                  </w:pPr>
                  <w:r>
                    <w:rPr>
                      <w:rFonts w:hint="default"/>
                      <w:color w:val="auto"/>
                      <w:lang w:val="en-US" w:eastAsia="zh-CN"/>
                    </w:rPr>
                    <w:t>监测点位</w:t>
                  </w:r>
                </w:p>
              </w:tc>
              <w:tc>
                <w:tcPr>
                  <w:tcW w:w="1543" w:type="dxa"/>
                  <w:vAlign w:val="center"/>
                </w:tcPr>
                <w:p w14:paraId="1609ED9D">
                  <w:pPr>
                    <w:pStyle w:val="17"/>
                    <w:bidi w:val="0"/>
                    <w:rPr>
                      <w:rFonts w:hint="default"/>
                      <w:color w:val="auto"/>
                      <w:lang w:val="en-US" w:eastAsia="zh-CN"/>
                    </w:rPr>
                  </w:pPr>
                  <w:r>
                    <w:rPr>
                      <w:rFonts w:hint="default"/>
                      <w:color w:val="auto"/>
                      <w:lang w:val="en-US" w:eastAsia="zh-CN"/>
                    </w:rPr>
                    <w:t>监测频次</w:t>
                  </w:r>
                </w:p>
              </w:tc>
              <w:tc>
                <w:tcPr>
                  <w:tcW w:w="3596" w:type="dxa"/>
                  <w:vAlign w:val="center"/>
                </w:tcPr>
                <w:p w14:paraId="262DC94F">
                  <w:pPr>
                    <w:pStyle w:val="17"/>
                    <w:bidi w:val="0"/>
                    <w:rPr>
                      <w:rFonts w:hint="default"/>
                      <w:color w:val="auto"/>
                      <w:lang w:val="en-US" w:eastAsia="zh-CN"/>
                    </w:rPr>
                  </w:pPr>
                  <w:r>
                    <w:rPr>
                      <w:rFonts w:hint="eastAsia"/>
                      <w:color w:val="auto"/>
                      <w:lang w:val="en-US" w:eastAsia="zh-CN"/>
                    </w:rPr>
                    <w:t>排放执行标准</w:t>
                  </w:r>
                </w:p>
              </w:tc>
            </w:tr>
            <w:tr w14:paraId="12D65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102" w:type="dxa"/>
                  <w:vAlign w:val="center"/>
                </w:tcPr>
                <w:p w14:paraId="73212477">
                  <w:pPr>
                    <w:pStyle w:val="17"/>
                    <w:bidi w:val="0"/>
                    <w:ind w:firstLine="0" w:firstLineChars="0"/>
                    <w:rPr>
                      <w:rFonts w:hint="default" w:ascii="Times New Roman" w:hAnsi="Times New Roman" w:eastAsia="宋体" w:cs="Times New Roman"/>
                      <w:color w:val="auto"/>
                      <w:kern w:val="0"/>
                      <w:sz w:val="21"/>
                      <w:szCs w:val="21"/>
                      <w:lang w:val="en-US" w:eastAsia="zh-CN" w:bidi="ar-SA"/>
                    </w:rPr>
                  </w:pPr>
                  <w:r>
                    <w:rPr>
                      <w:rFonts w:hint="default"/>
                      <w:color w:val="auto"/>
                      <w:lang w:val="en-US" w:eastAsia="zh-CN"/>
                    </w:rPr>
                    <w:t>噪声</w:t>
                  </w:r>
                </w:p>
              </w:tc>
              <w:tc>
                <w:tcPr>
                  <w:tcW w:w="1695" w:type="dxa"/>
                  <w:vAlign w:val="center"/>
                </w:tcPr>
                <w:p w14:paraId="058B4DC6">
                  <w:pPr>
                    <w:pStyle w:val="17"/>
                    <w:bidi w:val="0"/>
                    <w:ind w:firstLine="0" w:firstLineChars="0"/>
                    <w:rPr>
                      <w:rFonts w:hint="eastAsia" w:ascii="Times New Roman" w:hAnsi="Times New Roman" w:eastAsia="宋体" w:cs="Times New Roman"/>
                      <w:color w:val="auto"/>
                      <w:kern w:val="0"/>
                      <w:sz w:val="21"/>
                      <w:szCs w:val="21"/>
                      <w:lang w:val="en-US" w:eastAsia="zh-CN" w:bidi="ar-SA"/>
                    </w:rPr>
                  </w:pPr>
                  <w:r>
                    <w:rPr>
                      <w:rFonts w:hint="eastAsia"/>
                      <w:color w:val="auto"/>
                      <w:lang w:val="en-US" w:eastAsia="zh-CN"/>
                    </w:rPr>
                    <w:t>厂区边界外1m</w:t>
                  </w:r>
                </w:p>
              </w:tc>
              <w:tc>
                <w:tcPr>
                  <w:tcW w:w="1543" w:type="dxa"/>
                  <w:vAlign w:val="center"/>
                </w:tcPr>
                <w:p w14:paraId="41E677ED">
                  <w:pPr>
                    <w:pStyle w:val="17"/>
                    <w:bidi w:val="0"/>
                    <w:ind w:firstLine="0" w:firstLineChars="0"/>
                    <w:rPr>
                      <w:rFonts w:hint="eastAsia" w:ascii="Times New Roman" w:hAnsi="Times New Roman" w:eastAsia="宋体" w:cs="Times New Roman"/>
                      <w:color w:val="auto"/>
                      <w:kern w:val="0"/>
                      <w:sz w:val="21"/>
                      <w:szCs w:val="21"/>
                      <w:lang w:val="en-US" w:eastAsia="zh-CN" w:bidi="ar-SA"/>
                    </w:rPr>
                  </w:pPr>
                  <w:r>
                    <w:rPr>
                      <w:rFonts w:hint="eastAsia"/>
                      <w:color w:val="auto"/>
                      <w:lang w:val="en-US" w:eastAsia="zh-CN"/>
                    </w:rPr>
                    <w:t>1</w:t>
                  </w:r>
                  <w:r>
                    <w:rPr>
                      <w:rFonts w:hint="default"/>
                      <w:color w:val="auto"/>
                      <w:lang w:val="en-US" w:eastAsia="zh-CN"/>
                    </w:rPr>
                    <w:t>次</w:t>
                  </w:r>
                  <w:r>
                    <w:rPr>
                      <w:rFonts w:hint="eastAsia"/>
                      <w:color w:val="auto"/>
                      <w:lang w:val="en-US" w:eastAsia="zh-CN"/>
                    </w:rPr>
                    <w:t>/</w:t>
                  </w:r>
                  <w:r>
                    <w:rPr>
                      <w:rFonts w:hint="default"/>
                      <w:color w:val="auto"/>
                      <w:lang w:val="en-US" w:eastAsia="zh-CN"/>
                    </w:rPr>
                    <w:t>季度</w:t>
                  </w:r>
                </w:p>
              </w:tc>
              <w:tc>
                <w:tcPr>
                  <w:tcW w:w="3596" w:type="dxa"/>
                  <w:vAlign w:val="center"/>
                </w:tcPr>
                <w:p w14:paraId="17BFEEA9">
                  <w:pPr>
                    <w:pStyle w:val="17"/>
                    <w:bidi w:val="0"/>
                    <w:ind w:firstLine="0" w:firstLineChars="0"/>
                    <w:rPr>
                      <w:rFonts w:hint="eastAsia" w:ascii="Times New Roman" w:hAnsi="Times New Roman" w:eastAsia="宋体" w:cs="Times New Roman"/>
                      <w:color w:val="auto"/>
                      <w:kern w:val="0"/>
                      <w:sz w:val="21"/>
                      <w:szCs w:val="21"/>
                      <w:lang w:val="en-US" w:eastAsia="zh-CN" w:bidi="ar-SA"/>
                    </w:rPr>
                  </w:pPr>
                  <w:r>
                    <w:rPr>
                      <w:rFonts w:hint="eastAsia"/>
                      <w:color w:val="auto"/>
                      <w:lang w:val="en-US" w:eastAsia="zh-CN"/>
                    </w:rPr>
                    <w:t>《工业企业厂界环境噪声排放标准》</w:t>
                  </w:r>
                  <w:r>
                    <w:rPr>
                      <w:rFonts w:hint="default"/>
                      <w:color w:val="auto"/>
                      <w:lang w:val="en-US" w:eastAsia="zh-CN"/>
                    </w:rPr>
                    <w:t>（</w:t>
                  </w:r>
                  <w:r>
                    <w:rPr>
                      <w:rFonts w:hint="eastAsia"/>
                      <w:color w:val="auto"/>
                      <w:lang w:val="en-US" w:eastAsia="zh-CN"/>
                    </w:rPr>
                    <w:t>GB12348</w:t>
                  </w:r>
                  <w:r>
                    <w:rPr>
                      <w:rFonts w:hint="default"/>
                      <w:color w:val="auto"/>
                      <w:lang w:val="en-US" w:eastAsia="zh-CN"/>
                    </w:rPr>
                    <w:t>-</w:t>
                  </w:r>
                  <w:r>
                    <w:rPr>
                      <w:rFonts w:hint="eastAsia"/>
                      <w:color w:val="auto"/>
                      <w:lang w:val="en-US" w:eastAsia="zh-CN"/>
                    </w:rPr>
                    <w:t>2008</w:t>
                  </w:r>
                  <w:r>
                    <w:rPr>
                      <w:rFonts w:hint="default"/>
                      <w:color w:val="auto"/>
                      <w:lang w:val="en-US" w:eastAsia="zh-CN"/>
                    </w:rPr>
                    <w:t>）</w:t>
                  </w:r>
                  <w:r>
                    <w:rPr>
                      <w:rFonts w:hint="eastAsia"/>
                      <w:color w:val="auto"/>
                      <w:lang w:val="en-US" w:eastAsia="zh-CN"/>
                    </w:rPr>
                    <w:t>2类标准</w:t>
                  </w:r>
                </w:p>
              </w:tc>
            </w:tr>
          </w:tbl>
          <w:p w14:paraId="62AE6E19">
            <w:pPr>
              <w:pStyle w:val="4"/>
              <w:bidi w:val="0"/>
              <w:rPr>
                <w:rFonts w:hint="eastAsia"/>
                <w:color w:val="auto"/>
                <w:lang w:val="en-US" w:eastAsia="zh-CN"/>
              </w:rPr>
            </w:pPr>
            <w:bookmarkStart w:id="457" w:name="_Toc11086"/>
            <w:bookmarkStart w:id="458" w:name="_Toc30464"/>
            <w:bookmarkStart w:id="459" w:name="_Toc19044"/>
            <w:bookmarkStart w:id="460" w:name="_Toc19527"/>
            <w:bookmarkStart w:id="461" w:name="_Toc4587"/>
            <w:r>
              <w:rPr>
                <w:rFonts w:hint="eastAsia"/>
                <w:color w:val="auto"/>
                <w:lang w:val="en-US" w:eastAsia="zh-CN"/>
              </w:rPr>
              <w:t>5、固体废物环境影响分析和保护措施</w:t>
            </w:r>
            <w:bookmarkEnd w:id="457"/>
            <w:bookmarkEnd w:id="458"/>
            <w:bookmarkEnd w:id="459"/>
            <w:bookmarkEnd w:id="460"/>
            <w:bookmarkEnd w:id="461"/>
          </w:p>
          <w:p w14:paraId="265D0C26">
            <w:pPr>
              <w:pStyle w:val="5"/>
              <w:bidi w:val="0"/>
              <w:rPr>
                <w:rFonts w:hint="eastAsia"/>
                <w:color w:val="auto"/>
                <w:lang w:val="en-US" w:eastAsia="zh-CN"/>
              </w:rPr>
            </w:pPr>
            <w:bookmarkStart w:id="462" w:name="_Toc23140"/>
            <w:bookmarkStart w:id="463" w:name="_Toc59"/>
            <w:bookmarkStart w:id="464" w:name="_Toc6459"/>
            <w:bookmarkStart w:id="465" w:name="_Toc24761"/>
            <w:bookmarkStart w:id="466" w:name="_Toc10840"/>
            <w:r>
              <w:rPr>
                <w:rFonts w:hint="eastAsia"/>
                <w:color w:val="auto"/>
                <w:lang w:val="en-US" w:eastAsia="zh-CN"/>
              </w:rPr>
              <w:t>5.1 固体废物产生情况</w:t>
            </w:r>
            <w:bookmarkEnd w:id="462"/>
            <w:bookmarkEnd w:id="463"/>
            <w:bookmarkEnd w:id="464"/>
            <w:bookmarkEnd w:id="465"/>
            <w:bookmarkEnd w:id="466"/>
          </w:p>
          <w:p w14:paraId="3AF5CBBF">
            <w:pPr>
              <w:rPr>
                <w:rFonts w:hint="eastAsia"/>
                <w:color w:val="auto"/>
                <w:lang w:val="en-US" w:eastAsia="zh-CN"/>
              </w:rPr>
            </w:pPr>
            <w:r>
              <w:rPr>
                <w:rFonts w:hint="eastAsia"/>
                <w:color w:val="auto"/>
                <w:lang w:val="en-US" w:eastAsia="zh-CN"/>
              </w:rPr>
              <w:t>本项目工业固体废物主要包括：一般工业固体废物、危险废物和生活垃圾。</w:t>
            </w:r>
          </w:p>
          <w:p w14:paraId="16CE503C">
            <w:pPr>
              <w:rPr>
                <w:rFonts w:hint="eastAsia"/>
                <w:color w:val="auto"/>
                <w:lang w:val="en-US" w:eastAsia="zh-CN"/>
              </w:rPr>
            </w:pPr>
            <w:r>
              <w:rPr>
                <w:rFonts w:hint="eastAsia"/>
                <w:color w:val="auto"/>
                <w:lang w:val="en-US" w:eastAsia="zh-CN"/>
              </w:rPr>
              <w:t>（1）一般工业固体废物</w:t>
            </w:r>
          </w:p>
          <w:p w14:paraId="56BCFDFB">
            <w:pPr>
              <w:rPr>
                <w:rFonts w:hint="eastAsia"/>
                <w:color w:val="auto"/>
                <w:lang w:val="en-US" w:eastAsia="zh-CN"/>
              </w:rPr>
            </w:pPr>
            <w:r>
              <w:rPr>
                <w:rFonts w:hint="eastAsia"/>
                <w:color w:val="auto"/>
                <w:lang w:val="en-US" w:eastAsia="zh-CN"/>
              </w:rPr>
              <w:t>①初期雨水池沉渣</w:t>
            </w:r>
          </w:p>
          <w:p w14:paraId="7E276A02">
            <w:pPr>
              <w:rPr>
                <w:rFonts w:hint="eastAsia"/>
                <w:color w:val="auto"/>
                <w:lang w:val="en-US" w:eastAsia="zh-CN"/>
              </w:rPr>
            </w:pPr>
            <w:r>
              <w:rPr>
                <w:rFonts w:hint="eastAsia"/>
                <w:color w:val="auto"/>
                <w:lang w:val="en-US" w:eastAsia="zh-CN"/>
              </w:rPr>
              <w:t>项目区域降雨时，细小颗粒物会随水流进入初期雨水池，通过沉降沉积于池底，根据雨水中SS浓度等数据，估算出每年的沉渣量为2.145t/a，通过对初期雨水池定期清淤，沉渣回用于制砖。</w:t>
            </w:r>
          </w:p>
          <w:p w14:paraId="136942AD">
            <w:pPr>
              <w:rPr>
                <w:rFonts w:hint="eastAsia"/>
                <w:color w:val="auto"/>
                <w:lang w:val="en-US" w:eastAsia="zh-CN"/>
              </w:rPr>
            </w:pPr>
            <w:r>
              <w:rPr>
                <w:rFonts w:hint="eastAsia"/>
                <w:color w:val="auto"/>
                <w:lang w:val="en-US" w:eastAsia="zh-CN"/>
              </w:rPr>
              <w:t>②除尘器收集的粉尘</w:t>
            </w:r>
          </w:p>
          <w:p w14:paraId="240A67B2">
            <w:pPr>
              <w:rPr>
                <w:rFonts w:hint="eastAsia"/>
                <w:color w:val="auto"/>
                <w:lang w:val="en-US" w:eastAsia="zh-CN"/>
              </w:rPr>
            </w:pPr>
            <w:r>
              <w:rPr>
                <w:rFonts w:hint="eastAsia"/>
                <w:color w:val="auto"/>
                <w:lang w:val="en-US" w:eastAsia="zh-CN"/>
              </w:rPr>
              <w:t>项目改建完成后破碎、筛分粉尘产生量为180t/a，收集效率为90%，搅拌粉尘产生量为96.1013t/a，水泥装卸、储存粉尘产生量为34.9125t/a，经除尘器治理后，二级破碎筛分粉尘排放量为0.567t/a，搅拌粉尘排放量为0.2883t/a，水泥装卸、储存粉尘排放量为0.1047t/a，则除尘器收集的粉尘量为292.0538t/a。分类收集后定期外售综合利用。</w:t>
            </w:r>
          </w:p>
          <w:p w14:paraId="4903C32B">
            <w:pPr>
              <w:rPr>
                <w:rFonts w:hint="eastAsia"/>
                <w:color w:val="auto"/>
                <w:lang w:val="en-US" w:eastAsia="zh-CN"/>
              </w:rPr>
            </w:pPr>
            <w:r>
              <w:rPr>
                <w:rFonts w:hint="eastAsia"/>
                <w:color w:val="auto"/>
                <w:lang w:val="en-US" w:eastAsia="zh-CN"/>
              </w:rPr>
              <w:t>③除尘器废布袋</w:t>
            </w:r>
          </w:p>
          <w:p w14:paraId="3C49DC2A">
            <w:pPr>
              <w:rPr>
                <w:rFonts w:hint="eastAsia"/>
                <w:color w:val="auto"/>
                <w:lang w:val="en-US" w:eastAsia="zh-CN"/>
              </w:rPr>
            </w:pPr>
            <w:r>
              <w:rPr>
                <w:rFonts w:hint="eastAsia"/>
                <w:color w:val="auto"/>
                <w:lang w:val="en-US" w:eastAsia="zh-CN"/>
              </w:rPr>
              <w:t>本项目采用脉冲反吹袋式除尘器处理二级破碎筛分粉尘、搅拌粉尘和水泥装卸储存粉尘，需定期更换布袋，根据建设单位提供资料，废布袋的产生量约为0.9t/a。</w:t>
            </w:r>
          </w:p>
          <w:p w14:paraId="789D7FF2">
            <w:pPr>
              <w:rPr>
                <w:rFonts w:hint="eastAsia"/>
                <w:color w:val="auto"/>
                <w:lang w:val="en-US" w:eastAsia="zh-CN"/>
              </w:rPr>
            </w:pPr>
            <w:r>
              <w:rPr>
                <w:rFonts w:hint="eastAsia"/>
                <w:color w:val="auto"/>
                <w:lang w:val="en-US" w:eastAsia="zh-CN"/>
              </w:rPr>
              <w:t>④钢筋、木块、废塑料等</w:t>
            </w:r>
          </w:p>
          <w:p w14:paraId="41A22466">
            <w:pPr>
              <w:rPr>
                <w:rFonts w:hint="eastAsia"/>
                <w:color w:val="auto"/>
                <w:lang w:val="en-US" w:eastAsia="zh-CN"/>
              </w:rPr>
            </w:pPr>
            <w:r>
              <w:rPr>
                <w:rFonts w:hint="eastAsia"/>
                <w:color w:val="auto"/>
                <w:lang w:val="en-US" w:eastAsia="zh-CN"/>
              </w:rPr>
              <w:t>建筑垃圾处置在人工分选中，会产生剩余的钢筋、木材、少量的塑料等一般固废，项目改建完成后年最大处理建筑垃圾、装修垃圾和一般工业固体废物24万t/a，根据建设单位提供资料，钢筋、木块、废塑料等一般固体废物约占建筑垃圾总量的1%，即2400t/a，分类收集后定期外售综合利用。</w:t>
            </w:r>
          </w:p>
          <w:p w14:paraId="46ED700A">
            <w:pPr>
              <w:rPr>
                <w:rFonts w:hint="eastAsia"/>
                <w:color w:val="auto"/>
                <w:lang w:val="en-US" w:eastAsia="zh-CN"/>
              </w:rPr>
            </w:pPr>
            <w:r>
              <w:rPr>
                <w:rFonts w:hint="eastAsia"/>
                <w:color w:val="auto"/>
                <w:lang w:val="en-US" w:eastAsia="zh-CN"/>
              </w:rPr>
              <w:t>⑤成型养护固废</w:t>
            </w:r>
          </w:p>
          <w:p w14:paraId="5BD0CC65">
            <w:pPr>
              <w:rPr>
                <w:rFonts w:hint="default"/>
                <w:color w:val="auto"/>
                <w:lang w:val="en-US" w:eastAsia="zh-CN"/>
              </w:rPr>
            </w:pPr>
            <w:r>
              <w:rPr>
                <w:rFonts w:hint="eastAsia"/>
                <w:color w:val="auto"/>
                <w:lang w:val="en-US" w:eastAsia="zh-CN"/>
              </w:rPr>
              <w:t>本项目制砖成型养护工序会产生一定量的一般固废，参考《排放源统计调查产排污核算方法和系数手册》（生态环境部公告2021年第24号）“水泥制品制造行业系数手册”，产污系数为4.5</w:t>
            </w:r>
            <w:r>
              <w:rPr>
                <w:rFonts w:hint="default" w:ascii="Times New Roman" w:hAnsi="Times New Roman" w:cs="Times New Roman"/>
                <w:color w:val="auto"/>
                <w:lang w:val="en-US" w:eastAsia="zh-CN"/>
              </w:rPr>
              <w:t>×</w:t>
            </w:r>
            <w:r>
              <w:rPr>
                <w:rFonts w:hint="eastAsia"/>
                <w:color w:val="auto"/>
                <w:lang w:val="en-US" w:eastAsia="zh-CN"/>
              </w:rPr>
              <w:t>10</w:t>
            </w:r>
            <w:r>
              <w:rPr>
                <w:rFonts w:hint="eastAsia"/>
                <w:color w:val="auto"/>
                <w:vertAlign w:val="superscript"/>
                <w:lang w:val="en-US" w:eastAsia="zh-CN"/>
              </w:rPr>
              <w:t>-4</w:t>
            </w:r>
            <w:r>
              <w:rPr>
                <w:rFonts w:hint="eastAsia"/>
                <w:color w:val="auto"/>
                <w:lang w:val="en-US" w:eastAsia="zh-CN"/>
              </w:rPr>
              <w:t>吨/吨产品，本项目建成后预计年制砖3.675万吨，则成型养护固废产生量为16.5375t/a。</w:t>
            </w:r>
          </w:p>
          <w:p w14:paraId="65DC9F18">
            <w:pPr>
              <w:rPr>
                <w:rFonts w:hint="eastAsia"/>
                <w:color w:val="auto"/>
                <w:lang w:val="en-US" w:eastAsia="zh-CN"/>
              </w:rPr>
            </w:pPr>
            <w:r>
              <w:rPr>
                <w:rFonts w:hint="eastAsia"/>
                <w:color w:val="auto"/>
                <w:lang w:val="en-US" w:eastAsia="zh-CN"/>
              </w:rPr>
              <w:t>（2）危险废物</w:t>
            </w:r>
          </w:p>
          <w:p w14:paraId="5BEA8380">
            <w:pPr>
              <w:rPr>
                <w:rFonts w:hint="eastAsia"/>
                <w:color w:val="auto"/>
                <w:lang w:val="en-US" w:eastAsia="zh-CN"/>
              </w:rPr>
            </w:pPr>
            <w:r>
              <w:rPr>
                <w:rFonts w:hint="eastAsia"/>
                <w:color w:val="auto"/>
                <w:lang w:val="en-US" w:eastAsia="zh-CN"/>
              </w:rPr>
              <w:t>①隔油渣</w:t>
            </w:r>
          </w:p>
          <w:p w14:paraId="5725074E">
            <w:pPr>
              <w:rPr>
                <w:rFonts w:hint="eastAsia"/>
                <w:color w:val="auto"/>
                <w:lang w:val="en-US" w:eastAsia="zh-CN"/>
              </w:rPr>
            </w:pPr>
            <w:r>
              <w:rPr>
                <w:rFonts w:hint="eastAsia"/>
                <w:color w:val="auto"/>
                <w:lang w:val="en-US" w:eastAsia="zh-CN"/>
              </w:rPr>
              <w:t>根据建设单位提供资料，项目改建完成后隔油渣产生量约为0.2t/a，属于“HW08废矿物油与含矿物油废物”，危废代码“900-210-08”，收集后暂存于危废暂存间外委处置。</w:t>
            </w:r>
          </w:p>
          <w:p w14:paraId="5B2A1AB0">
            <w:pPr>
              <w:rPr>
                <w:rFonts w:hint="eastAsia"/>
                <w:color w:val="auto"/>
                <w:lang w:val="en-US" w:eastAsia="zh-CN"/>
              </w:rPr>
            </w:pPr>
            <w:r>
              <w:rPr>
                <w:rFonts w:hint="eastAsia"/>
                <w:color w:val="auto"/>
                <w:lang w:val="en-US" w:eastAsia="zh-CN"/>
              </w:rPr>
              <w:t>②废机油及油桶</w:t>
            </w:r>
          </w:p>
          <w:p w14:paraId="3CDF322F">
            <w:pPr>
              <w:rPr>
                <w:rFonts w:hint="default"/>
                <w:color w:val="auto"/>
                <w:lang w:val="en-US" w:eastAsia="zh-CN"/>
              </w:rPr>
            </w:pPr>
            <w:r>
              <w:rPr>
                <w:rFonts w:hint="eastAsia"/>
                <w:color w:val="auto"/>
                <w:lang w:val="en-US" w:eastAsia="zh-CN"/>
              </w:rPr>
              <w:t>根据建设单位提供资料，项目改建完成后废机油及油桶产生量约为0.5t/a，属于“HW49其他废物”，危废代码“900-041-49”，收集后暂存于危废暂存间外委处置。</w:t>
            </w:r>
          </w:p>
          <w:p w14:paraId="7A2BD022">
            <w:pPr>
              <w:rPr>
                <w:rFonts w:hint="eastAsia"/>
                <w:color w:val="auto"/>
                <w:lang w:val="en-US" w:eastAsia="zh-CN"/>
              </w:rPr>
            </w:pPr>
            <w:r>
              <w:rPr>
                <w:rFonts w:hint="eastAsia"/>
                <w:color w:val="auto"/>
                <w:lang w:val="en-US" w:eastAsia="zh-CN"/>
              </w:rPr>
              <w:t>（3）生活垃圾</w:t>
            </w:r>
          </w:p>
          <w:p w14:paraId="0102E8D9">
            <w:pPr>
              <w:rPr>
                <w:rFonts w:hint="eastAsia"/>
                <w:color w:val="auto"/>
                <w:lang w:val="en-US" w:eastAsia="zh-CN"/>
              </w:rPr>
            </w:pPr>
            <w:r>
              <w:rPr>
                <w:rFonts w:hint="eastAsia"/>
                <w:color w:val="auto"/>
                <w:lang w:val="en-US" w:eastAsia="zh-CN"/>
              </w:rPr>
              <w:t>项目改建完成后劳动定员45人，均不在厂内住宿，职工生活垃圾按0.5kg/人·d计，则生活垃圾产生量为6.75t/a，经厂区内垃圾桶收集后交由当地环卫部门清运处理。</w:t>
            </w:r>
          </w:p>
          <w:p w14:paraId="2909CA55">
            <w:pPr>
              <w:rPr>
                <w:rFonts w:hint="eastAsia"/>
                <w:color w:val="auto"/>
                <w:lang w:val="en-US" w:eastAsia="zh-CN"/>
              </w:rPr>
            </w:pPr>
            <w:r>
              <w:rPr>
                <w:rFonts w:hint="eastAsia"/>
                <w:color w:val="auto"/>
                <w:lang w:val="en-US" w:eastAsia="zh-CN"/>
              </w:rPr>
              <w:t>综上，项目改建后固体废物产生及处理措施详见表4-13。</w:t>
            </w:r>
          </w:p>
          <w:p w14:paraId="02F4D4C6">
            <w:pPr>
              <w:pStyle w:val="18"/>
              <w:bidi w:val="0"/>
              <w:rPr>
                <w:rFonts w:hint="eastAsia"/>
                <w:color w:val="auto"/>
                <w:lang w:val="en-US" w:eastAsia="zh-CN"/>
              </w:rPr>
            </w:pPr>
            <w:r>
              <w:rPr>
                <w:rFonts w:hint="eastAsia"/>
                <w:color w:val="auto"/>
                <w:lang w:val="en-US" w:eastAsia="zh-CN"/>
              </w:rPr>
              <w:t>表4-13 项目改建后固体废物产生及处理措施一览表</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8"/>
              <w:gridCol w:w="877"/>
              <w:gridCol w:w="1042"/>
              <w:gridCol w:w="1117"/>
              <w:gridCol w:w="1122"/>
              <w:gridCol w:w="2125"/>
            </w:tblGrid>
            <w:tr w14:paraId="5E750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pct"/>
                  <w:vMerge w:val="restart"/>
                  <w:vAlign w:val="center"/>
                </w:tcPr>
                <w:p w14:paraId="1690EE96">
                  <w:pPr>
                    <w:pStyle w:val="17"/>
                    <w:jc w:val="center"/>
                    <w:rPr>
                      <w:rFonts w:hint="default"/>
                      <w:color w:val="auto"/>
                      <w:vertAlign w:val="baseline"/>
                      <w:lang w:val="en-US" w:eastAsia="zh-CN"/>
                    </w:rPr>
                  </w:pPr>
                  <w:r>
                    <w:rPr>
                      <w:rFonts w:hint="eastAsia"/>
                      <w:color w:val="auto"/>
                      <w:vertAlign w:val="baseline"/>
                      <w:lang w:val="en-US" w:eastAsia="zh-CN"/>
                    </w:rPr>
                    <w:t>污染物名称</w:t>
                  </w:r>
                </w:p>
              </w:tc>
              <w:tc>
                <w:tcPr>
                  <w:tcW w:w="563" w:type="pct"/>
                  <w:vMerge w:val="restart"/>
                  <w:vAlign w:val="center"/>
                </w:tcPr>
                <w:p w14:paraId="61006AD7">
                  <w:pPr>
                    <w:pStyle w:val="17"/>
                    <w:jc w:val="center"/>
                    <w:rPr>
                      <w:rFonts w:hint="default"/>
                      <w:color w:val="auto"/>
                      <w:vertAlign w:val="baseline"/>
                      <w:lang w:val="en-US" w:eastAsia="zh-CN"/>
                    </w:rPr>
                  </w:pPr>
                  <w:r>
                    <w:rPr>
                      <w:rFonts w:hint="eastAsia"/>
                      <w:color w:val="auto"/>
                      <w:vertAlign w:val="baseline"/>
                      <w:lang w:val="en-US" w:eastAsia="zh-CN"/>
                    </w:rPr>
                    <w:t>污染物类型</w:t>
                  </w:r>
                </w:p>
              </w:tc>
              <w:tc>
                <w:tcPr>
                  <w:tcW w:w="2005" w:type="pct"/>
                  <w:gridSpan w:val="3"/>
                  <w:vAlign w:val="center"/>
                </w:tcPr>
                <w:p w14:paraId="4F46BF16">
                  <w:pPr>
                    <w:pStyle w:val="17"/>
                    <w:jc w:val="center"/>
                    <w:rPr>
                      <w:rFonts w:hint="eastAsia"/>
                      <w:color w:val="auto"/>
                      <w:vertAlign w:val="baseline"/>
                      <w:lang w:val="en-US" w:eastAsia="zh-CN"/>
                    </w:rPr>
                  </w:pPr>
                  <w:r>
                    <w:rPr>
                      <w:rFonts w:hint="eastAsia"/>
                      <w:color w:val="auto"/>
                      <w:vertAlign w:val="baseline"/>
                      <w:lang w:val="en-US" w:eastAsia="zh-CN"/>
                    </w:rPr>
                    <w:t>产生量（t/a）</w:t>
                  </w:r>
                </w:p>
              </w:tc>
              <w:tc>
                <w:tcPr>
                  <w:tcW w:w="1342" w:type="pct"/>
                  <w:vMerge w:val="restart"/>
                  <w:vAlign w:val="center"/>
                </w:tcPr>
                <w:p w14:paraId="73AF16EB">
                  <w:pPr>
                    <w:pStyle w:val="17"/>
                    <w:jc w:val="center"/>
                    <w:rPr>
                      <w:rFonts w:hint="default"/>
                      <w:color w:val="auto"/>
                      <w:vertAlign w:val="baseline"/>
                      <w:lang w:val="en-US" w:eastAsia="zh-CN"/>
                    </w:rPr>
                  </w:pPr>
                  <w:r>
                    <w:rPr>
                      <w:rFonts w:hint="eastAsia"/>
                      <w:color w:val="auto"/>
                      <w:vertAlign w:val="baseline"/>
                      <w:lang w:val="en-US" w:eastAsia="zh-CN"/>
                    </w:rPr>
                    <w:t>拟采取处理措施</w:t>
                  </w:r>
                </w:p>
              </w:tc>
            </w:tr>
            <w:tr w14:paraId="6C3EE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pct"/>
                  <w:vMerge w:val="continue"/>
                  <w:vAlign w:val="center"/>
                </w:tcPr>
                <w:p w14:paraId="73ABA781">
                  <w:pPr>
                    <w:pStyle w:val="17"/>
                    <w:jc w:val="center"/>
                    <w:rPr>
                      <w:rFonts w:hint="eastAsia"/>
                      <w:color w:val="auto"/>
                      <w:vertAlign w:val="baseline"/>
                      <w:lang w:val="en-US" w:eastAsia="zh-CN"/>
                    </w:rPr>
                  </w:pPr>
                </w:p>
              </w:tc>
              <w:tc>
                <w:tcPr>
                  <w:tcW w:w="563" w:type="pct"/>
                  <w:vMerge w:val="continue"/>
                  <w:vAlign w:val="center"/>
                </w:tcPr>
                <w:p w14:paraId="37C92105">
                  <w:pPr>
                    <w:pStyle w:val="17"/>
                    <w:jc w:val="center"/>
                    <w:rPr>
                      <w:rFonts w:hint="eastAsia"/>
                      <w:color w:val="auto"/>
                      <w:vertAlign w:val="baseline"/>
                      <w:lang w:val="en-US" w:eastAsia="zh-CN"/>
                    </w:rPr>
                  </w:pPr>
                </w:p>
              </w:tc>
              <w:tc>
                <w:tcPr>
                  <w:tcW w:w="665" w:type="pct"/>
                  <w:vAlign w:val="center"/>
                </w:tcPr>
                <w:p w14:paraId="53BADC8F">
                  <w:pPr>
                    <w:pStyle w:val="17"/>
                    <w:jc w:val="center"/>
                    <w:rPr>
                      <w:rFonts w:hint="default"/>
                      <w:color w:val="auto"/>
                      <w:vertAlign w:val="baseline"/>
                      <w:lang w:val="en-US" w:eastAsia="zh-CN"/>
                    </w:rPr>
                  </w:pPr>
                  <w:r>
                    <w:rPr>
                      <w:rFonts w:hint="eastAsia"/>
                      <w:color w:val="auto"/>
                      <w:vertAlign w:val="baseline"/>
                      <w:lang w:val="en-US" w:eastAsia="zh-CN"/>
                    </w:rPr>
                    <w:t>改建前</w:t>
                  </w:r>
                </w:p>
              </w:tc>
              <w:tc>
                <w:tcPr>
                  <w:tcW w:w="712" w:type="pct"/>
                  <w:vAlign w:val="center"/>
                </w:tcPr>
                <w:p w14:paraId="215E070C">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改建后</w:t>
                  </w:r>
                </w:p>
              </w:tc>
              <w:tc>
                <w:tcPr>
                  <w:tcW w:w="628" w:type="pct"/>
                  <w:vAlign w:val="center"/>
                </w:tcPr>
                <w:p w14:paraId="367A973D">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变化量</w:t>
                  </w:r>
                </w:p>
              </w:tc>
              <w:tc>
                <w:tcPr>
                  <w:tcW w:w="1342" w:type="pct"/>
                  <w:vMerge w:val="continue"/>
                  <w:vAlign w:val="center"/>
                </w:tcPr>
                <w:p w14:paraId="530830E7">
                  <w:pPr>
                    <w:pStyle w:val="17"/>
                    <w:jc w:val="center"/>
                    <w:rPr>
                      <w:rFonts w:hint="eastAsia"/>
                      <w:color w:val="auto"/>
                      <w:vertAlign w:val="baseline"/>
                      <w:lang w:val="en-US" w:eastAsia="zh-CN"/>
                    </w:rPr>
                  </w:pPr>
                </w:p>
              </w:tc>
            </w:tr>
            <w:tr w14:paraId="33E55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pct"/>
                  <w:vAlign w:val="center"/>
                </w:tcPr>
                <w:p w14:paraId="590382E5">
                  <w:pPr>
                    <w:pStyle w:val="17"/>
                    <w:jc w:val="center"/>
                    <w:rPr>
                      <w:rFonts w:hint="default"/>
                      <w:color w:val="auto"/>
                      <w:vertAlign w:val="baseline"/>
                      <w:lang w:val="en-US" w:eastAsia="zh-CN"/>
                    </w:rPr>
                  </w:pPr>
                  <w:r>
                    <w:rPr>
                      <w:rFonts w:hint="eastAsia"/>
                      <w:color w:val="auto"/>
                      <w:vertAlign w:val="baseline"/>
                      <w:lang w:val="en-US" w:eastAsia="zh-CN"/>
                    </w:rPr>
                    <w:t>初期雨水池沉渣</w:t>
                  </w:r>
                </w:p>
              </w:tc>
              <w:tc>
                <w:tcPr>
                  <w:tcW w:w="563" w:type="pct"/>
                  <w:vMerge w:val="restart"/>
                  <w:vAlign w:val="center"/>
                </w:tcPr>
                <w:p w14:paraId="0C7FB970">
                  <w:pPr>
                    <w:pStyle w:val="17"/>
                    <w:jc w:val="center"/>
                    <w:rPr>
                      <w:rFonts w:hint="default"/>
                      <w:color w:val="auto"/>
                      <w:vertAlign w:val="baseline"/>
                      <w:lang w:val="en-US" w:eastAsia="zh-CN"/>
                    </w:rPr>
                  </w:pPr>
                  <w:r>
                    <w:rPr>
                      <w:rFonts w:hint="eastAsia"/>
                      <w:color w:val="auto"/>
                      <w:vertAlign w:val="baseline"/>
                      <w:lang w:val="en-US" w:eastAsia="zh-CN"/>
                    </w:rPr>
                    <w:t>一般工业固体废物</w:t>
                  </w:r>
                </w:p>
              </w:tc>
              <w:tc>
                <w:tcPr>
                  <w:tcW w:w="665" w:type="pct"/>
                  <w:vAlign w:val="center"/>
                </w:tcPr>
                <w:p w14:paraId="3D2B4373">
                  <w:pPr>
                    <w:pStyle w:val="17"/>
                    <w:jc w:val="center"/>
                    <w:rPr>
                      <w:rFonts w:hint="default"/>
                      <w:color w:val="auto"/>
                      <w:vertAlign w:val="baseline"/>
                      <w:lang w:val="en-US" w:eastAsia="zh-CN"/>
                    </w:rPr>
                  </w:pPr>
                  <w:r>
                    <w:rPr>
                      <w:rFonts w:hint="eastAsia"/>
                      <w:color w:val="auto"/>
                      <w:vertAlign w:val="baseline"/>
                      <w:lang w:val="en-US" w:eastAsia="zh-CN"/>
                    </w:rPr>
                    <w:t>2.145</w:t>
                  </w:r>
                </w:p>
              </w:tc>
              <w:tc>
                <w:tcPr>
                  <w:tcW w:w="712" w:type="pct"/>
                  <w:vAlign w:val="center"/>
                </w:tcPr>
                <w:p w14:paraId="2DEFD74C">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2.145</w:t>
                  </w:r>
                </w:p>
              </w:tc>
              <w:tc>
                <w:tcPr>
                  <w:tcW w:w="628" w:type="pct"/>
                  <w:vAlign w:val="center"/>
                </w:tcPr>
                <w:p w14:paraId="2A82B236">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0</w:t>
                  </w:r>
                </w:p>
              </w:tc>
              <w:tc>
                <w:tcPr>
                  <w:tcW w:w="1342" w:type="pct"/>
                  <w:vAlign w:val="center"/>
                </w:tcPr>
                <w:p w14:paraId="5A15F264">
                  <w:pPr>
                    <w:pStyle w:val="17"/>
                    <w:jc w:val="center"/>
                    <w:rPr>
                      <w:rFonts w:hint="default"/>
                      <w:color w:val="auto"/>
                      <w:vertAlign w:val="baseline"/>
                      <w:lang w:val="en-US" w:eastAsia="zh-CN"/>
                    </w:rPr>
                  </w:pPr>
                  <w:r>
                    <w:rPr>
                      <w:rFonts w:hint="eastAsia"/>
                      <w:color w:val="auto"/>
                      <w:vertAlign w:val="baseline"/>
                      <w:lang w:val="en-US" w:eastAsia="zh-CN"/>
                    </w:rPr>
                    <w:t>回用于制砖</w:t>
                  </w:r>
                </w:p>
              </w:tc>
            </w:tr>
            <w:tr w14:paraId="21FCE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pct"/>
                  <w:vAlign w:val="center"/>
                </w:tcPr>
                <w:p w14:paraId="764F6EB0">
                  <w:pPr>
                    <w:pStyle w:val="17"/>
                    <w:jc w:val="center"/>
                    <w:rPr>
                      <w:rFonts w:hint="default"/>
                      <w:color w:val="auto"/>
                      <w:vertAlign w:val="baseline"/>
                      <w:lang w:val="en-US" w:eastAsia="zh-CN"/>
                    </w:rPr>
                  </w:pPr>
                  <w:r>
                    <w:rPr>
                      <w:rFonts w:hint="eastAsia"/>
                      <w:color w:val="auto"/>
                      <w:vertAlign w:val="baseline"/>
                      <w:lang w:val="en-US" w:eastAsia="zh-CN"/>
                    </w:rPr>
                    <w:t>除尘器粉尘</w:t>
                  </w:r>
                </w:p>
              </w:tc>
              <w:tc>
                <w:tcPr>
                  <w:tcW w:w="563" w:type="pct"/>
                  <w:vMerge w:val="continue"/>
                  <w:vAlign w:val="center"/>
                </w:tcPr>
                <w:p w14:paraId="0D3B30F5">
                  <w:pPr>
                    <w:pStyle w:val="17"/>
                    <w:jc w:val="center"/>
                    <w:rPr>
                      <w:rFonts w:hint="eastAsia"/>
                      <w:color w:val="auto"/>
                      <w:vertAlign w:val="baseline"/>
                      <w:lang w:val="en-US" w:eastAsia="zh-CN"/>
                    </w:rPr>
                  </w:pPr>
                </w:p>
              </w:tc>
              <w:tc>
                <w:tcPr>
                  <w:tcW w:w="665" w:type="pct"/>
                  <w:vAlign w:val="center"/>
                </w:tcPr>
                <w:p w14:paraId="243D1BA6">
                  <w:pPr>
                    <w:pStyle w:val="17"/>
                    <w:jc w:val="center"/>
                    <w:rPr>
                      <w:rFonts w:hint="default"/>
                      <w:color w:val="auto"/>
                      <w:vertAlign w:val="baseline"/>
                      <w:lang w:val="en-US" w:eastAsia="zh-CN"/>
                    </w:rPr>
                  </w:pPr>
                  <w:r>
                    <w:rPr>
                      <w:rFonts w:hint="eastAsia"/>
                      <w:color w:val="auto"/>
                      <w:vertAlign w:val="baseline"/>
                      <w:lang w:val="en-US" w:eastAsia="zh-CN"/>
                    </w:rPr>
                    <w:t>179.7637</w:t>
                  </w:r>
                </w:p>
              </w:tc>
              <w:tc>
                <w:tcPr>
                  <w:tcW w:w="712" w:type="pct"/>
                  <w:vAlign w:val="center"/>
                </w:tcPr>
                <w:p w14:paraId="2FD4F251">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olor w:val="auto"/>
                      <w:lang w:val="en-US" w:eastAsia="zh-CN"/>
                    </w:rPr>
                    <w:t>292.0538</w:t>
                  </w:r>
                </w:p>
              </w:tc>
              <w:tc>
                <w:tcPr>
                  <w:tcW w:w="628" w:type="pct"/>
                  <w:vAlign w:val="center"/>
                </w:tcPr>
                <w:p w14:paraId="2DF8271B">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+112.2901</w:t>
                  </w:r>
                </w:p>
              </w:tc>
              <w:tc>
                <w:tcPr>
                  <w:tcW w:w="1342" w:type="pct"/>
                  <w:vMerge w:val="restart"/>
                  <w:vAlign w:val="center"/>
                </w:tcPr>
                <w:p w14:paraId="60404786">
                  <w:pPr>
                    <w:pStyle w:val="17"/>
                    <w:jc w:val="center"/>
                    <w:rPr>
                      <w:rFonts w:hint="default"/>
                      <w:color w:val="auto"/>
                      <w:vertAlign w:val="baseline"/>
                      <w:lang w:val="en-US" w:eastAsia="zh-CN"/>
                    </w:rPr>
                  </w:pPr>
                  <w:r>
                    <w:rPr>
                      <w:rFonts w:hint="eastAsia"/>
                      <w:color w:val="auto"/>
                      <w:vertAlign w:val="baseline"/>
                      <w:lang w:val="en-US" w:eastAsia="zh-CN"/>
                    </w:rPr>
                    <w:t>定期外售综合利用</w:t>
                  </w:r>
                </w:p>
              </w:tc>
            </w:tr>
            <w:tr w14:paraId="4706B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pct"/>
                  <w:vAlign w:val="center"/>
                </w:tcPr>
                <w:p w14:paraId="231752E6">
                  <w:pPr>
                    <w:pStyle w:val="17"/>
                    <w:jc w:val="center"/>
                    <w:rPr>
                      <w:rFonts w:hint="default"/>
                      <w:color w:val="auto"/>
                      <w:vertAlign w:val="baseline"/>
                      <w:lang w:val="en-US" w:eastAsia="zh-CN"/>
                    </w:rPr>
                  </w:pPr>
                  <w:r>
                    <w:rPr>
                      <w:rFonts w:hint="eastAsia"/>
                      <w:color w:val="auto"/>
                      <w:vertAlign w:val="baseline"/>
                      <w:lang w:val="en-US" w:eastAsia="zh-CN"/>
                    </w:rPr>
                    <w:t>除尘器废布袋</w:t>
                  </w:r>
                </w:p>
              </w:tc>
              <w:tc>
                <w:tcPr>
                  <w:tcW w:w="563" w:type="pct"/>
                  <w:vMerge w:val="continue"/>
                  <w:vAlign w:val="center"/>
                </w:tcPr>
                <w:p w14:paraId="4ED9BB40">
                  <w:pPr>
                    <w:pStyle w:val="17"/>
                    <w:jc w:val="center"/>
                    <w:rPr>
                      <w:rFonts w:hint="eastAsia"/>
                      <w:color w:val="auto"/>
                      <w:vertAlign w:val="baseline"/>
                      <w:lang w:val="en-US" w:eastAsia="zh-CN"/>
                    </w:rPr>
                  </w:pPr>
                </w:p>
              </w:tc>
              <w:tc>
                <w:tcPr>
                  <w:tcW w:w="665" w:type="pct"/>
                  <w:vAlign w:val="center"/>
                </w:tcPr>
                <w:p w14:paraId="76FF2F9B">
                  <w:pPr>
                    <w:pStyle w:val="17"/>
                    <w:jc w:val="center"/>
                    <w:rPr>
                      <w:rFonts w:hint="default"/>
                      <w:color w:val="auto"/>
                      <w:vertAlign w:val="baseline"/>
                      <w:lang w:val="en-US" w:eastAsia="zh-CN"/>
                    </w:rPr>
                  </w:pPr>
                  <w:r>
                    <w:rPr>
                      <w:rFonts w:hint="eastAsia"/>
                      <w:color w:val="auto"/>
                      <w:vertAlign w:val="baseline"/>
                      <w:lang w:val="en-US" w:eastAsia="zh-CN"/>
                    </w:rPr>
                    <w:t>0.3</w:t>
                  </w:r>
                </w:p>
              </w:tc>
              <w:tc>
                <w:tcPr>
                  <w:tcW w:w="712" w:type="pct"/>
                  <w:vAlign w:val="center"/>
                </w:tcPr>
                <w:p w14:paraId="086A6478">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0.9</w:t>
                  </w:r>
                </w:p>
              </w:tc>
              <w:tc>
                <w:tcPr>
                  <w:tcW w:w="628" w:type="pct"/>
                  <w:vAlign w:val="center"/>
                </w:tcPr>
                <w:p w14:paraId="535E730F">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+0.6</w:t>
                  </w:r>
                </w:p>
              </w:tc>
              <w:tc>
                <w:tcPr>
                  <w:tcW w:w="1342" w:type="pct"/>
                  <w:vMerge w:val="continue"/>
                  <w:vAlign w:val="center"/>
                </w:tcPr>
                <w:p w14:paraId="43400EB7">
                  <w:pPr>
                    <w:pStyle w:val="17"/>
                    <w:jc w:val="center"/>
                    <w:rPr>
                      <w:rFonts w:hint="eastAsia"/>
                      <w:color w:val="auto"/>
                      <w:vertAlign w:val="baseline"/>
                      <w:lang w:val="en-US" w:eastAsia="zh-CN"/>
                    </w:rPr>
                  </w:pPr>
                </w:p>
              </w:tc>
            </w:tr>
            <w:tr w14:paraId="4756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pct"/>
                  <w:vAlign w:val="center"/>
                </w:tcPr>
                <w:p w14:paraId="6BED6A38">
                  <w:pPr>
                    <w:pStyle w:val="17"/>
                    <w:jc w:val="center"/>
                    <w:rPr>
                      <w:rFonts w:hint="default"/>
                      <w:color w:val="auto"/>
                      <w:vertAlign w:val="baseline"/>
                      <w:lang w:val="en-US" w:eastAsia="zh-CN"/>
                    </w:rPr>
                  </w:pPr>
                  <w:r>
                    <w:rPr>
                      <w:rFonts w:hint="eastAsia"/>
                      <w:color w:val="auto"/>
                      <w:vertAlign w:val="baseline"/>
                      <w:lang w:val="en-US" w:eastAsia="zh-CN"/>
                    </w:rPr>
                    <w:t>钢筋、木块、废塑料等</w:t>
                  </w:r>
                </w:p>
              </w:tc>
              <w:tc>
                <w:tcPr>
                  <w:tcW w:w="563" w:type="pct"/>
                  <w:vMerge w:val="continue"/>
                  <w:vAlign w:val="center"/>
                </w:tcPr>
                <w:p w14:paraId="6660421A">
                  <w:pPr>
                    <w:pStyle w:val="17"/>
                    <w:jc w:val="center"/>
                    <w:rPr>
                      <w:rFonts w:hint="eastAsia"/>
                      <w:color w:val="auto"/>
                      <w:vertAlign w:val="baseline"/>
                      <w:lang w:val="en-US" w:eastAsia="zh-CN"/>
                    </w:rPr>
                  </w:pPr>
                </w:p>
              </w:tc>
              <w:tc>
                <w:tcPr>
                  <w:tcW w:w="665" w:type="pct"/>
                  <w:vAlign w:val="center"/>
                </w:tcPr>
                <w:p w14:paraId="5D7C3340">
                  <w:pPr>
                    <w:pStyle w:val="17"/>
                    <w:jc w:val="center"/>
                    <w:rPr>
                      <w:rFonts w:hint="default"/>
                      <w:color w:val="auto"/>
                      <w:vertAlign w:val="baseline"/>
                      <w:lang w:val="en-US" w:eastAsia="zh-CN"/>
                    </w:rPr>
                  </w:pPr>
                  <w:r>
                    <w:rPr>
                      <w:rFonts w:hint="eastAsia"/>
                      <w:color w:val="auto"/>
                      <w:vertAlign w:val="baseline"/>
                      <w:lang w:val="en-US" w:eastAsia="zh-CN"/>
                    </w:rPr>
                    <w:t>2400</w:t>
                  </w:r>
                </w:p>
              </w:tc>
              <w:tc>
                <w:tcPr>
                  <w:tcW w:w="712" w:type="pct"/>
                  <w:vAlign w:val="center"/>
                </w:tcPr>
                <w:p w14:paraId="3A12E149">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2400</w:t>
                  </w:r>
                </w:p>
              </w:tc>
              <w:tc>
                <w:tcPr>
                  <w:tcW w:w="628" w:type="pct"/>
                  <w:vAlign w:val="center"/>
                </w:tcPr>
                <w:p w14:paraId="58C06B7B">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0</w:t>
                  </w:r>
                </w:p>
              </w:tc>
              <w:tc>
                <w:tcPr>
                  <w:tcW w:w="1342" w:type="pct"/>
                  <w:vMerge w:val="continue"/>
                  <w:vAlign w:val="center"/>
                </w:tcPr>
                <w:p w14:paraId="0B5BB02A">
                  <w:pPr>
                    <w:pStyle w:val="17"/>
                    <w:jc w:val="center"/>
                    <w:rPr>
                      <w:rFonts w:hint="eastAsia"/>
                      <w:color w:val="auto"/>
                      <w:vertAlign w:val="baseline"/>
                      <w:lang w:val="en-US" w:eastAsia="zh-CN"/>
                    </w:rPr>
                  </w:pPr>
                </w:p>
              </w:tc>
            </w:tr>
            <w:tr w14:paraId="3036B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pct"/>
                  <w:vAlign w:val="center"/>
                </w:tcPr>
                <w:p w14:paraId="02A17AEB">
                  <w:pPr>
                    <w:pStyle w:val="17"/>
                    <w:jc w:val="center"/>
                    <w:rPr>
                      <w:rFonts w:hint="default"/>
                      <w:color w:val="auto"/>
                      <w:vertAlign w:val="baseline"/>
                      <w:lang w:val="en-US" w:eastAsia="zh-CN"/>
                    </w:rPr>
                  </w:pPr>
                  <w:r>
                    <w:rPr>
                      <w:rFonts w:hint="eastAsia"/>
                      <w:color w:val="auto"/>
                      <w:vertAlign w:val="baseline"/>
                      <w:lang w:val="en-US" w:eastAsia="zh-CN"/>
                    </w:rPr>
                    <w:t>成型养护固废</w:t>
                  </w:r>
                </w:p>
              </w:tc>
              <w:tc>
                <w:tcPr>
                  <w:tcW w:w="563" w:type="pct"/>
                  <w:vMerge w:val="continue"/>
                  <w:vAlign w:val="center"/>
                </w:tcPr>
                <w:p w14:paraId="36D1C023">
                  <w:pPr>
                    <w:pStyle w:val="17"/>
                    <w:jc w:val="center"/>
                    <w:rPr>
                      <w:rFonts w:hint="eastAsia"/>
                      <w:color w:val="auto"/>
                      <w:vertAlign w:val="baseline"/>
                      <w:lang w:val="en-US" w:eastAsia="zh-CN"/>
                    </w:rPr>
                  </w:pPr>
                </w:p>
              </w:tc>
              <w:tc>
                <w:tcPr>
                  <w:tcW w:w="665" w:type="pct"/>
                  <w:vAlign w:val="center"/>
                </w:tcPr>
                <w:p w14:paraId="645AF5BC">
                  <w:pPr>
                    <w:pStyle w:val="17"/>
                    <w:jc w:val="center"/>
                    <w:rPr>
                      <w:rFonts w:hint="default"/>
                      <w:color w:val="auto"/>
                      <w:vertAlign w:val="baseline"/>
                      <w:lang w:val="en-US" w:eastAsia="zh-CN"/>
                    </w:rPr>
                  </w:pPr>
                  <w:r>
                    <w:rPr>
                      <w:rFonts w:hint="eastAsia"/>
                      <w:color w:val="auto"/>
                      <w:vertAlign w:val="baseline"/>
                      <w:lang w:val="en-US" w:eastAsia="zh-CN"/>
                    </w:rPr>
                    <w:t>0</w:t>
                  </w:r>
                </w:p>
              </w:tc>
              <w:tc>
                <w:tcPr>
                  <w:tcW w:w="712" w:type="pct"/>
                  <w:vAlign w:val="center"/>
                </w:tcPr>
                <w:p w14:paraId="03E3347B">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olor w:val="auto"/>
                      <w:lang w:val="en-US" w:eastAsia="zh-CN"/>
                    </w:rPr>
                    <w:t>16.5375</w:t>
                  </w:r>
                </w:p>
              </w:tc>
              <w:tc>
                <w:tcPr>
                  <w:tcW w:w="628" w:type="pct"/>
                  <w:vAlign w:val="center"/>
                </w:tcPr>
                <w:p w14:paraId="1795B7FF">
                  <w:pPr>
                    <w:pStyle w:val="17"/>
                    <w:ind w:firstLine="0" w:firstLineChars="0"/>
                    <w:jc w:val="center"/>
                    <w:rPr>
                      <w:rFonts w:hint="eastAsia"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w:t>
                  </w:r>
                  <w:r>
                    <w:rPr>
                      <w:rFonts w:hint="eastAsia"/>
                      <w:color w:val="auto"/>
                      <w:lang w:val="en-US" w:eastAsia="zh-CN"/>
                    </w:rPr>
                    <w:t>16.5375</w:t>
                  </w:r>
                </w:p>
              </w:tc>
              <w:tc>
                <w:tcPr>
                  <w:tcW w:w="1342" w:type="pct"/>
                  <w:vMerge w:val="continue"/>
                  <w:vAlign w:val="center"/>
                </w:tcPr>
                <w:p w14:paraId="4D61B200">
                  <w:pPr>
                    <w:pStyle w:val="17"/>
                    <w:jc w:val="center"/>
                    <w:rPr>
                      <w:rFonts w:hint="eastAsia"/>
                      <w:color w:val="auto"/>
                      <w:vertAlign w:val="baseline"/>
                      <w:lang w:val="en-US" w:eastAsia="zh-CN"/>
                    </w:rPr>
                  </w:pPr>
                </w:p>
              </w:tc>
            </w:tr>
            <w:tr w14:paraId="6D572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pct"/>
                  <w:vAlign w:val="center"/>
                </w:tcPr>
                <w:p w14:paraId="78A1CC4A">
                  <w:pPr>
                    <w:pStyle w:val="17"/>
                    <w:jc w:val="center"/>
                    <w:rPr>
                      <w:rFonts w:hint="default"/>
                      <w:color w:val="auto"/>
                      <w:vertAlign w:val="baseline"/>
                      <w:lang w:val="en-US" w:eastAsia="zh-CN"/>
                    </w:rPr>
                  </w:pPr>
                  <w:r>
                    <w:rPr>
                      <w:rFonts w:hint="eastAsia"/>
                      <w:color w:val="auto"/>
                      <w:vertAlign w:val="baseline"/>
                      <w:lang w:val="en-US" w:eastAsia="zh-CN"/>
                    </w:rPr>
                    <w:t>隔油渣</w:t>
                  </w:r>
                </w:p>
              </w:tc>
              <w:tc>
                <w:tcPr>
                  <w:tcW w:w="563" w:type="pct"/>
                  <w:vMerge w:val="restart"/>
                  <w:vAlign w:val="center"/>
                </w:tcPr>
                <w:p w14:paraId="155642A4">
                  <w:pPr>
                    <w:pStyle w:val="17"/>
                    <w:jc w:val="center"/>
                    <w:rPr>
                      <w:rFonts w:hint="default"/>
                      <w:color w:val="auto"/>
                      <w:vertAlign w:val="baseline"/>
                      <w:lang w:val="en-US" w:eastAsia="zh-CN"/>
                    </w:rPr>
                  </w:pPr>
                  <w:r>
                    <w:rPr>
                      <w:rFonts w:hint="eastAsia"/>
                      <w:color w:val="auto"/>
                      <w:vertAlign w:val="baseline"/>
                      <w:lang w:val="en-US" w:eastAsia="zh-CN"/>
                    </w:rPr>
                    <w:t>危险废物</w:t>
                  </w:r>
                </w:p>
              </w:tc>
              <w:tc>
                <w:tcPr>
                  <w:tcW w:w="665" w:type="pct"/>
                  <w:vAlign w:val="center"/>
                </w:tcPr>
                <w:p w14:paraId="7A4921D2">
                  <w:pPr>
                    <w:pStyle w:val="17"/>
                    <w:jc w:val="center"/>
                    <w:rPr>
                      <w:rFonts w:hint="default"/>
                      <w:color w:val="auto"/>
                      <w:vertAlign w:val="baseline"/>
                      <w:lang w:val="en-US" w:eastAsia="zh-CN"/>
                    </w:rPr>
                  </w:pPr>
                  <w:r>
                    <w:rPr>
                      <w:rFonts w:hint="eastAsia"/>
                      <w:color w:val="auto"/>
                      <w:vertAlign w:val="baseline"/>
                      <w:lang w:val="en-US" w:eastAsia="zh-CN"/>
                    </w:rPr>
                    <w:t>0.2</w:t>
                  </w:r>
                </w:p>
              </w:tc>
              <w:tc>
                <w:tcPr>
                  <w:tcW w:w="712" w:type="pct"/>
                  <w:vAlign w:val="center"/>
                </w:tcPr>
                <w:p w14:paraId="76CB5491">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0.2</w:t>
                  </w:r>
                </w:p>
              </w:tc>
              <w:tc>
                <w:tcPr>
                  <w:tcW w:w="628" w:type="pct"/>
                  <w:vAlign w:val="center"/>
                </w:tcPr>
                <w:p w14:paraId="6CD01218">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0</w:t>
                  </w:r>
                </w:p>
              </w:tc>
              <w:tc>
                <w:tcPr>
                  <w:tcW w:w="1342" w:type="pct"/>
                  <w:vMerge w:val="restart"/>
                  <w:vAlign w:val="center"/>
                </w:tcPr>
                <w:p w14:paraId="523B9C48">
                  <w:pPr>
                    <w:pStyle w:val="17"/>
                    <w:jc w:val="center"/>
                    <w:rPr>
                      <w:rFonts w:hint="default"/>
                      <w:color w:val="auto"/>
                      <w:vertAlign w:val="baseline"/>
                      <w:lang w:val="en-US" w:eastAsia="zh-CN"/>
                    </w:rPr>
                  </w:pPr>
                  <w:r>
                    <w:rPr>
                      <w:rFonts w:hint="eastAsia"/>
                      <w:color w:val="auto"/>
                      <w:vertAlign w:val="baseline"/>
                      <w:lang w:val="en-US" w:eastAsia="zh-CN"/>
                    </w:rPr>
                    <w:t>收集后暂存于危废暂存间，定期外委处置</w:t>
                  </w:r>
                </w:p>
              </w:tc>
            </w:tr>
            <w:tr w14:paraId="58F87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pct"/>
                  <w:vAlign w:val="center"/>
                </w:tcPr>
                <w:p w14:paraId="682532A1">
                  <w:pPr>
                    <w:pStyle w:val="17"/>
                    <w:jc w:val="center"/>
                    <w:rPr>
                      <w:rFonts w:hint="default"/>
                      <w:color w:val="auto"/>
                      <w:vertAlign w:val="baseline"/>
                      <w:lang w:val="en-US" w:eastAsia="zh-CN"/>
                    </w:rPr>
                  </w:pPr>
                  <w:r>
                    <w:rPr>
                      <w:rFonts w:hint="eastAsia"/>
                      <w:color w:val="auto"/>
                      <w:vertAlign w:val="baseline"/>
                      <w:lang w:val="en-US" w:eastAsia="zh-CN"/>
                    </w:rPr>
                    <w:t>废机油及油桶</w:t>
                  </w:r>
                </w:p>
              </w:tc>
              <w:tc>
                <w:tcPr>
                  <w:tcW w:w="563" w:type="pct"/>
                  <w:vMerge w:val="continue"/>
                  <w:vAlign w:val="center"/>
                </w:tcPr>
                <w:p w14:paraId="0919ED90">
                  <w:pPr>
                    <w:pStyle w:val="17"/>
                    <w:jc w:val="center"/>
                    <w:rPr>
                      <w:rFonts w:hint="eastAsia"/>
                      <w:color w:val="auto"/>
                      <w:vertAlign w:val="baseline"/>
                      <w:lang w:val="en-US" w:eastAsia="zh-CN"/>
                    </w:rPr>
                  </w:pPr>
                </w:p>
              </w:tc>
              <w:tc>
                <w:tcPr>
                  <w:tcW w:w="665" w:type="pct"/>
                  <w:vAlign w:val="center"/>
                </w:tcPr>
                <w:p w14:paraId="4BCF021D">
                  <w:pPr>
                    <w:pStyle w:val="17"/>
                    <w:jc w:val="center"/>
                    <w:rPr>
                      <w:rFonts w:hint="default"/>
                      <w:color w:val="auto"/>
                      <w:vertAlign w:val="baseline"/>
                      <w:lang w:val="en-US" w:eastAsia="zh-CN"/>
                    </w:rPr>
                  </w:pPr>
                  <w:r>
                    <w:rPr>
                      <w:rFonts w:hint="eastAsia"/>
                      <w:color w:val="auto"/>
                      <w:vertAlign w:val="baseline"/>
                      <w:lang w:val="en-US" w:eastAsia="zh-CN"/>
                    </w:rPr>
                    <w:t>0</w:t>
                  </w:r>
                </w:p>
              </w:tc>
              <w:tc>
                <w:tcPr>
                  <w:tcW w:w="712" w:type="pct"/>
                  <w:vAlign w:val="center"/>
                </w:tcPr>
                <w:p w14:paraId="09C63CD2">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0.5</w:t>
                  </w:r>
                </w:p>
              </w:tc>
              <w:tc>
                <w:tcPr>
                  <w:tcW w:w="628" w:type="pct"/>
                  <w:vAlign w:val="center"/>
                </w:tcPr>
                <w:p w14:paraId="15DABFCF">
                  <w:pPr>
                    <w:pStyle w:val="17"/>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color w:val="auto"/>
                      <w:vertAlign w:val="baseline"/>
                      <w:lang w:val="en-US" w:eastAsia="zh-CN"/>
                    </w:rPr>
                    <w:t>+0.5</w:t>
                  </w:r>
                </w:p>
              </w:tc>
              <w:tc>
                <w:tcPr>
                  <w:tcW w:w="1342" w:type="pct"/>
                  <w:vMerge w:val="continue"/>
                  <w:vAlign w:val="center"/>
                </w:tcPr>
                <w:p w14:paraId="1B11920C">
                  <w:pPr>
                    <w:pStyle w:val="17"/>
                    <w:jc w:val="center"/>
                    <w:rPr>
                      <w:rFonts w:hint="eastAsia"/>
                      <w:color w:val="auto"/>
                      <w:vertAlign w:val="baseline"/>
                      <w:lang w:val="en-US" w:eastAsia="zh-CN"/>
                    </w:rPr>
                  </w:pPr>
                </w:p>
              </w:tc>
            </w:tr>
            <w:tr w14:paraId="187F9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pct"/>
                  <w:gridSpan w:val="2"/>
                  <w:vAlign w:val="center"/>
                </w:tcPr>
                <w:p w14:paraId="3D0E354D">
                  <w:pPr>
                    <w:pStyle w:val="17"/>
                    <w:jc w:val="center"/>
                    <w:rPr>
                      <w:rFonts w:hint="eastAsia"/>
                      <w:color w:val="auto"/>
                      <w:vertAlign w:val="baseline"/>
                      <w:lang w:val="en-US" w:eastAsia="zh-CN"/>
                    </w:rPr>
                  </w:pPr>
                  <w:r>
                    <w:rPr>
                      <w:rFonts w:hint="eastAsia"/>
                      <w:color w:val="auto"/>
                      <w:vertAlign w:val="baseline"/>
                      <w:lang w:val="en-US" w:eastAsia="zh-CN"/>
                    </w:rPr>
                    <w:t>生活垃圾</w:t>
                  </w:r>
                </w:p>
              </w:tc>
              <w:tc>
                <w:tcPr>
                  <w:tcW w:w="665" w:type="pct"/>
                  <w:vAlign w:val="center"/>
                </w:tcPr>
                <w:p w14:paraId="090BFD48">
                  <w:pPr>
                    <w:pStyle w:val="17"/>
                    <w:jc w:val="center"/>
                    <w:rPr>
                      <w:rFonts w:hint="default"/>
                      <w:color w:val="auto"/>
                      <w:vertAlign w:val="baseline"/>
                      <w:lang w:val="en-US" w:eastAsia="zh-CN"/>
                    </w:rPr>
                  </w:pPr>
                  <w:r>
                    <w:rPr>
                      <w:rFonts w:hint="eastAsia"/>
                      <w:color w:val="auto"/>
                      <w:vertAlign w:val="baseline"/>
                      <w:lang w:val="en-US" w:eastAsia="zh-CN"/>
                    </w:rPr>
                    <w:t>1.2</w:t>
                  </w:r>
                </w:p>
              </w:tc>
              <w:tc>
                <w:tcPr>
                  <w:tcW w:w="712" w:type="pct"/>
                  <w:vAlign w:val="center"/>
                </w:tcPr>
                <w:p w14:paraId="340E662F">
                  <w:pPr>
                    <w:pStyle w:val="17"/>
                    <w:jc w:val="center"/>
                    <w:rPr>
                      <w:rFonts w:hint="default"/>
                      <w:color w:val="auto"/>
                      <w:vertAlign w:val="baseline"/>
                      <w:lang w:val="en-US" w:eastAsia="zh-CN"/>
                    </w:rPr>
                  </w:pPr>
                  <w:r>
                    <w:rPr>
                      <w:rFonts w:hint="eastAsia"/>
                      <w:color w:val="auto"/>
                      <w:vertAlign w:val="baseline"/>
                      <w:lang w:val="en-US" w:eastAsia="zh-CN"/>
                    </w:rPr>
                    <w:t>6.75</w:t>
                  </w:r>
                </w:p>
              </w:tc>
              <w:tc>
                <w:tcPr>
                  <w:tcW w:w="628" w:type="pct"/>
                  <w:vAlign w:val="center"/>
                </w:tcPr>
                <w:p w14:paraId="29A287FC">
                  <w:pPr>
                    <w:pStyle w:val="17"/>
                    <w:jc w:val="center"/>
                    <w:rPr>
                      <w:rFonts w:hint="default"/>
                      <w:color w:val="auto"/>
                      <w:vertAlign w:val="baseline"/>
                      <w:lang w:val="en-US" w:eastAsia="zh-CN"/>
                    </w:rPr>
                  </w:pPr>
                  <w:r>
                    <w:rPr>
                      <w:rFonts w:hint="eastAsia"/>
                      <w:color w:val="auto"/>
                      <w:vertAlign w:val="baseline"/>
                      <w:lang w:val="en-US" w:eastAsia="zh-CN"/>
                    </w:rPr>
                    <w:t>+5.55</w:t>
                  </w:r>
                </w:p>
              </w:tc>
              <w:tc>
                <w:tcPr>
                  <w:tcW w:w="1342" w:type="pct"/>
                  <w:vAlign w:val="center"/>
                </w:tcPr>
                <w:p w14:paraId="003FA2CB">
                  <w:pPr>
                    <w:pStyle w:val="17"/>
                    <w:jc w:val="center"/>
                    <w:rPr>
                      <w:rFonts w:hint="default"/>
                      <w:color w:val="auto"/>
                      <w:vertAlign w:val="baseline"/>
                      <w:lang w:val="en-US" w:eastAsia="zh-CN"/>
                    </w:rPr>
                  </w:pPr>
                  <w:r>
                    <w:rPr>
                      <w:rFonts w:hint="eastAsia"/>
                      <w:color w:val="auto"/>
                      <w:vertAlign w:val="baseline"/>
                      <w:lang w:val="en-US" w:eastAsia="zh-CN"/>
                    </w:rPr>
                    <w:t>交由当地环卫部门定期清运处理</w:t>
                  </w:r>
                </w:p>
              </w:tc>
            </w:tr>
          </w:tbl>
          <w:p w14:paraId="6864FC83">
            <w:pPr>
              <w:pStyle w:val="5"/>
              <w:bidi w:val="0"/>
              <w:rPr>
                <w:rFonts w:hint="eastAsia"/>
                <w:color w:val="auto"/>
                <w:lang w:val="en-US" w:eastAsia="zh-CN"/>
              </w:rPr>
            </w:pPr>
            <w:bookmarkStart w:id="467" w:name="_Toc25720"/>
            <w:bookmarkStart w:id="468" w:name="_Toc9252"/>
            <w:bookmarkStart w:id="469" w:name="_Toc2876"/>
            <w:bookmarkStart w:id="470" w:name="_Toc30322"/>
            <w:bookmarkStart w:id="471" w:name="_Toc14884"/>
            <w:r>
              <w:rPr>
                <w:rFonts w:hint="eastAsia"/>
                <w:color w:val="auto"/>
                <w:lang w:val="en-US" w:eastAsia="zh-CN"/>
              </w:rPr>
              <w:t>5.2 固体废物环境影响分析和保护措施</w:t>
            </w:r>
            <w:bookmarkEnd w:id="467"/>
            <w:bookmarkEnd w:id="468"/>
            <w:bookmarkEnd w:id="469"/>
            <w:bookmarkEnd w:id="470"/>
            <w:bookmarkEnd w:id="471"/>
          </w:p>
          <w:p w14:paraId="402BDD39">
            <w:pPr>
              <w:rPr>
                <w:rFonts w:hint="eastAsia"/>
                <w:color w:val="auto"/>
                <w:lang w:val="en-US" w:eastAsia="zh-CN"/>
              </w:rPr>
            </w:pPr>
            <w:r>
              <w:rPr>
                <w:rFonts w:hint="eastAsia"/>
                <w:color w:val="auto"/>
                <w:lang w:val="en-US" w:eastAsia="zh-CN"/>
              </w:rPr>
              <w:t>（1）一般工业固体废物</w:t>
            </w:r>
          </w:p>
          <w:p w14:paraId="6DE6B2A7">
            <w:pPr>
              <w:rPr>
                <w:rFonts w:hint="eastAsia"/>
                <w:color w:val="auto"/>
                <w:lang w:val="en-US" w:eastAsia="zh-CN"/>
              </w:rPr>
            </w:pPr>
            <w:r>
              <w:rPr>
                <w:rFonts w:hint="eastAsia"/>
                <w:color w:val="auto"/>
                <w:lang w:val="en-US" w:eastAsia="zh-CN"/>
              </w:rPr>
              <w:t>企业现有使用中一般固废堆放区，占地150m</w:t>
            </w:r>
            <w:r>
              <w:rPr>
                <w:rFonts w:hint="eastAsia"/>
                <w:color w:val="auto"/>
                <w:vertAlign w:val="superscript"/>
                <w:lang w:val="en-US" w:eastAsia="zh-CN"/>
              </w:rPr>
              <w:t>2</w:t>
            </w:r>
            <w:r>
              <w:rPr>
                <w:rFonts w:hint="eastAsia"/>
                <w:color w:val="auto"/>
                <w:lang w:val="en-US" w:eastAsia="zh-CN"/>
              </w:rPr>
              <w:t>，各一般固体废物暂存至一定量时清空转运处置。本次改建项目一般固废数量与种类与现有工程基本持平，可依托现有一般固废暂存间暂存，定期外售综合利用。</w:t>
            </w:r>
          </w:p>
          <w:p w14:paraId="2D2A75CD">
            <w:pPr>
              <w:rPr>
                <w:rFonts w:hint="eastAsia"/>
                <w:color w:val="auto"/>
                <w:lang w:val="en-US" w:eastAsia="zh-CN"/>
              </w:rPr>
            </w:pPr>
            <w:r>
              <w:rPr>
                <w:rFonts w:hint="eastAsia"/>
                <w:color w:val="auto"/>
                <w:lang w:val="en-US" w:eastAsia="zh-CN"/>
              </w:rPr>
              <w:t>现有一般固废暂存间应严格按照《一般工业固体废物贮存和填埋污染控制标准》（GB 18599-2020）要求规范化建设，应选在防渗性能好的地基上，采取防扬散、防流失、防渗漏或者其他防止污染环境的措施，不得擅自倾倒、堆放、丢弃、遗撒固体废物，贮存、处置场地按《环境保护图形标志－固体废物贮存（处置）场所》（GB 15562.2-1995）设置环境保护图形标志。</w:t>
            </w:r>
          </w:p>
          <w:p w14:paraId="5C09EFD1">
            <w:pPr>
              <w:rPr>
                <w:rFonts w:hint="eastAsia"/>
                <w:color w:val="auto"/>
                <w:lang w:val="en-US" w:eastAsia="zh-CN"/>
              </w:rPr>
            </w:pPr>
            <w:r>
              <w:rPr>
                <w:rFonts w:hint="eastAsia"/>
                <w:color w:val="auto"/>
                <w:lang w:val="en-US" w:eastAsia="zh-CN"/>
              </w:rPr>
              <w:t>同时，根据《中华人民共和国固体废物污染环境防治法》（中华人民共和国主席令第四十三号）及《一般工业固体废物管理台账制定指南（试行）》（公告2021年第82号），产生工业固体废物的单位还应建立健全工业固体废物产生、收集、贮存、运输、利用、处置全过程的污染环境防治责任制度，建立工业固体废物管理台账，如实记录产生工业固体废物的种类、数量、流向、贮存、利用、处置等信息，实现工业固体废物可追溯、可查询，并采取防治工业固体废物污染环境的措施。</w:t>
            </w:r>
          </w:p>
          <w:p w14:paraId="313230B3">
            <w:pPr>
              <w:rPr>
                <w:rFonts w:hint="eastAsia"/>
                <w:color w:val="auto"/>
                <w:lang w:val="en-US" w:eastAsia="zh-CN"/>
              </w:rPr>
            </w:pPr>
            <w:r>
              <w:rPr>
                <w:rFonts w:hint="eastAsia"/>
                <w:color w:val="auto"/>
                <w:lang w:val="en-US" w:eastAsia="zh-CN"/>
              </w:rPr>
              <w:t>综上所述，在遵循《一般工业固体废物贮存和填埋污染控制标准》（GB 18599-2020）要求的前提下，本项目营运期新增产生的一般工业固体废物能得到合理处置，对环境影响不大。</w:t>
            </w:r>
          </w:p>
          <w:p w14:paraId="1F510B76">
            <w:pPr>
              <w:bidi w:val="0"/>
              <w:rPr>
                <w:rFonts w:hint="eastAsia"/>
                <w:color w:val="auto"/>
                <w:lang w:val="en-US" w:eastAsia="zh-CN"/>
              </w:rPr>
            </w:pPr>
            <w:r>
              <w:rPr>
                <w:rFonts w:hint="eastAsia"/>
                <w:color w:val="auto"/>
                <w:lang w:val="en-US" w:eastAsia="zh-CN"/>
              </w:rPr>
              <w:t>（2）危险废物</w:t>
            </w:r>
          </w:p>
          <w:p w14:paraId="4F443F00">
            <w:pPr>
              <w:rPr>
                <w:rFonts w:hint="eastAsia"/>
                <w:color w:val="auto"/>
                <w:lang w:val="en-US" w:eastAsia="zh-CN"/>
              </w:rPr>
            </w:pPr>
            <w:r>
              <w:rPr>
                <w:rFonts w:hint="eastAsia"/>
                <w:color w:val="auto"/>
                <w:lang w:val="en-US" w:eastAsia="zh-CN"/>
              </w:rPr>
              <w:t>企业现有使用中的危废暂存间1个，面积9m</w:t>
            </w:r>
            <w:r>
              <w:rPr>
                <w:rFonts w:hint="eastAsia"/>
                <w:color w:val="auto"/>
                <w:vertAlign w:val="superscript"/>
                <w:lang w:val="en-US" w:eastAsia="zh-CN"/>
              </w:rPr>
              <w:t>2</w:t>
            </w:r>
            <w:r>
              <w:rPr>
                <w:rFonts w:hint="eastAsia"/>
                <w:color w:val="auto"/>
                <w:lang w:val="en-US" w:eastAsia="zh-CN"/>
              </w:rPr>
              <w:t>，危废暂存间暂存至一定量时清空转运处置。本次改建项目新增危废产生量较小，可依托现有危废暂存间暂存，定期委托有资质单位处置。</w:t>
            </w:r>
          </w:p>
          <w:p w14:paraId="5EDD6AC5">
            <w:pPr>
              <w:rPr>
                <w:rFonts w:hint="eastAsia"/>
                <w:color w:val="auto"/>
                <w:lang w:val="en-US" w:eastAsia="zh-CN"/>
              </w:rPr>
            </w:pPr>
            <w:r>
              <w:rPr>
                <w:rFonts w:hint="eastAsia"/>
                <w:color w:val="auto"/>
                <w:lang w:val="en-US" w:eastAsia="zh-CN"/>
              </w:rPr>
              <w:t>危险废物须严格按《危险废物转移管理办法》中的有关要求管理。加强对危险废物的管理，对危险废物的产生、利用、收集、运输、贮存、处置等环节建立追踪性的账目和手续，并纳入环保部门的监督管理。</w:t>
            </w:r>
          </w:p>
          <w:p w14:paraId="53C5B24E">
            <w:pPr>
              <w:rPr>
                <w:rFonts w:hint="eastAsia"/>
                <w:color w:val="auto"/>
                <w:lang w:val="en-US" w:eastAsia="zh-CN"/>
              </w:rPr>
            </w:pPr>
            <w:r>
              <w:rPr>
                <w:rFonts w:hint="eastAsia"/>
                <w:color w:val="auto"/>
                <w:lang w:val="en-US" w:eastAsia="zh-CN"/>
              </w:rPr>
              <w:t>危险废物的运输和贮存注意事项如下：</w:t>
            </w:r>
          </w:p>
          <w:p w14:paraId="32DBF1F8">
            <w:pPr>
              <w:rPr>
                <w:rFonts w:hint="eastAsia"/>
                <w:color w:val="auto"/>
                <w:lang w:val="en-US" w:eastAsia="zh-CN"/>
              </w:rPr>
            </w:pPr>
            <w:r>
              <w:rPr>
                <w:rFonts w:hint="eastAsia"/>
                <w:color w:val="auto"/>
                <w:lang w:val="en-US" w:eastAsia="zh-CN"/>
              </w:rPr>
              <w:t>I.贮存</w:t>
            </w:r>
          </w:p>
          <w:p w14:paraId="6446B477">
            <w:pPr>
              <w:rPr>
                <w:rFonts w:hint="eastAsia"/>
                <w:color w:val="auto"/>
                <w:lang w:val="en-US" w:eastAsia="zh-CN"/>
              </w:rPr>
            </w:pPr>
            <w:r>
              <w:rPr>
                <w:rFonts w:hint="eastAsia"/>
                <w:color w:val="auto"/>
                <w:lang w:val="en-US" w:eastAsia="zh-CN"/>
              </w:rPr>
              <w:t>项目生产过程中将产生一定量的危险废物，应严格按照《危险废物贮存污染控制标准》（GB 18597-2023）相关要求进行分类收集后置于专用桶中，暂存放在项目的危险废物暂存间内。同时该危险废物贮存间应严格按照《危险废物贮存污染控制标准》（GB 18597-2023）要求进行。环评针对危险废物的储存提出项目设置的危险废物临时堆放间需满足以下要求：</w:t>
            </w:r>
          </w:p>
          <w:p w14:paraId="7C5889A2">
            <w:pPr>
              <w:rPr>
                <w:rFonts w:hint="eastAsia"/>
                <w:color w:val="auto"/>
                <w:lang w:val="en-US" w:eastAsia="zh-CN"/>
              </w:rPr>
            </w:pPr>
            <w:r>
              <w:rPr>
                <w:rFonts w:hint="eastAsia"/>
                <w:color w:val="auto"/>
                <w:lang w:val="en-US" w:eastAsia="zh-CN"/>
              </w:rPr>
              <w:t>A.基础必须防渗，防渗层必须为砼结构，或至少为1m厚粘土层（渗透系数≤10</w:t>
            </w:r>
            <w:r>
              <w:rPr>
                <w:rFonts w:hint="eastAsia"/>
                <w:color w:val="auto"/>
                <w:vertAlign w:val="superscript"/>
                <w:lang w:val="en-US" w:eastAsia="zh-CN"/>
              </w:rPr>
              <w:t>-7</w:t>
            </w:r>
            <w:r>
              <w:rPr>
                <w:rFonts w:hint="eastAsia"/>
                <w:color w:val="auto"/>
                <w:lang w:val="en-US" w:eastAsia="zh-CN"/>
              </w:rPr>
              <w:t>cm/s），或2mm厚高密度聚乙烯，或至少为2mm厚的其他人工材料，渗透系数≤10</w:t>
            </w:r>
            <w:r>
              <w:rPr>
                <w:rFonts w:hint="eastAsia"/>
                <w:color w:val="auto"/>
                <w:vertAlign w:val="superscript"/>
                <w:lang w:val="en-US" w:eastAsia="zh-CN"/>
              </w:rPr>
              <w:t>-10</w:t>
            </w:r>
            <w:r>
              <w:rPr>
                <w:rFonts w:hint="eastAsia"/>
                <w:color w:val="auto"/>
                <w:lang w:val="en-US" w:eastAsia="zh-CN"/>
              </w:rPr>
              <w:t>cm/s。</w:t>
            </w:r>
          </w:p>
          <w:p w14:paraId="41FD8979">
            <w:pPr>
              <w:rPr>
                <w:rFonts w:hint="eastAsia"/>
                <w:color w:val="auto"/>
                <w:lang w:val="en-US" w:eastAsia="zh-CN"/>
              </w:rPr>
            </w:pPr>
            <w:r>
              <w:rPr>
                <w:rFonts w:hint="eastAsia"/>
                <w:color w:val="auto"/>
                <w:lang w:val="en-US" w:eastAsia="zh-CN"/>
              </w:rPr>
              <w:t>B堆放危险废物的高度应根据地面承载能力确定。</w:t>
            </w:r>
          </w:p>
          <w:p w14:paraId="5855BB64">
            <w:pPr>
              <w:rPr>
                <w:rFonts w:hint="eastAsia"/>
                <w:color w:val="auto"/>
                <w:lang w:val="en-US" w:eastAsia="zh-CN"/>
              </w:rPr>
            </w:pPr>
            <w:r>
              <w:rPr>
                <w:rFonts w:hint="eastAsia"/>
                <w:color w:val="auto"/>
                <w:lang w:val="en-US" w:eastAsia="zh-CN"/>
              </w:rPr>
              <w:t>C.衬里放在一个基础或底座上。</w:t>
            </w:r>
          </w:p>
          <w:p w14:paraId="7E5A6AFA">
            <w:pPr>
              <w:rPr>
                <w:rFonts w:hint="eastAsia"/>
                <w:color w:val="auto"/>
                <w:lang w:val="en-US" w:eastAsia="zh-CN"/>
              </w:rPr>
            </w:pPr>
            <w:r>
              <w:rPr>
                <w:rFonts w:hint="eastAsia"/>
                <w:color w:val="auto"/>
                <w:lang w:val="en-US" w:eastAsia="zh-CN"/>
              </w:rPr>
              <w:t>D.衬里要能够覆盖危险废物或其溶出物可能涉及的范围。</w:t>
            </w:r>
          </w:p>
          <w:p w14:paraId="7FE54157">
            <w:pPr>
              <w:rPr>
                <w:rFonts w:hint="eastAsia"/>
                <w:color w:val="auto"/>
                <w:lang w:val="en-US" w:eastAsia="zh-CN"/>
              </w:rPr>
            </w:pPr>
            <w:r>
              <w:rPr>
                <w:rFonts w:hint="eastAsia"/>
                <w:color w:val="auto"/>
                <w:lang w:val="en-US" w:eastAsia="zh-CN"/>
              </w:rPr>
              <w:t>E.衬里材料与堆放危险废物相容。</w:t>
            </w:r>
          </w:p>
          <w:p w14:paraId="32BCD856">
            <w:pPr>
              <w:rPr>
                <w:rFonts w:hint="eastAsia"/>
                <w:color w:val="auto"/>
                <w:lang w:val="en-US" w:eastAsia="zh-CN"/>
              </w:rPr>
            </w:pPr>
            <w:r>
              <w:rPr>
                <w:rFonts w:hint="eastAsia"/>
                <w:color w:val="auto"/>
                <w:lang w:val="en-US" w:eastAsia="zh-CN"/>
              </w:rPr>
              <w:t>F.在衬里上设计、建造浸出液收集清除系统。</w:t>
            </w:r>
          </w:p>
          <w:p w14:paraId="6FC125D7">
            <w:pPr>
              <w:rPr>
                <w:rFonts w:hint="eastAsia"/>
                <w:color w:val="auto"/>
                <w:lang w:val="en-US" w:eastAsia="zh-CN"/>
              </w:rPr>
            </w:pPr>
            <w:r>
              <w:rPr>
                <w:rFonts w:hint="eastAsia"/>
                <w:color w:val="auto"/>
                <w:lang w:val="en-US" w:eastAsia="zh-CN"/>
              </w:rPr>
              <w:t>G.应设计建造径流疏导系统，保证能防止25年一遇的暴雨不会流到危险废物临时堆放场内。</w:t>
            </w:r>
          </w:p>
          <w:p w14:paraId="3C577E8B">
            <w:pPr>
              <w:rPr>
                <w:rFonts w:hint="eastAsia"/>
                <w:color w:val="auto"/>
                <w:lang w:val="en-US" w:eastAsia="zh-CN"/>
              </w:rPr>
            </w:pPr>
            <w:r>
              <w:rPr>
                <w:rFonts w:hint="eastAsia"/>
                <w:color w:val="auto"/>
                <w:lang w:val="en-US" w:eastAsia="zh-CN"/>
              </w:rPr>
              <w:t>H.危险废物临时堆放场要做好防风、防雨、防晒。</w:t>
            </w:r>
          </w:p>
          <w:p w14:paraId="3EC11E06">
            <w:pPr>
              <w:rPr>
                <w:rFonts w:hint="eastAsia"/>
                <w:color w:val="auto"/>
                <w:lang w:val="en-US" w:eastAsia="zh-CN"/>
              </w:rPr>
            </w:pPr>
            <w:r>
              <w:rPr>
                <w:rFonts w:hint="eastAsia"/>
                <w:color w:val="auto"/>
                <w:lang w:val="en-US" w:eastAsia="zh-CN"/>
              </w:rPr>
              <w:t>I.不相容的危险废物不能堆放在一起。</w:t>
            </w:r>
          </w:p>
          <w:p w14:paraId="5EB2ECE0">
            <w:pPr>
              <w:rPr>
                <w:rFonts w:hint="eastAsia"/>
                <w:color w:val="auto"/>
                <w:lang w:val="en-US" w:eastAsia="zh-CN"/>
              </w:rPr>
            </w:pPr>
            <w:r>
              <w:rPr>
                <w:rFonts w:hint="eastAsia"/>
                <w:color w:val="auto"/>
                <w:lang w:val="en-US" w:eastAsia="zh-CN"/>
              </w:rPr>
              <w:t>J.项目危险废物用密闭容器储存在危险废物暂存区内，并在相应的储存区域内设置围堰。</w:t>
            </w:r>
          </w:p>
          <w:p w14:paraId="6B46DAF2">
            <w:pPr>
              <w:rPr>
                <w:rFonts w:hint="eastAsia"/>
                <w:color w:val="auto"/>
                <w:lang w:val="en-US" w:eastAsia="zh-CN"/>
              </w:rPr>
            </w:pPr>
            <w:r>
              <w:rPr>
                <w:rFonts w:hint="eastAsia"/>
                <w:color w:val="auto"/>
                <w:lang w:val="en-US" w:eastAsia="zh-CN"/>
              </w:rPr>
              <w:t>II.运输</w:t>
            </w:r>
          </w:p>
          <w:p w14:paraId="03A2165D">
            <w:pPr>
              <w:rPr>
                <w:rFonts w:hint="eastAsia"/>
                <w:color w:val="auto"/>
                <w:lang w:val="en-US" w:eastAsia="zh-CN"/>
              </w:rPr>
            </w:pPr>
            <w:r>
              <w:rPr>
                <w:rFonts w:hint="eastAsia"/>
                <w:color w:val="auto"/>
                <w:lang w:val="en-US" w:eastAsia="zh-CN"/>
              </w:rPr>
              <w:t>项目产生的危险废物，拟交由有资质单位回收处理，由处理单位派专用车辆定期上门接收，运输至资质单位废物处理厂进行处理。</w:t>
            </w:r>
          </w:p>
          <w:p w14:paraId="1E80994D">
            <w:pPr>
              <w:rPr>
                <w:rFonts w:hint="eastAsia"/>
                <w:color w:val="auto"/>
                <w:lang w:val="en-US" w:eastAsia="zh-CN"/>
              </w:rPr>
            </w:pPr>
            <w:r>
              <w:rPr>
                <w:rFonts w:hint="eastAsia"/>
                <w:color w:val="auto"/>
                <w:lang w:val="en-US" w:eastAsia="zh-CN"/>
              </w:rPr>
              <w:t>III.处置</w:t>
            </w:r>
          </w:p>
          <w:p w14:paraId="513EF664">
            <w:pPr>
              <w:rPr>
                <w:rFonts w:hint="eastAsia"/>
                <w:color w:val="auto"/>
                <w:lang w:val="en-US" w:eastAsia="zh-CN"/>
              </w:rPr>
            </w:pPr>
            <w:r>
              <w:rPr>
                <w:rFonts w:hint="eastAsia"/>
                <w:color w:val="auto"/>
                <w:lang w:val="en-US" w:eastAsia="zh-CN"/>
              </w:rPr>
              <w:t>项目产生的危险废物交由有资质单位根据各危险废物的性质进行无害化处置。</w:t>
            </w:r>
          </w:p>
          <w:p w14:paraId="5FE4D025">
            <w:pPr>
              <w:rPr>
                <w:rFonts w:hint="eastAsia"/>
                <w:color w:val="auto"/>
                <w:lang w:val="en-US" w:eastAsia="zh-CN"/>
              </w:rPr>
            </w:pPr>
            <w:r>
              <w:rPr>
                <w:rFonts w:hint="eastAsia"/>
                <w:color w:val="auto"/>
                <w:lang w:val="en-US" w:eastAsia="zh-CN"/>
              </w:rPr>
              <w:t>IV.管理要求</w:t>
            </w:r>
          </w:p>
          <w:p w14:paraId="0DDF6C21">
            <w:pPr>
              <w:rPr>
                <w:rFonts w:hint="eastAsia"/>
                <w:color w:val="auto"/>
                <w:lang w:val="en-US" w:eastAsia="zh-CN"/>
              </w:rPr>
            </w:pPr>
            <w:r>
              <w:rPr>
                <w:rFonts w:hint="eastAsia"/>
                <w:color w:val="auto"/>
                <w:lang w:val="en-US" w:eastAsia="zh-CN"/>
              </w:rPr>
              <w:t>危险废物按照《危险废物贮存污染控制标准》（GB 18597-2023）及《危险废物转移管理办法》的规定进行：</w:t>
            </w:r>
          </w:p>
          <w:p w14:paraId="65A77866">
            <w:pPr>
              <w:rPr>
                <w:rFonts w:hint="eastAsia"/>
                <w:color w:val="auto"/>
                <w:lang w:val="en-US" w:eastAsia="zh-CN"/>
              </w:rPr>
            </w:pPr>
            <w:r>
              <w:rPr>
                <w:rFonts w:hint="eastAsia"/>
                <w:color w:val="auto"/>
                <w:lang w:val="en-US" w:eastAsia="zh-CN"/>
              </w:rPr>
              <w:t>A.必须将危险废物装入容器内，禁止将不相容（相互反应）的危险废物在同一容器内混装。</w:t>
            </w:r>
          </w:p>
          <w:p w14:paraId="3829222A">
            <w:pPr>
              <w:rPr>
                <w:rFonts w:hint="eastAsia"/>
                <w:color w:val="auto"/>
                <w:lang w:val="en-US" w:eastAsia="zh-CN"/>
              </w:rPr>
            </w:pPr>
            <w:r>
              <w:rPr>
                <w:rFonts w:hint="eastAsia"/>
                <w:color w:val="auto"/>
                <w:lang w:val="en-US" w:eastAsia="zh-CN"/>
              </w:rPr>
              <w:t>B.容器应粘贴符合标准中附录A所示标签。</w:t>
            </w:r>
          </w:p>
          <w:p w14:paraId="0C66C691">
            <w:pPr>
              <w:rPr>
                <w:rFonts w:hint="eastAsia"/>
                <w:color w:val="auto"/>
                <w:lang w:val="en-US" w:eastAsia="zh-CN"/>
              </w:rPr>
            </w:pPr>
            <w:r>
              <w:rPr>
                <w:rFonts w:hint="eastAsia"/>
                <w:color w:val="auto"/>
                <w:lang w:val="en-US" w:eastAsia="zh-CN"/>
              </w:rPr>
              <w:t>C.容器应满足相应强度要求，且完好无损，容器材质和衬里与危险废物相容（不相互反应）。</w:t>
            </w:r>
          </w:p>
          <w:p w14:paraId="4C85537B">
            <w:pPr>
              <w:rPr>
                <w:rFonts w:hint="eastAsia"/>
                <w:color w:val="auto"/>
                <w:lang w:val="en-US" w:eastAsia="zh-CN"/>
              </w:rPr>
            </w:pPr>
            <w:r>
              <w:rPr>
                <w:rFonts w:hint="eastAsia"/>
                <w:color w:val="auto"/>
                <w:lang w:val="en-US" w:eastAsia="zh-CN"/>
              </w:rPr>
              <w:t>D.必须定期对贮存的危险废物包装容器及贮存设施进行检查，发现破损，应及时采取措施清理更换。</w:t>
            </w:r>
          </w:p>
          <w:p w14:paraId="73F27123">
            <w:pPr>
              <w:rPr>
                <w:rFonts w:hint="eastAsia"/>
                <w:color w:val="auto"/>
                <w:lang w:val="en-US" w:eastAsia="zh-CN"/>
              </w:rPr>
            </w:pPr>
            <w:r>
              <w:rPr>
                <w:rFonts w:hint="eastAsia"/>
                <w:color w:val="auto"/>
                <w:lang w:val="en-US" w:eastAsia="zh-CN"/>
              </w:rPr>
              <w:t>E.做好危险废物台账管理，台账注明危险废物的名称、来源、数量、特性、入库日期、出库日期、接收单位名称等。</w:t>
            </w:r>
          </w:p>
          <w:p w14:paraId="54006EDD">
            <w:pPr>
              <w:rPr>
                <w:rFonts w:hint="eastAsia"/>
                <w:color w:val="auto"/>
                <w:lang w:val="en-US" w:eastAsia="zh-CN"/>
              </w:rPr>
            </w:pPr>
            <w:r>
              <w:rPr>
                <w:rFonts w:hint="eastAsia"/>
                <w:color w:val="auto"/>
                <w:lang w:val="en-US" w:eastAsia="zh-CN"/>
              </w:rPr>
              <w:t>F.危废间实行“双人双锁”制度。</w:t>
            </w:r>
          </w:p>
          <w:p w14:paraId="2613B5CD">
            <w:pPr>
              <w:rPr>
                <w:rFonts w:hint="eastAsia"/>
                <w:color w:val="auto"/>
                <w:lang w:val="en-US" w:eastAsia="zh-CN"/>
              </w:rPr>
            </w:pPr>
            <w:r>
              <w:rPr>
                <w:rFonts w:hint="eastAsia"/>
                <w:color w:val="auto"/>
                <w:lang w:val="en-US" w:eastAsia="zh-CN"/>
              </w:rPr>
              <w:t>G.危废转移前向主管环保部门报批转移计划，经批准后向其申领联单，并按照规定转移。</w:t>
            </w:r>
          </w:p>
          <w:p w14:paraId="3BD57280">
            <w:pPr>
              <w:bidi w:val="0"/>
              <w:rPr>
                <w:rFonts w:hint="eastAsia"/>
                <w:color w:val="auto"/>
                <w:lang w:val="en-US" w:eastAsia="zh-CN"/>
              </w:rPr>
            </w:pPr>
            <w:r>
              <w:rPr>
                <w:rFonts w:hint="eastAsia"/>
                <w:color w:val="auto"/>
                <w:lang w:val="en-US" w:eastAsia="zh-CN"/>
              </w:rPr>
              <w:t>综上所述，在遵循《危险废物贮存污染控制标准》（GB 18597-2023）相关规定要求的前提下，本项目营运期新增产生的危险废物均能得到合理处置，对环境影响不大。</w:t>
            </w:r>
          </w:p>
          <w:p w14:paraId="226E45CF">
            <w:pPr>
              <w:pStyle w:val="4"/>
              <w:bidi w:val="0"/>
              <w:rPr>
                <w:rFonts w:hint="eastAsia"/>
                <w:color w:val="auto"/>
                <w:lang w:val="en-US" w:eastAsia="zh-CN"/>
              </w:rPr>
            </w:pPr>
            <w:bookmarkStart w:id="472" w:name="_Toc4493"/>
            <w:bookmarkStart w:id="473" w:name="_Toc24599"/>
            <w:bookmarkStart w:id="474" w:name="_Toc7885"/>
            <w:bookmarkStart w:id="475" w:name="_Toc26977"/>
            <w:bookmarkStart w:id="476" w:name="_Toc5813"/>
            <w:bookmarkStart w:id="477" w:name="_Toc29698"/>
            <w:bookmarkStart w:id="478" w:name="_Toc25360"/>
            <w:bookmarkStart w:id="479" w:name="_Toc4678"/>
            <w:r>
              <w:rPr>
                <w:rFonts w:hint="eastAsia"/>
                <w:color w:val="auto"/>
                <w:lang w:val="en-US" w:eastAsia="zh-CN"/>
              </w:rPr>
              <w:t>6、地下水和土壤环境影响分析和保护措施</w:t>
            </w:r>
            <w:bookmarkEnd w:id="472"/>
            <w:bookmarkEnd w:id="473"/>
            <w:bookmarkEnd w:id="474"/>
            <w:bookmarkEnd w:id="475"/>
            <w:bookmarkEnd w:id="476"/>
            <w:bookmarkEnd w:id="477"/>
            <w:bookmarkEnd w:id="478"/>
            <w:bookmarkEnd w:id="479"/>
          </w:p>
          <w:p w14:paraId="31A2E557">
            <w:pPr>
              <w:pStyle w:val="5"/>
              <w:bidi w:val="0"/>
              <w:rPr>
                <w:rFonts w:hint="eastAsia"/>
                <w:color w:val="auto"/>
                <w:lang w:val="en-US" w:eastAsia="zh-CN"/>
              </w:rPr>
            </w:pPr>
            <w:bookmarkStart w:id="480" w:name="_Toc5283"/>
            <w:bookmarkStart w:id="481" w:name="_Toc29474"/>
            <w:bookmarkStart w:id="482" w:name="_Toc32083"/>
            <w:bookmarkStart w:id="483" w:name="_Toc11347"/>
            <w:bookmarkStart w:id="484" w:name="_Toc29853"/>
            <w:bookmarkStart w:id="485" w:name="_Toc28661"/>
            <w:bookmarkStart w:id="486" w:name="_Toc15759"/>
            <w:bookmarkStart w:id="487" w:name="_Toc19854"/>
            <w:bookmarkStart w:id="488" w:name="_Toc212"/>
            <w:bookmarkStart w:id="489" w:name="_Toc26478"/>
            <w:r>
              <w:rPr>
                <w:rFonts w:hint="eastAsia"/>
                <w:color w:val="auto"/>
                <w:lang w:val="en-US" w:eastAsia="zh-CN"/>
              </w:rPr>
              <w:t xml:space="preserve">6.1 </w:t>
            </w:r>
            <w:bookmarkEnd w:id="480"/>
            <w:bookmarkEnd w:id="481"/>
            <w:bookmarkEnd w:id="482"/>
            <w:bookmarkEnd w:id="483"/>
            <w:bookmarkEnd w:id="484"/>
            <w:r>
              <w:rPr>
                <w:rFonts w:hint="eastAsia"/>
                <w:color w:val="auto"/>
                <w:lang w:val="en-US" w:eastAsia="zh-CN"/>
              </w:rPr>
              <w:t>地下水和土壤环境影响分析</w:t>
            </w:r>
            <w:bookmarkEnd w:id="485"/>
            <w:bookmarkEnd w:id="486"/>
            <w:bookmarkEnd w:id="487"/>
            <w:bookmarkEnd w:id="488"/>
            <w:bookmarkEnd w:id="489"/>
          </w:p>
          <w:p w14:paraId="5F56CAB7">
            <w:pPr>
              <w:rPr>
                <w:rFonts w:hint="eastAsia"/>
                <w:color w:val="auto"/>
                <w:lang w:val="en-US" w:eastAsia="zh-CN"/>
              </w:rPr>
            </w:pPr>
            <w:r>
              <w:rPr>
                <w:rFonts w:hint="eastAsia"/>
                <w:color w:val="auto"/>
                <w:lang w:val="en-US" w:eastAsia="zh-CN"/>
              </w:rPr>
              <w:t>土壤是复杂的三相共存体系，其污染途径主要是通过被污染大气的沉降、工业废水的漫流和入渗，以及固体废物通过大气迁移、扩散、沉降或降水淋溶、地表径流等而进入土壞环境。</w:t>
            </w:r>
          </w:p>
          <w:p w14:paraId="5E648576">
            <w:pPr>
              <w:rPr>
                <w:rFonts w:hint="eastAsia"/>
                <w:color w:val="auto"/>
                <w:lang w:val="en-US" w:eastAsia="zh-CN"/>
              </w:rPr>
            </w:pPr>
            <w:r>
              <w:rPr>
                <w:rFonts w:hint="eastAsia"/>
                <w:color w:val="auto"/>
                <w:lang w:val="en-US" w:eastAsia="zh-CN"/>
              </w:rPr>
              <w:t>本项目为一般工业固体废物、建筑施工废弃物处置及综合利用项目，项目运营期废气主要为堆场粉尘、产品堆放粉尘、破碎/筛分粉尘、输送粉尘、道路扬尘、运输车辆尾气、食堂油烟，在采取本环评提出的废气控制措施后，项目废气可达标排放，不会对周围土壤环境产生明显影响，大气沉降影响的可能较小；项目固体废物在采取本环评提出的控制措施后，均能得到妥善的处置，不会对周围土壤环境产生明显影响。因此本项目土壤环境影响类型主要是工业废水的漫流和入渗。</w:t>
            </w:r>
          </w:p>
          <w:p w14:paraId="5F609126">
            <w:pPr>
              <w:rPr>
                <w:rFonts w:hint="eastAsia"/>
                <w:color w:val="auto"/>
                <w:lang w:val="en-US" w:eastAsia="zh-CN"/>
              </w:rPr>
            </w:pPr>
            <w:r>
              <w:rPr>
                <w:rFonts w:hint="eastAsia"/>
                <w:color w:val="auto"/>
                <w:lang w:val="en-US" w:eastAsia="zh-CN"/>
              </w:rPr>
              <w:t>对于厂区内地下或半地下工程构筑物，在事故情况下，会造成物料、污染物等的泄漏，通过垂直入渗途径污染土壤；同时事故情况下，工业废水漫流出车间也会污染周边土壤。本项目生产废水主要是堆场抑尘废水、洒水降尘废水、车辆冲洗废水、制砖生产废水和水稳砂生产废水，在全面落实分区防渗措施的情况下，物料或污染物的垂直入渗对土壤影响较小，正常情况下不会发生工业废水漫流，对周边土壤环境影响较小。</w:t>
            </w:r>
          </w:p>
          <w:p w14:paraId="1FB80E20">
            <w:pPr>
              <w:rPr>
                <w:color w:val="auto"/>
              </w:rPr>
            </w:pPr>
            <w:r>
              <w:rPr>
                <w:rFonts w:hint="eastAsia"/>
                <w:color w:val="auto"/>
                <w:lang w:val="en-US" w:eastAsia="zh-CN"/>
              </w:rPr>
              <w:t>综上，通过采取本环评提出的环保措施，项目废气废水能够达标排放，对地下水、土壤环境影响较小。在全面落实分区防渗措施的情况下，本项目不会对周围地下水和土壤环境产生明显影响。</w:t>
            </w:r>
          </w:p>
          <w:p w14:paraId="0E541974">
            <w:pPr>
              <w:pStyle w:val="4"/>
              <w:bidi w:val="0"/>
              <w:rPr>
                <w:rFonts w:hint="eastAsia"/>
                <w:color w:val="auto"/>
                <w:lang w:val="en-US" w:eastAsia="zh-CN"/>
              </w:rPr>
            </w:pPr>
            <w:bookmarkStart w:id="490" w:name="_Toc4309"/>
            <w:bookmarkStart w:id="491" w:name="_Toc16608"/>
            <w:bookmarkStart w:id="492" w:name="_Toc6133"/>
            <w:bookmarkStart w:id="493" w:name="_Toc24850"/>
            <w:bookmarkStart w:id="494" w:name="_Toc28702"/>
            <w:bookmarkStart w:id="495" w:name="_Toc191"/>
            <w:bookmarkStart w:id="496" w:name="_Toc5552"/>
            <w:bookmarkStart w:id="497" w:name="_Toc16917"/>
            <w:bookmarkStart w:id="498" w:name="_Toc6786"/>
            <w:bookmarkStart w:id="499" w:name="_Toc22079"/>
            <w:bookmarkStart w:id="500" w:name="_Toc11640"/>
            <w:bookmarkStart w:id="501" w:name="_Toc21807"/>
            <w:r>
              <w:rPr>
                <w:rFonts w:hint="eastAsia"/>
                <w:color w:val="auto"/>
                <w:lang w:val="en-US" w:eastAsia="zh-CN"/>
              </w:rPr>
              <w:t>7、生态环境影响分析和保护措施</w:t>
            </w:r>
            <w:bookmarkEnd w:id="490"/>
            <w:bookmarkEnd w:id="491"/>
            <w:bookmarkEnd w:id="492"/>
            <w:bookmarkEnd w:id="493"/>
            <w:bookmarkEnd w:id="494"/>
            <w:bookmarkEnd w:id="495"/>
            <w:bookmarkEnd w:id="496"/>
            <w:bookmarkEnd w:id="497"/>
            <w:bookmarkEnd w:id="498"/>
            <w:bookmarkEnd w:id="499"/>
            <w:bookmarkEnd w:id="500"/>
            <w:bookmarkEnd w:id="501"/>
          </w:p>
          <w:p w14:paraId="01F6ADA6">
            <w:pPr>
              <w:rPr>
                <w:rFonts w:hint="default"/>
                <w:color w:val="auto"/>
                <w:lang w:val="en-US" w:eastAsia="zh-CN"/>
              </w:rPr>
            </w:pPr>
            <w:r>
              <w:rPr>
                <w:rFonts w:hint="default"/>
                <w:color w:val="auto"/>
                <w:lang w:val="en-US" w:eastAsia="zh-CN"/>
              </w:rPr>
              <w:t>根据《建设项目环境影响报告表编制技术指南（污染影响类）》，</w:t>
            </w:r>
            <w:r>
              <w:rPr>
                <w:rFonts w:hint="eastAsia" w:ascii="宋体" w:hAnsi="宋体" w:eastAsia="宋体" w:cs="宋体"/>
                <w:color w:val="auto"/>
                <w:lang w:val="en-US" w:eastAsia="zh-CN"/>
              </w:rPr>
              <w:t>“产业园区外建设项目新增用地且用地范围内含有生态环境保护目标的，应明确保护措施”</w:t>
            </w:r>
            <w:r>
              <w:rPr>
                <w:rFonts w:hint="default"/>
                <w:color w:val="auto"/>
                <w:lang w:val="en-US" w:eastAsia="zh-CN"/>
              </w:rPr>
              <w:t>。</w:t>
            </w:r>
            <w:r>
              <w:rPr>
                <w:rFonts w:hint="eastAsia"/>
                <w:color w:val="auto"/>
                <w:lang w:val="en-US" w:eastAsia="zh-CN"/>
              </w:rPr>
              <w:t>本项目位于</w:t>
            </w:r>
            <w:r>
              <w:rPr>
                <w:rFonts w:hint="default"/>
                <w:color w:val="auto"/>
                <w:lang w:val="en-US" w:eastAsia="zh-CN"/>
              </w:rPr>
              <w:t>湖南省衡阳市蒸湘区呆鹰岭镇振兴村江家塘组</w:t>
            </w:r>
            <w:r>
              <w:rPr>
                <w:rFonts w:hint="eastAsia"/>
                <w:color w:val="auto"/>
                <w:lang w:val="en-US" w:eastAsia="zh-CN"/>
              </w:rPr>
              <w:t>，本次改建</w:t>
            </w:r>
            <w:r>
              <w:rPr>
                <w:rFonts w:hint="default"/>
                <w:color w:val="auto"/>
                <w:lang w:val="en-US" w:eastAsia="zh-CN"/>
              </w:rPr>
              <w:t>未新增用地且用地范围内不含有生态环境保护目标，项目三废经治理后可以达标排放，不会对区域生态环境产生明显影响。因此，本项目不对生态环境影响进行展开分析。</w:t>
            </w:r>
          </w:p>
          <w:p w14:paraId="582F6213">
            <w:pPr>
              <w:pStyle w:val="4"/>
              <w:bidi w:val="0"/>
              <w:rPr>
                <w:rFonts w:hint="eastAsia"/>
                <w:color w:val="auto"/>
                <w:lang w:val="en-US" w:eastAsia="zh-CN"/>
              </w:rPr>
            </w:pPr>
            <w:bookmarkStart w:id="502" w:name="_Toc10060"/>
            <w:bookmarkStart w:id="503" w:name="_Toc23999"/>
            <w:bookmarkStart w:id="504" w:name="_Toc17849"/>
            <w:bookmarkStart w:id="505" w:name="_Toc29570"/>
            <w:bookmarkStart w:id="506" w:name="_Toc4935"/>
            <w:bookmarkStart w:id="507" w:name="_Toc9304"/>
            <w:bookmarkStart w:id="508" w:name="_Toc17178"/>
            <w:bookmarkStart w:id="509" w:name="_Toc25430"/>
            <w:r>
              <w:rPr>
                <w:rFonts w:hint="eastAsia"/>
                <w:color w:val="auto"/>
                <w:lang w:val="en-US" w:eastAsia="zh-CN"/>
              </w:rPr>
              <w:t>8、环境风险分析</w:t>
            </w:r>
            <w:bookmarkEnd w:id="502"/>
            <w:bookmarkEnd w:id="503"/>
            <w:bookmarkEnd w:id="504"/>
            <w:bookmarkEnd w:id="505"/>
            <w:bookmarkEnd w:id="506"/>
            <w:bookmarkEnd w:id="507"/>
            <w:bookmarkEnd w:id="508"/>
            <w:bookmarkEnd w:id="509"/>
          </w:p>
          <w:p w14:paraId="631FBEFF">
            <w:pPr>
              <w:rPr>
                <w:rFonts w:hint="default"/>
                <w:color w:val="auto"/>
                <w:lang w:val="en-US" w:eastAsia="zh-CN"/>
              </w:rPr>
            </w:pPr>
            <w:r>
              <w:rPr>
                <w:rFonts w:hint="default"/>
                <w:color w:val="auto"/>
                <w:lang w:val="en-US" w:eastAsia="zh-CN"/>
              </w:rPr>
              <w:t>（1）环境风险识别</w:t>
            </w:r>
          </w:p>
          <w:p w14:paraId="429C65A6">
            <w:pPr>
              <w:rPr>
                <w:rFonts w:hint="eastAsia"/>
                <w:color w:val="auto"/>
                <w:lang w:val="en-US" w:eastAsia="zh-CN"/>
              </w:rPr>
            </w:pPr>
            <w:r>
              <w:rPr>
                <w:rFonts w:hint="default"/>
                <w:color w:val="auto"/>
                <w:lang w:val="en-US" w:eastAsia="zh-CN"/>
              </w:rPr>
              <w:t>根据《建设项目环境风险评价技术导则》（HJ</w:t>
            </w:r>
            <w:r>
              <w:rPr>
                <w:rFonts w:hint="eastAsia"/>
                <w:color w:val="auto"/>
                <w:lang w:val="en-US" w:eastAsia="zh-CN"/>
              </w:rPr>
              <w:t xml:space="preserve"> </w:t>
            </w:r>
            <w:r>
              <w:rPr>
                <w:rFonts w:hint="default"/>
                <w:color w:val="auto"/>
                <w:lang w:val="en-US" w:eastAsia="zh-CN"/>
              </w:rPr>
              <w:t>169-2018）附录B，结合企业实际情况，现有项目涉及的危险物质主要为</w:t>
            </w:r>
            <w:r>
              <w:rPr>
                <w:rFonts w:hint="eastAsia"/>
                <w:color w:val="auto"/>
                <w:lang w:val="en-US" w:eastAsia="zh-CN"/>
              </w:rPr>
              <w:t>机油、废机油及油桶和隔油渣。根据《建设项目环境风险评价技术导则》（HJ 169-2018）附录C中危险物质数量与临界量比值（</w:t>
            </w:r>
            <w:r>
              <w:rPr>
                <w:rFonts w:hint="eastAsia"/>
                <w:i/>
                <w:iCs/>
                <w:color w:val="auto"/>
                <w:lang w:val="en-US" w:eastAsia="zh-CN"/>
              </w:rPr>
              <w:t>Q</w:t>
            </w:r>
            <w:r>
              <w:rPr>
                <w:rFonts w:hint="eastAsia"/>
                <w:color w:val="auto"/>
                <w:lang w:val="en-US" w:eastAsia="zh-CN"/>
              </w:rPr>
              <w:t>），计算所涉及的每种危险物质在厂界内的最大存在总量与其在附录B中对应临界量的比值</w:t>
            </w:r>
            <w:r>
              <w:rPr>
                <w:rFonts w:hint="eastAsia"/>
                <w:i/>
                <w:iCs/>
                <w:color w:val="auto"/>
                <w:lang w:val="en-US" w:eastAsia="zh-CN"/>
              </w:rPr>
              <w:t>Q</w:t>
            </w:r>
            <w:r>
              <w:rPr>
                <w:rFonts w:hint="eastAsia"/>
                <w:color w:val="auto"/>
                <w:lang w:val="en-US" w:eastAsia="zh-CN"/>
              </w:rPr>
              <w:t>。</w:t>
            </w:r>
          </w:p>
          <w:p w14:paraId="466AFADB">
            <w:pPr>
              <w:rPr>
                <w:rFonts w:hint="eastAsia"/>
                <w:color w:val="auto"/>
                <w:lang w:val="en-US" w:eastAsia="zh-CN"/>
              </w:rPr>
            </w:pPr>
            <w:r>
              <w:rPr>
                <w:rFonts w:hint="eastAsia"/>
                <w:color w:val="auto"/>
                <w:lang w:val="en-US" w:eastAsia="zh-CN"/>
              </w:rPr>
              <w:t>①当只涉及一种危险物质时，计算该物质的总量与其临界量比值，即为</w:t>
            </w:r>
            <w:r>
              <w:rPr>
                <w:rFonts w:hint="eastAsia"/>
                <w:i/>
                <w:iCs/>
                <w:color w:val="auto"/>
                <w:lang w:val="en-US" w:eastAsia="zh-CN"/>
              </w:rPr>
              <w:t>Q</w:t>
            </w:r>
            <w:r>
              <w:rPr>
                <w:rFonts w:hint="eastAsia"/>
                <w:color w:val="auto"/>
                <w:lang w:val="en-US" w:eastAsia="zh-CN"/>
              </w:rPr>
              <w:t>；</w:t>
            </w:r>
          </w:p>
          <w:p w14:paraId="23B40F00">
            <w:pPr>
              <w:rPr>
                <w:rFonts w:hint="eastAsia"/>
                <w:color w:val="auto"/>
                <w:lang w:val="en-US" w:eastAsia="zh-CN"/>
              </w:rPr>
            </w:pPr>
            <w:r>
              <w:rPr>
                <w:rFonts w:hint="eastAsia"/>
                <w:color w:val="auto"/>
                <w:lang w:val="en-US" w:eastAsia="zh-CN"/>
              </w:rPr>
              <w:t>②当存在多种危险物质时，则按下式计算。</w:t>
            </w:r>
          </w:p>
          <w:p w14:paraId="2322674E">
            <w:pPr>
              <w:ind w:left="0" w:leftChars="0" w:firstLine="0" w:firstLineChars="0"/>
              <w:jc w:val="center"/>
              <w:rPr>
                <w:rFonts w:hint="eastAsia"/>
                <w:color w:val="auto"/>
                <w:lang w:val="en-US" w:eastAsia="zh-CN"/>
              </w:rPr>
            </w:pPr>
            <w:r>
              <w:rPr>
                <w:rFonts w:hint="eastAsia"/>
                <w:i/>
                <w:iCs/>
                <w:color w:val="auto"/>
                <w:lang w:val="en-US" w:eastAsia="zh-CN"/>
              </w:rPr>
              <w:t>Q</w:t>
            </w:r>
            <w:r>
              <w:rPr>
                <w:rFonts w:hint="eastAsia"/>
                <w:color w:val="auto"/>
                <w:lang w:val="en-US" w:eastAsia="zh-CN"/>
              </w:rPr>
              <w:t>=</w:t>
            </w:r>
            <w:r>
              <w:rPr>
                <w:rFonts w:hint="eastAsia"/>
                <w:i/>
                <w:iCs/>
                <w:color w:val="auto"/>
                <w:lang w:val="en-US" w:eastAsia="zh-CN"/>
              </w:rPr>
              <w:t>q</w:t>
            </w:r>
            <w:r>
              <w:rPr>
                <w:rFonts w:hint="eastAsia"/>
                <w:color w:val="auto"/>
                <w:vertAlign w:val="subscript"/>
                <w:lang w:val="en-US" w:eastAsia="zh-CN"/>
              </w:rPr>
              <w:t>1</w:t>
            </w:r>
            <w:r>
              <w:rPr>
                <w:rFonts w:hint="eastAsia"/>
                <w:color w:val="auto"/>
                <w:lang w:val="en-US" w:eastAsia="zh-CN"/>
              </w:rPr>
              <w:t>/</w:t>
            </w:r>
            <w:r>
              <w:rPr>
                <w:rFonts w:hint="eastAsia"/>
                <w:i/>
                <w:iCs/>
                <w:color w:val="auto"/>
                <w:lang w:val="en-US" w:eastAsia="zh-CN"/>
              </w:rPr>
              <w:t>Q</w:t>
            </w:r>
            <w:r>
              <w:rPr>
                <w:rFonts w:hint="eastAsia"/>
                <w:color w:val="auto"/>
                <w:vertAlign w:val="subscript"/>
                <w:lang w:val="en-US" w:eastAsia="zh-CN"/>
              </w:rPr>
              <w:t>1</w:t>
            </w:r>
            <w:r>
              <w:rPr>
                <w:rFonts w:hint="eastAsia"/>
                <w:color w:val="auto"/>
                <w:lang w:val="en-US" w:eastAsia="zh-CN"/>
              </w:rPr>
              <w:t>+</w:t>
            </w:r>
            <w:r>
              <w:rPr>
                <w:rFonts w:hint="eastAsia"/>
                <w:i/>
                <w:iCs/>
                <w:color w:val="auto"/>
                <w:lang w:val="en-US" w:eastAsia="zh-CN"/>
              </w:rPr>
              <w:t>q</w:t>
            </w:r>
            <w:r>
              <w:rPr>
                <w:rFonts w:hint="eastAsia"/>
                <w:color w:val="auto"/>
                <w:vertAlign w:val="subscript"/>
                <w:lang w:val="en-US" w:eastAsia="zh-CN"/>
              </w:rPr>
              <w:t>2</w:t>
            </w:r>
            <w:r>
              <w:rPr>
                <w:rFonts w:hint="eastAsia"/>
                <w:color w:val="auto"/>
                <w:lang w:val="en-US" w:eastAsia="zh-CN"/>
              </w:rPr>
              <w:t>/</w:t>
            </w:r>
            <w:r>
              <w:rPr>
                <w:rFonts w:hint="eastAsia"/>
                <w:i/>
                <w:iCs/>
                <w:color w:val="auto"/>
                <w:lang w:val="en-US" w:eastAsia="zh-CN"/>
              </w:rPr>
              <w:t>Q</w:t>
            </w:r>
            <w:r>
              <w:rPr>
                <w:rFonts w:hint="eastAsia"/>
                <w:color w:val="auto"/>
                <w:vertAlign w:val="subscript"/>
                <w:lang w:val="en-US" w:eastAsia="zh-CN"/>
              </w:rPr>
              <w:t>2</w:t>
            </w:r>
            <w:r>
              <w:rPr>
                <w:rFonts w:hint="eastAsia"/>
                <w:color w:val="auto"/>
                <w:lang w:val="en-US" w:eastAsia="zh-CN"/>
              </w:rPr>
              <w:t>+…+</w:t>
            </w:r>
            <w:r>
              <w:rPr>
                <w:rFonts w:hint="eastAsia"/>
                <w:i/>
                <w:iCs/>
                <w:color w:val="auto"/>
                <w:lang w:val="en-US" w:eastAsia="zh-CN"/>
              </w:rPr>
              <w:t>q</w:t>
            </w:r>
            <w:r>
              <w:rPr>
                <w:rFonts w:hint="eastAsia"/>
                <w:color w:val="auto"/>
                <w:vertAlign w:val="subscript"/>
                <w:lang w:val="en-US" w:eastAsia="zh-CN"/>
              </w:rPr>
              <w:t>n</w:t>
            </w:r>
            <w:r>
              <w:rPr>
                <w:rFonts w:hint="eastAsia"/>
                <w:color w:val="auto"/>
                <w:lang w:val="en-US" w:eastAsia="zh-CN"/>
              </w:rPr>
              <w:t>/</w:t>
            </w:r>
            <w:r>
              <w:rPr>
                <w:rFonts w:hint="eastAsia"/>
                <w:i/>
                <w:iCs/>
                <w:color w:val="auto"/>
                <w:lang w:val="en-US" w:eastAsia="zh-CN"/>
              </w:rPr>
              <w:t>Q</w:t>
            </w:r>
            <w:r>
              <w:rPr>
                <w:rFonts w:hint="eastAsia"/>
                <w:color w:val="auto"/>
                <w:vertAlign w:val="subscript"/>
                <w:lang w:val="en-US" w:eastAsia="zh-CN"/>
              </w:rPr>
              <w:t>n</w:t>
            </w:r>
          </w:p>
          <w:p w14:paraId="5310FF28">
            <w:pPr>
              <w:rPr>
                <w:rFonts w:hint="eastAsia"/>
                <w:color w:val="auto"/>
                <w:lang w:val="en-US" w:eastAsia="zh-CN"/>
              </w:rPr>
            </w:pPr>
            <w:r>
              <w:rPr>
                <w:rFonts w:hint="eastAsia"/>
                <w:color w:val="auto"/>
                <w:lang w:val="en-US" w:eastAsia="zh-CN"/>
              </w:rPr>
              <w:t>式中：</w:t>
            </w:r>
            <w:r>
              <w:rPr>
                <w:rFonts w:hint="eastAsia"/>
                <w:i/>
                <w:iCs/>
                <w:color w:val="auto"/>
                <w:lang w:val="en-US" w:eastAsia="zh-CN"/>
              </w:rPr>
              <w:t>q</w:t>
            </w:r>
            <w:r>
              <w:rPr>
                <w:rFonts w:hint="eastAsia"/>
                <w:color w:val="auto"/>
                <w:vertAlign w:val="subscript"/>
                <w:lang w:val="en-US" w:eastAsia="zh-CN"/>
              </w:rPr>
              <w:t>1</w:t>
            </w:r>
            <w:r>
              <w:rPr>
                <w:rFonts w:hint="eastAsia"/>
                <w:color w:val="auto"/>
                <w:lang w:val="en-US" w:eastAsia="zh-CN"/>
              </w:rPr>
              <w:t>，</w:t>
            </w:r>
            <w:r>
              <w:rPr>
                <w:rFonts w:hint="eastAsia"/>
                <w:i/>
                <w:iCs/>
                <w:color w:val="auto"/>
                <w:lang w:val="en-US" w:eastAsia="zh-CN"/>
              </w:rPr>
              <w:t>q</w:t>
            </w:r>
            <w:r>
              <w:rPr>
                <w:rFonts w:hint="eastAsia"/>
                <w:color w:val="auto"/>
                <w:vertAlign w:val="subscript"/>
                <w:lang w:val="en-US" w:eastAsia="zh-CN"/>
              </w:rPr>
              <w:t>2</w:t>
            </w:r>
            <w:r>
              <w:rPr>
                <w:rFonts w:hint="eastAsia"/>
                <w:color w:val="auto"/>
                <w:lang w:val="en-US" w:eastAsia="zh-CN"/>
              </w:rPr>
              <w:t>，……，q</w:t>
            </w:r>
            <w:r>
              <w:rPr>
                <w:rFonts w:hint="eastAsia"/>
                <w:color w:val="auto"/>
                <w:vertAlign w:val="subscript"/>
                <w:lang w:val="en-US" w:eastAsia="zh-CN"/>
              </w:rPr>
              <w:t>n</w:t>
            </w:r>
            <w:r>
              <w:rPr>
                <w:rFonts w:hint="eastAsia"/>
                <w:color w:val="auto"/>
                <w:lang w:val="en-US" w:eastAsia="zh-CN"/>
              </w:rPr>
              <w:t>为每种危险物质的最大存在总量，t；</w:t>
            </w:r>
          </w:p>
          <w:p w14:paraId="0E36FF8F">
            <w:pPr>
              <w:rPr>
                <w:rFonts w:hint="eastAsia"/>
                <w:color w:val="auto"/>
                <w:lang w:val="en-US" w:eastAsia="zh-CN"/>
              </w:rPr>
            </w:pPr>
            <w:r>
              <w:rPr>
                <w:rFonts w:hint="eastAsia"/>
                <w:i/>
                <w:iCs/>
                <w:color w:val="auto"/>
                <w:lang w:val="en-US" w:eastAsia="zh-CN"/>
              </w:rPr>
              <w:t>Q</w:t>
            </w:r>
            <w:r>
              <w:rPr>
                <w:rFonts w:hint="eastAsia"/>
                <w:color w:val="auto"/>
                <w:vertAlign w:val="subscript"/>
                <w:lang w:val="en-US" w:eastAsia="zh-CN"/>
              </w:rPr>
              <w:t>1</w:t>
            </w:r>
            <w:r>
              <w:rPr>
                <w:rFonts w:hint="eastAsia"/>
                <w:color w:val="auto"/>
                <w:lang w:val="en-US" w:eastAsia="zh-CN"/>
              </w:rPr>
              <w:t>，</w:t>
            </w:r>
            <w:r>
              <w:rPr>
                <w:rFonts w:hint="eastAsia"/>
                <w:i/>
                <w:iCs/>
                <w:color w:val="auto"/>
                <w:lang w:val="en-US" w:eastAsia="zh-CN"/>
              </w:rPr>
              <w:t>Q</w:t>
            </w:r>
            <w:r>
              <w:rPr>
                <w:rFonts w:hint="eastAsia"/>
                <w:color w:val="auto"/>
                <w:vertAlign w:val="subscript"/>
                <w:lang w:val="en-US" w:eastAsia="zh-CN"/>
              </w:rPr>
              <w:t>2</w:t>
            </w:r>
            <w:r>
              <w:rPr>
                <w:rFonts w:hint="eastAsia"/>
                <w:color w:val="auto"/>
                <w:lang w:val="en-US" w:eastAsia="zh-CN"/>
              </w:rPr>
              <w:t>，……，</w:t>
            </w:r>
            <w:r>
              <w:rPr>
                <w:rFonts w:hint="eastAsia"/>
                <w:i/>
                <w:iCs/>
                <w:color w:val="auto"/>
                <w:lang w:val="en-US" w:eastAsia="zh-CN"/>
              </w:rPr>
              <w:t>Q</w:t>
            </w:r>
            <w:r>
              <w:rPr>
                <w:rFonts w:hint="eastAsia"/>
                <w:color w:val="auto"/>
                <w:vertAlign w:val="subscript"/>
                <w:lang w:val="en-US" w:eastAsia="zh-CN"/>
              </w:rPr>
              <w:t>n</w:t>
            </w:r>
            <w:r>
              <w:rPr>
                <w:rFonts w:hint="eastAsia"/>
                <w:color w:val="auto"/>
                <w:lang w:val="en-US" w:eastAsia="zh-CN"/>
              </w:rPr>
              <w:t>为各种危险物质的临界量，t。</w:t>
            </w:r>
          </w:p>
          <w:p w14:paraId="223206F0">
            <w:pPr>
              <w:rPr>
                <w:rFonts w:hint="eastAsia"/>
                <w:color w:val="auto"/>
                <w:lang w:val="en-US" w:eastAsia="zh-CN"/>
              </w:rPr>
            </w:pPr>
            <w:r>
              <w:rPr>
                <w:rFonts w:hint="eastAsia"/>
                <w:color w:val="auto"/>
                <w:lang w:val="en-US" w:eastAsia="zh-CN"/>
              </w:rPr>
              <w:t>当</w:t>
            </w:r>
            <w:r>
              <w:rPr>
                <w:rFonts w:hint="eastAsia"/>
                <w:i/>
                <w:iCs/>
                <w:color w:val="auto"/>
                <w:lang w:val="en-US" w:eastAsia="zh-CN"/>
              </w:rPr>
              <w:t>Q</w:t>
            </w:r>
            <w:r>
              <w:rPr>
                <w:rFonts w:hint="eastAsia"/>
                <w:color w:val="auto"/>
                <w:lang w:val="en-US" w:eastAsia="zh-CN"/>
              </w:rPr>
              <w:t>＜1时，该项目环境风险潜势为</w:t>
            </w:r>
            <w:r>
              <w:rPr>
                <w:rFonts w:hint="default" w:ascii="Times New Roman" w:hAnsi="Times New Roman" w:cs="Times New Roman"/>
                <w:color w:val="auto"/>
                <w:lang w:val="en-US" w:eastAsia="zh-CN"/>
              </w:rPr>
              <w:t>Ⅰ</w:t>
            </w:r>
            <w:r>
              <w:rPr>
                <w:rFonts w:hint="eastAsia"/>
                <w:color w:val="auto"/>
                <w:lang w:val="en-US" w:eastAsia="zh-CN"/>
              </w:rPr>
              <w:t>。</w:t>
            </w:r>
          </w:p>
          <w:p w14:paraId="416D8B79">
            <w:pPr>
              <w:rPr>
                <w:rFonts w:hint="eastAsia"/>
                <w:color w:val="auto"/>
                <w:lang w:val="en-US" w:eastAsia="zh-CN"/>
              </w:rPr>
            </w:pPr>
            <w:r>
              <w:rPr>
                <w:rFonts w:hint="eastAsia"/>
                <w:color w:val="auto"/>
                <w:lang w:val="en-US" w:eastAsia="zh-CN"/>
              </w:rPr>
              <w:t>当</w:t>
            </w:r>
            <w:r>
              <w:rPr>
                <w:rFonts w:hint="eastAsia"/>
                <w:i/>
                <w:iCs/>
                <w:color w:val="auto"/>
                <w:lang w:val="en-US" w:eastAsia="zh-CN"/>
              </w:rPr>
              <w:t>Q</w:t>
            </w:r>
            <w:r>
              <w:rPr>
                <w:rFonts w:hint="eastAsia"/>
                <w:color w:val="auto"/>
                <w:lang w:val="en-US" w:eastAsia="zh-CN"/>
              </w:rPr>
              <w:t>≥1时，将</w:t>
            </w:r>
            <w:r>
              <w:rPr>
                <w:rFonts w:hint="eastAsia"/>
                <w:i/>
                <w:iCs/>
                <w:color w:val="auto"/>
                <w:lang w:val="en-US" w:eastAsia="zh-CN"/>
              </w:rPr>
              <w:t>Q</w:t>
            </w:r>
            <w:r>
              <w:rPr>
                <w:rFonts w:hint="eastAsia"/>
                <w:color w:val="auto"/>
                <w:lang w:val="en-US" w:eastAsia="zh-CN"/>
              </w:rPr>
              <w:t>值划分为：（1）1≤</w:t>
            </w:r>
            <w:r>
              <w:rPr>
                <w:rFonts w:hint="eastAsia"/>
                <w:i/>
                <w:iCs/>
                <w:color w:val="auto"/>
                <w:lang w:val="en-US" w:eastAsia="zh-CN"/>
              </w:rPr>
              <w:t>Q</w:t>
            </w:r>
            <w:r>
              <w:rPr>
                <w:rFonts w:hint="eastAsia"/>
                <w:color w:val="auto"/>
                <w:lang w:val="en-US" w:eastAsia="zh-CN"/>
              </w:rPr>
              <w:t>＜10；（2）10≤</w:t>
            </w:r>
            <w:r>
              <w:rPr>
                <w:rFonts w:hint="eastAsia"/>
                <w:i/>
                <w:iCs/>
                <w:color w:val="auto"/>
                <w:lang w:val="en-US" w:eastAsia="zh-CN"/>
              </w:rPr>
              <w:t>Q</w:t>
            </w:r>
            <w:r>
              <w:rPr>
                <w:rFonts w:hint="eastAsia"/>
                <w:color w:val="auto"/>
                <w:lang w:val="en-US" w:eastAsia="zh-CN"/>
              </w:rPr>
              <w:t>＜100；（3）</w:t>
            </w:r>
            <w:r>
              <w:rPr>
                <w:rFonts w:hint="eastAsia"/>
                <w:i/>
                <w:iCs/>
                <w:color w:val="auto"/>
                <w:lang w:val="en-US" w:eastAsia="zh-CN"/>
              </w:rPr>
              <w:t>Q</w:t>
            </w:r>
            <w:r>
              <w:rPr>
                <w:rFonts w:hint="eastAsia"/>
                <w:color w:val="auto"/>
                <w:lang w:val="en-US" w:eastAsia="zh-CN"/>
              </w:rPr>
              <w:t>≥100。</w:t>
            </w:r>
          </w:p>
          <w:p w14:paraId="074FAA08">
            <w:pPr>
              <w:rPr>
                <w:rFonts w:hint="eastAsia"/>
                <w:color w:val="auto"/>
                <w:lang w:val="en-US" w:eastAsia="zh-CN"/>
              </w:rPr>
            </w:pPr>
            <w:r>
              <w:rPr>
                <w:rFonts w:hint="eastAsia"/>
                <w:color w:val="auto"/>
                <w:lang w:val="en-US" w:eastAsia="zh-CN"/>
              </w:rPr>
              <w:t>本项目改建完成后全厂危险物质数量与临界量比值（</w:t>
            </w:r>
            <w:r>
              <w:rPr>
                <w:rFonts w:hint="eastAsia"/>
                <w:i/>
                <w:iCs/>
                <w:color w:val="auto"/>
                <w:lang w:val="en-US" w:eastAsia="zh-CN"/>
              </w:rPr>
              <w:t>Q</w:t>
            </w:r>
            <w:r>
              <w:rPr>
                <w:rFonts w:hint="eastAsia"/>
                <w:color w:val="auto"/>
                <w:lang w:val="en-US" w:eastAsia="zh-CN"/>
              </w:rPr>
              <w:t>）计算结果如表4-14。</w:t>
            </w:r>
          </w:p>
          <w:p w14:paraId="68D27927">
            <w:pPr>
              <w:pStyle w:val="18"/>
              <w:bidi w:val="0"/>
              <w:rPr>
                <w:rFonts w:hint="eastAsia"/>
                <w:color w:val="auto"/>
                <w:lang w:val="en-US" w:eastAsia="zh-CN"/>
              </w:rPr>
            </w:pPr>
            <w:r>
              <w:rPr>
                <w:rFonts w:hint="eastAsia"/>
                <w:color w:val="auto"/>
                <w:lang w:val="en-US" w:eastAsia="zh-CN"/>
              </w:rPr>
              <w:t>表4-14 改建后全厂危险物质数量与临界量比值（</w:t>
            </w:r>
            <w:r>
              <w:rPr>
                <w:rFonts w:hint="eastAsia"/>
                <w:i/>
                <w:iCs/>
                <w:color w:val="auto"/>
                <w:lang w:val="en-US" w:eastAsia="zh-CN"/>
              </w:rPr>
              <w:t>Q</w:t>
            </w:r>
            <w:r>
              <w:rPr>
                <w:rFonts w:hint="eastAsia"/>
                <w:color w:val="auto"/>
                <w:lang w:val="en-US" w:eastAsia="zh-CN"/>
              </w:rPr>
              <w:t>）计算表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1525"/>
              <w:gridCol w:w="1300"/>
              <w:gridCol w:w="1925"/>
              <w:gridCol w:w="1612"/>
              <w:gridCol w:w="921"/>
            </w:tblGrid>
            <w:tr w14:paraId="2FD17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17E86E14">
                  <w:pPr>
                    <w:pStyle w:val="17"/>
                    <w:jc w:val="center"/>
                    <w:rPr>
                      <w:rFonts w:hint="default"/>
                      <w:color w:val="auto"/>
                      <w:vertAlign w:val="baseline"/>
                      <w:lang w:val="en-US" w:eastAsia="zh-CN"/>
                    </w:rPr>
                  </w:pPr>
                  <w:r>
                    <w:rPr>
                      <w:rFonts w:hint="eastAsia"/>
                      <w:color w:val="auto"/>
                      <w:vertAlign w:val="baseline"/>
                      <w:lang w:val="en-US" w:eastAsia="zh-CN"/>
                    </w:rPr>
                    <w:t>序号</w:t>
                  </w:r>
                </w:p>
              </w:tc>
              <w:tc>
                <w:tcPr>
                  <w:tcW w:w="1525" w:type="dxa"/>
                  <w:vAlign w:val="center"/>
                </w:tcPr>
                <w:p w14:paraId="2F1D3BF0">
                  <w:pPr>
                    <w:pStyle w:val="17"/>
                    <w:jc w:val="center"/>
                    <w:rPr>
                      <w:rFonts w:hint="default"/>
                      <w:color w:val="auto"/>
                      <w:vertAlign w:val="baseline"/>
                      <w:lang w:val="en-US" w:eastAsia="zh-CN"/>
                    </w:rPr>
                  </w:pPr>
                  <w:r>
                    <w:rPr>
                      <w:rFonts w:hint="eastAsia"/>
                      <w:color w:val="auto"/>
                      <w:vertAlign w:val="baseline"/>
                      <w:lang w:val="en-US" w:eastAsia="zh-CN"/>
                    </w:rPr>
                    <w:t>危险物质</w:t>
                  </w:r>
                </w:p>
              </w:tc>
              <w:tc>
                <w:tcPr>
                  <w:tcW w:w="1300" w:type="dxa"/>
                  <w:vAlign w:val="center"/>
                </w:tcPr>
                <w:p w14:paraId="7B9920DB">
                  <w:pPr>
                    <w:pStyle w:val="17"/>
                    <w:jc w:val="center"/>
                    <w:rPr>
                      <w:rFonts w:hint="default"/>
                      <w:color w:val="auto"/>
                      <w:vertAlign w:val="baseline"/>
                      <w:lang w:val="en-US" w:eastAsia="zh-CN"/>
                    </w:rPr>
                  </w:pPr>
                  <w:r>
                    <w:rPr>
                      <w:rFonts w:hint="eastAsia"/>
                      <w:color w:val="auto"/>
                      <w:vertAlign w:val="baseline"/>
                      <w:lang w:val="en-US" w:eastAsia="zh-CN"/>
                    </w:rPr>
                    <w:t>储存位置</w:t>
                  </w:r>
                </w:p>
              </w:tc>
              <w:tc>
                <w:tcPr>
                  <w:tcW w:w="1925" w:type="dxa"/>
                  <w:vAlign w:val="center"/>
                </w:tcPr>
                <w:p w14:paraId="2F77F6D5">
                  <w:pPr>
                    <w:pStyle w:val="17"/>
                    <w:jc w:val="center"/>
                    <w:rPr>
                      <w:rFonts w:hint="default"/>
                      <w:color w:val="auto"/>
                      <w:vertAlign w:val="baseline"/>
                      <w:lang w:val="en-US" w:eastAsia="zh-CN"/>
                    </w:rPr>
                  </w:pPr>
                  <w:r>
                    <w:rPr>
                      <w:rFonts w:hint="eastAsia"/>
                      <w:color w:val="auto"/>
                      <w:vertAlign w:val="baseline"/>
                      <w:lang w:val="en-US" w:eastAsia="zh-CN"/>
                    </w:rPr>
                    <w:t>最大储存量</w:t>
                  </w:r>
                  <w:r>
                    <w:rPr>
                      <w:rFonts w:hint="eastAsia"/>
                      <w:i/>
                      <w:iCs/>
                      <w:color w:val="auto"/>
                      <w:vertAlign w:val="baseline"/>
                      <w:lang w:val="en-US" w:eastAsia="zh-CN"/>
                    </w:rPr>
                    <w:t>q</w:t>
                  </w:r>
                  <w:r>
                    <w:rPr>
                      <w:rFonts w:hint="eastAsia"/>
                      <w:color w:val="auto"/>
                      <w:vertAlign w:val="baseline"/>
                      <w:lang w:val="en-US" w:eastAsia="zh-CN"/>
                    </w:rPr>
                    <w:t>（t）</w:t>
                  </w:r>
                </w:p>
              </w:tc>
              <w:tc>
                <w:tcPr>
                  <w:tcW w:w="1612" w:type="dxa"/>
                  <w:vAlign w:val="center"/>
                </w:tcPr>
                <w:p w14:paraId="3CA34DB6">
                  <w:pPr>
                    <w:pStyle w:val="17"/>
                    <w:jc w:val="center"/>
                    <w:rPr>
                      <w:rFonts w:hint="default"/>
                      <w:color w:val="auto"/>
                      <w:vertAlign w:val="baseline"/>
                      <w:lang w:val="en-US" w:eastAsia="zh-CN"/>
                    </w:rPr>
                  </w:pPr>
                  <w:r>
                    <w:rPr>
                      <w:rFonts w:hint="eastAsia"/>
                      <w:color w:val="auto"/>
                      <w:vertAlign w:val="baseline"/>
                      <w:lang w:val="en-US" w:eastAsia="zh-CN"/>
                    </w:rPr>
                    <w:t>临界量</w:t>
                  </w:r>
                  <w:r>
                    <w:rPr>
                      <w:rFonts w:hint="eastAsia"/>
                      <w:i/>
                      <w:iCs/>
                      <w:color w:val="auto"/>
                      <w:vertAlign w:val="baseline"/>
                      <w:lang w:val="en-US" w:eastAsia="zh-CN"/>
                    </w:rPr>
                    <w:t>Q</w:t>
                  </w:r>
                  <w:r>
                    <w:rPr>
                      <w:rFonts w:hint="eastAsia"/>
                      <w:color w:val="auto"/>
                      <w:vertAlign w:val="baseline"/>
                      <w:lang w:val="en-US" w:eastAsia="zh-CN"/>
                    </w:rPr>
                    <w:t>（t）</w:t>
                  </w:r>
                </w:p>
              </w:tc>
              <w:tc>
                <w:tcPr>
                  <w:tcW w:w="921" w:type="dxa"/>
                  <w:vAlign w:val="center"/>
                </w:tcPr>
                <w:p w14:paraId="0BEC9A90">
                  <w:pPr>
                    <w:pStyle w:val="17"/>
                    <w:jc w:val="center"/>
                    <w:rPr>
                      <w:rFonts w:hint="default"/>
                      <w:color w:val="auto"/>
                      <w:vertAlign w:val="baseline"/>
                      <w:lang w:val="en-US" w:eastAsia="zh-CN"/>
                    </w:rPr>
                  </w:pPr>
                  <w:r>
                    <w:rPr>
                      <w:rFonts w:hint="eastAsia"/>
                      <w:i/>
                      <w:iCs/>
                      <w:color w:val="auto"/>
                      <w:vertAlign w:val="baseline"/>
                      <w:lang w:val="en-US" w:eastAsia="zh-CN"/>
                    </w:rPr>
                    <w:t>q</w:t>
                  </w:r>
                  <w:r>
                    <w:rPr>
                      <w:rFonts w:hint="eastAsia"/>
                      <w:color w:val="auto"/>
                      <w:vertAlign w:val="baseline"/>
                      <w:lang w:val="en-US" w:eastAsia="zh-CN"/>
                    </w:rPr>
                    <w:t>/</w:t>
                  </w:r>
                  <w:r>
                    <w:rPr>
                      <w:rFonts w:hint="eastAsia"/>
                      <w:i/>
                      <w:iCs/>
                      <w:color w:val="auto"/>
                      <w:vertAlign w:val="baseline"/>
                      <w:lang w:val="en-US" w:eastAsia="zh-CN"/>
                    </w:rPr>
                    <w:t>Q</w:t>
                  </w:r>
                </w:p>
              </w:tc>
            </w:tr>
            <w:tr w14:paraId="5F40B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653" w:type="dxa"/>
                  <w:vAlign w:val="center"/>
                </w:tcPr>
                <w:p w14:paraId="30FAD1ED">
                  <w:pPr>
                    <w:pStyle w:val="17"/>
                    <w:jc w:val="center"/>
                    <w:rPr>
                      <w:rFonts w:hint="default"/>
                      <w:color w:val="auto"/>
                      <w:vertAlign w:val="baseline"/>
                      <w:lang w:val="en-US" w:eastAsia="zh-CN"/>
                    </w:rPr>
                  </w:pPr>
                  <w:r>
                    <w:rPr>
                      <w:rFonts w:hint="eastAsia"/>
                      <w:color w:val="auto"/>
                      <w:vertAlign w:val="baseline"/>
                      <w:lang w:val="en-US" w:eastAsia="zh-CN"/>
                    </w:rPr>
                    <w:t>1</w:t>
                  </w:r>
                </w:p>
              </w:tc>
              <w:tc>
                <w:tcPr>
                  <w:tcW w:w="1525" w:type="dxa"/>
                  <w:vAlign w:val="center"/>
                </w:tcPr>
                <w:p w14:paraId="6C4C1BA9">
                  <w:pPr>
                    <w:pStyle w:val="17"/>
                    <w:jc w:val="center"/>
                    <w:rPr>
                      <w:rFonts w:hint="default"/>
                      <w:color w:val="auto"/>
                      <w:vertAlign w:val="baseline"/>
                      <w:lang w:val="en-US" w:eastAsia="zh-CN"/>
                    </w:rPr>
                  </w:pPr>
                  <w:r>
                    <w:rPr>
                      <w:rFonts w:hint="eastAsia"/>
                      <w:color w:val="auto"/>
                      <w:vertAlign w:val="baseline"/>
                      <w:lang w:val="en-US" w:eastAsia="zh-CN"/>
                    </w:rPr>
                    <w:t>机油</w:t>
                  </w:r>
                </w:p>
              </w:tc>
              <w:tc>
                <w:tcPr>
                  <w:tcW w:w="1300" w:type="dxa"/>
                  <w:vAlign w:val="center"/>
                </w:tcPr>
                <w:p w14:paraId="4E99820D">
                  <w:pPr>
                    <w:pStyle w:val="17"/>
                    <w:jc w:val="center"/>
                    <w:rPr>
                      <w:rFonts w:hint="default"/>
                      <w:color w:val="auto"/>
                      <w:vertAlign w:val="baseline"/>
                      <w:lang w:val="en-US" w:eastAsia="zh-CN"/>
                    </w:rPr>
                  </w:pPr>
                  <w:r>
                    <w:rPr>
                      <w:rFonts w:hint="eastAsia"/>
                      <w:color w:val="auto"/>
                      <w:vertAlign w:val="baseline"/>
                      <w:lang w:val="en-US" w:eastAsia="zh-CN"/>
                    </w:rPr>
                    <w:t>生产厂房1#</w:t>
                  </w:r>
                </w:p>
              </w:tc>
              <w:tc>
                <w:tcPr>
                  <w:tcW w:w="1925" w:type="dxa"/>
                  <w:vAlign w:val="center"/>
                </w:tcPr>
                <w:p w14:paraId="60678C4D">
                  <w:pPr>
                    <w:pStyle w:val="17"/>
                    <w:jc w:val="center"/>
                    <w:rPr>
                      <w:rFonts w:hint="default"/>
                      <w:color w:val="auto"/>
                      <w:vertAlign w:val="baseline"/>
                      <w:lang w:val="en-US" w:eastAsia="zh-CN"/>
                    </w:rPr>
                  </w:pPr>
                  <w:r>
                    <w:rPr>
                      <w:rFonts w:hint="eastAsia"/>
                      <w:color w:val="auto"/>
                      <w:vertAlign w:val="baseline"/>
                      <w:lang w:val="en-US" w:eastAsia="zh-CN"/>
                    </w:rPr>
                    <w:t>0.5</w:t>
                  </w:r>
                </w:p>
              </w:tc>
              <w:tc>
                <w:tcPr>
                  <w:tcW w:w="1612" w:type="dxa"/>
                  <w:vAlign w:val="center"/>
                </w:tcPr>
                <w:p w14:paraId="4E270F08">
                  <w:pPr>
                    <w:pStyle w:val="17"/>
                    <w:jc w:val="center"/>
                    <w:rPr>
                      <w:rFonts w:hint="default"/>
                      <w:color w:val="auto"/>
                      <w:vertAlign w:val="baseline"/>
                      <w:lang w:val="en-US" w:eastAsia="zh-CN"/>
                    </w:rPr>
                  </w:pPr>
                  <w:r>
                    <w:rPr>
                      <w:rFonts w:hint="eastAsia"/>
                      <w:color w:val="auto"/>
                      <w:vertAlign w:val="baseline"/>
                      <w:lang w:val="en-US" w:eastAsia="zh-CN"/>
                    </w:rPr>
                    <w:t>2500</w:t>
                  </w:r>
                </w:p>
              </w:tc>
              <w:tc>
                <w:tcPr>
                  <w:tcW w:w="921" w:type="dxa"/>
                  <w:vAlign w:val="center"/>
                </w:tcPr>
                <w:p w14:paraId="12E3CB6C">
                  <w:pPr>
                    <w:pStyle w:val="17"/>
                    <w:jc w:val="center"/>
                    <w:rPr>
                      <w:rFonts w:hint="default"/>
                      <w:i w:val="0"/>
                      <w:iCs w:val="0"/>
                      <w:color w:val="auto"/>
                      <w:vertAlign w:val="baseline"/>
                      <w:lang w:val="en-US" w:eastAsia="zh-CN"/>
                    </w:rPr>
                  </w:pPr>
                  <w:r>
                    <w:rPr>
                      <w:rFonts w:hint="eastAsia"/>
                      <w:i w:val="0"/>
                      <w:iCs w:val="0"/>
                      <w:color w:val="auto"/>
                      <w:vertAlign w:val="baseline"/>
                      <w:lang w:val="en-US" w:eastAsia="zh-CN"/>
                    </w:rPr>
                    <w:t>0.0002</w:t>
                  </w:r>
                </w:p>
              </w:tc>
            </w:tr>
            <w:tr w14:paraId="6AB27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10D6AB68">
                  <w:pPr>
                    <w:pStyle w:val="17"/>
                    <w:jc w:val="center"/>
                    <w:rPr>
                      <w:rFonts w:hint="default"/>
                      <w:color w:val="auto"/>
                      <w:vertAlign w:val="baseline"/>
                      <w:lang w:val="en-US" w:eastAsia="zh-CN"/>
                    </w:rPr>
                  </w:pPr>
                  <w:r>
                    <w:rPr>
                      <w:rFonts w:hint="eastAsia"/>
                      <w:color w:val="auto"/>
                      <w:vertAlign w:val="baseline"/>
                      <w:lang w:val="en-US" w:eastAsia="zh-CN"/>
                    </w:rPr>
                    <w:t>2</w:t>
                  </w:r>
                </w:p>
              </w:tc>
              <w:tc>
                <w:tcPr>
                  <w:tcW w:w="1525" w:type="dxa"/>
                  <w:vAlign w:val="center"/>
                </w:tcPr>
                <w:p w14:paraId="6C78A66D">
                  <w:pPr>
                    <w:pStyle w:val="17"/>
                    <w:jc w:val="center"/>
                    <w:rPr>
                      <w:rFonts w:hint="default"/>
                      <w:color w:val="auto"/>
                      <w:vertAlign w:val="baseline"/>
                      <w:lang w:val="en-US" w:eastAsia="zh-CN"/>
                    </w:rPr>
                  </w:pPr>
                  <w:r>
                    <w:rPr>
                      <w:rFonts w:hint="eastAsia"/>
                      <w:color w:val="auto"/>
                      <w:vertAlign w:val="baseline"/>
                      <w:lang w:val="en-US" w:eastAsia="zh-CN"/>
                    </w:rPr>
                    <w:t>废机油及油桶</w:t>
                  </w:r>
                </w:p>
              </w:tc>
              <w:tc>
                <w:tcPr>
                  <w:tcW w:w="1300" w:type="dxa"/>
                  <w:vMerge w:val="restart"/>
                  <w:vAlign w:val="center"/>
                </w:tcPr>
                <w:p w14:paraId="7C50B518">
                  <w:pPr>
                    <w:pStyle w:val="17"/>
                    <w:jc w:val="center"/>
                    <w:rPr>
                      <w:rFonts w:hint="default"/>
                      <w:color w:val="auto"/>
                      <w:vertAlign w:val="baseline"/>
                      <w:lang w:val="en-US" w:eastAsia="zh-CN"/>
                    </w:rPr>
                  </w:pPr>
                  <w:r>
                    <w:rPr>
                      <w:rFonts w:hint="eastAsia"/>
                      <w:color w:val="auto"/>
                      <w:vertAlign w:val="baseline"/>
                      <w:lang w:val="en-US" w:eastAsia="zh-CN"/>
                    </w:rPr>
                    <w:t>危废暂存间</w:t>
                  </w:r>
                </w:p>
              </w:tc>
              <w:tc>
                <w:tcPr>
                  <w:tcW w:w="1925" w:type="dxa"/>
                  <w:vAlign w:val="center"/>
                </w:tcPr>
                <w:p w14:paraId="76319994">
                  <w:pPr>
                    <w:pStyle w:val="17"/>
                    <w:jc w:val="center"/>
                    <w:rPr>
                      <w:rFonts w:hint="default"/>
                      <w:color w:val="auto"/>
                      <w:vertAlign w:val="baseline"/>
                      <w:lang w:val="en-US" w:eastAsia="zh-CN"/>
                    </w:rPr>
                  </w:pPr>
                  <w:r>
                    <w:rPr>
                      <w:rFonts w:hint="eastAsia"/>
                      <w:color w:val="auto"/>
                      <w:vertAlign w:val="baseline"/>
                      <w:lang w:val="en-US" w:eastAsia="zh-CN"/>
                    </w:rPr>
                    <w:t>0.5</w:t>
                  </w:r>
                </w:p>
              </w:tc>
              <w:tc>
                <w:tcPr>
                  <w:tcW w:w="1612" w:type="dxa"/>
                  <w:vAlign w:val="center"/>
                </w:tcPr>
                <w:p w14:paraId="379C802D">
                  <w:pPr>
                    <w:pStyle w:val="17"/>
                    <w:jc w:val="center"/>
                    <w:rPr>
                      <w:rFonts w:hint="default"/>
                      <w:color w:val="auto"/>
                      <w:vertAlign w:val="baseline"/>
                      <w:lang w:val="en-US" w:eastAsia="zh-CN"/>
                    </w:rPr>
                  </w:pPr>
                  <w:r>
                    <w:rPr>
                      <w:rFonts w:hint="eastAsia"/>
                      <w:color w:val="auto"/>
                      <w:vertAlign w:val="baseline"/>
                      <w:lang w:val="en-US" w:eastAsia="zh-CN"/>
                    </w:rPr>
                    <w:t>2500</w:t>
                  </w:r>
                </w:p>
              </w:tc>
              <w:tc>
                <w:tcPr>
                  <w:tcW w:w="921" w:type="dxa"/>
                  <w:vAlign w:val="center"/>
                </w:tcPr>
                <w:p w14:paraId="692B476A">
                  <w:pPr>
                    <w:pStyle w:val="17"/>
                    <w:jc w:val="center"/>
                    <w:rPr>
                      <w:rFonts w:hint="default"/>
                      <w:i w:val="0"/>
                      <w:iCs w:val="0"/>
                      <w:color w:val="auto"/>
                      <w:vertAlign w:val="baseline"/>
                      <w:lang w:val="en-US" w:eastAsia="zh-CN"/>
                    </w:rPr>
                  </w:pPr>
                  <w:r>
                    <w:rPr>
                      <w:rFonts w:hint="eastAsia"/>
                      <w:i w:val="0"/>
                      <w:iCs w:val="0"/>
                      <w:color w:val="auto"/>
                      <w:vertAlign w:val="baseline"/>
                      <w:lang w:val="en-US" w:eastAsia="zh-CN"/>
                    </w:rPr>
                    <w:t>0.0002</w:t>
                  </w:r>
                </w:p>
              </w:tc>
            </w:tr>
            <w:tr w14:paraId="5F912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2391970D">
                  <w:pPr>
                    <w:pStyle w:val="17"/>
                    <w:jc w:val="center"/>
                    <w:rPr>
                      <w:rFonts w:hint="default"/>
                      <w:color w:val="auto"/>
                      <w:vertAlign w:val="baseline"/>
                      <w:lang w:val="en-US" w:eastAsia="zh-CN"/>
                    </w:rPr>
                  </w:pPr>
                  <w:r>
                    <w:rPr>
                      <w:rFonts w:hint="eastAsia"/>
                      <w:color w:val="auto"/>
                      <w:vertAlign w:val="baseline"/>
                      <w:lang w:val="en-US" w:eastAsia="zh-CN"/>
                    </w:rPr>
                    <w:t>3</w:t>
                  </w:r>
                </w:p>
              </w:tc>
              <w:tc>
                <w:tcPr>
                  <w:tcW w:w="1525" w:type="dxa"/>
                  <w:vAlign w:val="center"/>
                </w:tcPr>
                <w:p w14:paraId="06729A0A">
                  <w:pPr>
                    <w:pStyle w:val="17"/>
                    <w:jc w:val="center"/>
                    <w:rPr>
                      <w:rFonts w:hint="default"/>
                      <w:color w:val="auto"/>
                      <w:vertAlign w:val="baseline"/>
                      <w:lang w:val="en-US" w:eastAsia="zh-CN"/>
                    </w:rPr>
                  </w:pPr>
                  <w:r>
                    <w:rPr>
                      <w:rFonts w:hint="eastAsia"/>
                      <w:color w:val="auto"/>
                      <w:vertAlign w:val="baseline"/>
                      <w:lang w:val="en-US" w:eastAsia="zh-CN"/>
                    </w:rPr>
                    <w:t>隔油渣</w:t>
                  </w:r>
                </w:p>
              </w:tc>
              <w:tc>
                <w:tcPr>
                  <w:tcW w:w="1300" w:type="dxa"/>
                  <w:vMerge w:val="continue"/>
                  <w:vAlign w:val="center"/>
                </w:tcPr>
                <w:p w14:paraId="3DB99301">
                  <w:pPr>
                    <w:pStyle w:val="17"/>
                    <w:jc w:val="center"/>
                    <w:rPr>
                      <w:rFonts w:hint="default"/>
                      <w:color w:val="auto"/>
                      <w:vertAlign w:val="baseline"/>
                      <w:lang w:val="en-US" w:eastAsia="zh-CN"/>
                    </w:rPr>
                  </w:pPr>
                </w:p>
              </w:tc>
              <w:tc>
                <w:tcPr>
                  <w:tcW w:w="1925" w:type="dxa"/>
                  <w:vAlign w:val="center"/>
                </w:tcPr>
                <w:p w14:paraId="091D17E9">
                  <w:pPr>
                    <w:pStyle w:val="17"/>
                    <w:jc w:val="center"/>
                    <w:rPr>
                      <w:rFonts w:hint="default"/>
                      <w:color w:val="auto"/>
                      <w:vertAlign w:val="baseline"/>
                      <w:lang w:val="en-US" w:eastAsia="zh-CN"/>
                    </w:rPr>
                  </w:pPr>
                  <w:r>
                    <w:rPr>
                      <w:rFonts w:hint="eastAsia"/>
                      <w:color w:val="auto"/>
                      <w:vertAlign w:val="baseline"/>
                      <w:lang w:val="en-US" w:eastAsia="zh-CN"/>
                    </w:rPr>
                    <w:t>0.2</w:t>
                  </w:r>
                </w:p>
              </w:tc>
              <w:tc>
                <w:tcPr>
                  <w:tcW w:w="1612" w:type="dxa"/>
                  <w:vAlign w:val="center"/>
                </w:tcPr>
                <w:p w14:paraId="1112BD18">
                  <w:pPr>
                    <w:pStyle w:val="17"/>
                    <w:jc w:val="center"/>
                    <w:rPr>
                      <w:rFonts w:hint="default"/>
                      <w:color w:val="auto"/>
                      <w:vertAlign w:val="baseline"/>
                      <w:lang w:val="en-US" w:eastAsia="zh-CN"/>
                    </w:rPr>
                  </w:pPr>
                  <w:r>
                    <w:rPr>
                      <w:rFonts w:hint="eastAsia"/>
                      <w:color w:val="auto"/>
                      <w:vertAlign w:val="baseline"/>
                      <w:lang w:val="en-US" w:eastAsia="zh-CN"/>
                    </w:rPr>
                    <w:t>50</w:t>
                  </w:r>
                </w:p>
              </w:tc>
              <w:tc>
                <w:tcPr>
                  <w:tcW w:w="921" w:type="dxa"/>
                  <w:vAlign w:val="center"/>
                </w:tcPr>
                <w:p w14:paraId="3B215D68">
                  <w:pPr>
                    <w:pStyle w:val="17"/>
                    <w:jc w:val="center"/>
                    <w:rPr>
                      <w:rFonts w:hint="default"/>
                      <w:i w:val="0"/>
                      <w:iCs w:val="0"/>
                      <w:color w:val="auto"/>
                      <w:vertAlign w:val="baseline"/>
                      <w:lang w:val="en-US" w:eastAsia="zh-CN"/>
                    </w:rPr>
                  </w:pPr>
                  <w:r>
                    <w:rPr>
                      <w:rFonts w:hint="eastAsia"/>
                      <w:i w:val="0"/>
                      <w:iCs w:val="0"/>
                      <w:color w:val="auto"/>
                      <w:vertAlign w:val="baseline"/>
                      <w:lang w:val="en-US" w:eastAsia="zh-CN"/>
                    </w:rPr>
                    <w:t>0.004</w:t>
                  </w:r>
                </w:p>
              </w:tc>
            </w:tr>
            <w:tr w14:paraId="3AAF5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5" w:type="dxa"/>
                  <w:gridSpan w:val="5"/>
                  <w:vAlign w:val="center"/>
                </w:tcPr>
                <w:p w14:paraId="29E391A4">
                  <w:pPr>
                    <w:pStyle w:val="17"/>
                    <w:jc w:val="center"/>
                    <w:rPr>
                      <w:rFonts w:hint="default"/>
                      <w:color w:val="auto"/>
                      <w:vertAlign w:val="baseline"/>
                      <w:lang w:val="en-US" w:eastAsia="zh-CN"/>
                    </w:rPr>
                  </w:pPr>
                  <w:r>
                    <w:rPr>
                      <w:rFonts w:hint="eastAsia"/>
                      <w:color w:val="auto"/>
                      <w:vertAlign w:val="baseline"/>
                      <w:lang w:val="en-US" w:eastAsia="zh-CN"/>
                    </w:rPr>
                    <w:t>合计</w:t>
                  </w:r>
                </w:p>
              </w:tc>
              <w:tc>
                <w:tcPr>
                  <w:tcW w:w="921" w:type="dxa"/>
                  <w:vAlign w:val="center"/>
                </w:tcPr>
                <w:p w14:paraId="7061E388">
                  <w:pPr>
                    <w:pStyle w:val="17"/>
                    <w:jc w:val="center"/>
                    <w:rPr>
                      <w:rFonts w:hint="default"/>
                      <w:i w:val="0"/>
                      <w:iCs w:val="0"/>
                      <w:color w:val="auto"/>
                      <w:vertAlign w:val="baseline"/>
                      <w:lang w:val="en-US" w:eastAsia="zh-CN"/>
                    </w:rPr>
                  </w:pPr>
                  <w:r>
                    <w:rPr>
                      <w:rFonts w:hint="eastAsia"/>
                      <w:i w:val="0"/>
                      <w:iCs w:val="0"/>
                      <w:color w:val="auto"/>
                      <w:vertAlign w:val="baseline"/>
                      <w:lang w:val="en-US" w:eastAsia="zh-CN"/>
                    </w:rPr>
                    <w:t>0.0044</w:t>
                  </w:r>
                </w:p>
              </w:tc>
            </w:tr>
            <w:tr w14:paraId="20844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6" w:type="dxa"/>
                  <w:gridSpan w:val="6"/>
                  <w:vAlign w:val="center"/>
                </w:tcPr>
                <w:p w14:paraId="295CF40B">
                  <w:pPr>
                    <w:pStyle w:val="17"/>
                    <w:jc w:val="both"/>
                    <w:rPr>
                      <w:rFonts w:hint="default"/>
                      <w:i/>
                      <w:iCs/>
                      <w:color w:val="auto"/>
                      <w:vertAlign w:val="baseline"/>
                      <w:lang w:val="en-US" w:eastAsia="zh-CN"/>
                    </w:rPr>
                  </w:pPr>
                  <w:r>
                    <w:rPr>
                      <w:rFonts w:hint="eastAsia"/>
                      <w:i w:val="0"/>
                      <w:iCs w:val="0"/>
                      <w:color w:val="auto"/>
                      <w:vertAlign w:val="baseline"/>
                      <w:lang w:val="en-US" w:eastAsia="zh-CN"/>
                    </w:rPr>
                    <w:t>注：</w:t>
                  </w:r>
                  <w:r>
                    <w:rPr>
                      <w:rFonts w:hint="eastAsia"/>
                      <w:color w:val="auto"/>
                      <w:vertAlign w:val="baseline"/>
                      <w:lang w:val="en-US" w:eastAsia="zh-CN"/>
                    </w:rPr>
                    <w:t>隔油渣以急性健康危害物质计</w:t>
                  </w:r>
                </w:p>
              </w:tc>
            </w:tr>
          </w:tbl>
          <w:p w14:paraId="40A1F459">
            <w:pPr>
              <w:bidi w:val="0"/>
              <w:rPr>
                <w:rFonts w:hint="default"/>
                <w:color w:val="auto"/>
                <w:lang w:val="en-US" w:eastAsia="zh-CN"/>
              </w:rPr>
            </w:pPr>
            <w:r>
              <w:rPr>
                <w:rFonts w:hint="default"/>
                <w:color w:val="auto"/>
                <w:lang w:val="en-US" w:eastAsia="zh-CN"/>
              </w:rPr>
              <w:t>由上表可知，本项目</w:t>
            </w:r>
            <w:r>
              <w:rPr>
                <w:rFonts w:hint="eastAsia"/>
                <w:color w:val="auto"/>
                <w:lang w:val="en-US" w:eastAsia="zh-CN"/>
              </w:rPr>
              <w:t>改建</w:t>
            </w:r>
            <w:r>
              <w:rPr>
                <w:rFonts w:hint="default"/>
                <w:color w:val="auto"/>
                <w:lang w:val="en-US" w:eastAsia="zh-CN"/>
              </w:rPr>
              <w:t>完成后全厂危险物质</w:t>
            </w:r>
            <w:r>
              <w:rPr>
                <w:rFonts w:hint="eastAsia"/>
                <w:color w:val="auto"/>
                <w:lang w:val="en-US" w:eastAsia="zh-CN"/>
              </w:rPr>
              <w:t>质量</w:t>
            </w:r>
            <w:r>
              <w:rPr>
                <w:rFonts w:hint="default"/>
                <w:color w:val="auto"/>
                <w:lang w:val="en-US" w:eastAsia="zh-CN"/>
              </w:rPr>
              <w:t>与临界量比值Q为</w:t>
            </w:r>
            <w:r>
              <w:rPr>
                <w:rFonts w:hint="eastAsia"/>
                <w:color w:val="auto"/>
                <w:lang w:val="en-US" w:eastAsia="zh-CN"/>
              </w:rPr>
              <w:t>0.0044＜</w:t>
            </w:r>
            <w:r>
              <w:rPr>
                <w:rFonts w:hint="default"/>
                <w:color w:val="auto"/>
                <w:lang w:val="en-US" w:eastAsia="zh-CN"/>
              </w:rPr>
              <w:t>1，因此，环境风险潜势为I。根据《建设项目环境风险评价技术导则》（HJ</w:t>
            </w:r>
            <w:r>
              <w:rPr>
                <w:rFonts w:hint="eastAsia"/>
                <w:color w:val="auto"/>
                <w:lang w:val="en-US" w:eastAsia="zh-CN"/>
              </w:rPr>
              <w:t xml:space="preserve"> </w:t>
            </w:r>
            <w:r>
              <w:rPr>
                <w:rFonts w:hint="default"/>
                <w:color w:val="auto"/>
                <w:lang w:val="en-US" w:eastAsia="zh-CN"/>
              </w:rPr>
              <w:t>169-2018）评价工作等级划分要求，本项目环境风险开展简单分析。</w:t>
            </w:r>
          </w:p>
          <w:p w14:paraId="4F89A6EB">
            <w:pPr>
              <w:bidi w:val="0"/>
              <w:rPr>
                <w:rFonts w:hint="default"/>
                <w:color w:val="auto"/>
                <w:lang w:val="en-US" w:eastAsia="zh-CN"/>
              </w:rPr>
            </w:pPr>
            <w:r>
              <w:rPr>
                <w:rFonts w:hint="default"/>
                <w:color w:val="auto"/>
                <w:lang w:val="en-US" w:eastAsia="zh-CN"/>
              </w:rPr>
              <w:t>本项目</w:t>
            </w:r>
            <w:r>
              <w:rPr>
                <w:rFonts w:hint="eastAsia"/>
                <w:color w:val="auto"/>
                <w:lang w:val="en-US" w:eastAsia="zh-CN"/>
              </w:rPr>
              <w:t>改建</w:t>
            </w:r>
            <w:r>
              <w:rPr>
                <w:rFonts w:hint="default"/>
                <w:color w:val="auto"/>
                <w:lang w:val="en-US" w:eastAsia="zh-CN"/>
              </w:rPr>
              <w:t>完成后全厂可能出现的环境风险问题，主要表现在以下几个方面：</w:t>
            </w:r>
          </w:p>
          <w:p w14:paraId="7CC88239">
            <w:pPr>
              <w:bidi w:val="0"/>
              <w:rPr>
                <w:rFonts w:hint="default"/>
                <w:color w:val="auto"/>
                <w:lang w:val="en-US" w:eastAsia="zh-CN"/>
              </w:rPr>
            </w:pPr>
            <w:r>
              <w:rPr>
                <w:rFonts w:hint="default"/>
                <w:color w:val="auto"/>
                <w:lang w:val="en-US" w:eastAsia="zh-CN"/>
              </w:rPr>
              <w:t>①火灾、爆炸突发环境风险事件</w:t>
            </w:r>
          </w:p>
          <w:p w14:paraId="11BCB1BD">
            <w:pPr>
              <w:bidi w:val="0"/>
              <w:rPr>
                <w:rFonts w:hint="default"/>
                <w:color w:val="auto"/>
                <w:lang w:val="en-US" w:eastAsia="zh-CN"/>
              </w:rPr>
            </w:pPr>
            <w:r>
              <w:rPr>
                <w:rFonts w:hint="default"/>
                <w:color w:val="auto"/>
                <w:lang w:val="en-US" w:eastAsia="zh-CN"/>
              </w:rPr>
              <w:t>本项目</w:t>
            </w:r>
            <w:r>
              <w:rPr>
                <w:rFonts w:hint="eastAsia"/>
                <w:color w:val="auto"/>
                <w:lang w:val="en-US" w:eastAsia="zh-CN"/>
              </w:rPr>
              <w:t>改建</w:t>
            </w:r>
            <w:r>
              <w:rPr>
                <w:rFonts w:hint="default"/>
                <w:color w:val="auto"/>
                <w:lang w:val="en-US" w:eastAsia="zh-CN"/>
              </w:rPr>
              <w:t>完成后全厂涉及的易燃易爆危险物品主要是</w:t>
            </w:r>
            <w:r>
              <w:rPr>
                <w:rFonts w:hint="eastAsia"/>
                <w:color w:val="auto"/>
                <w:lang w:val="en-US" w:eastAsia="zh-CN"/>
              </w:rPr>
              <w:t>机油及危险废物</w:t>
            </w:r>
            <w:r>
              <w:rPr>
                <w:rFonts w:hint="default"/>
                <w:color w:val="auto"/>
                <w:lang w:val="en-US" w:eastAsia="zh-CN"/>
              </w:rPr>
              <w:t>，均为易燃物质，一旦这些易燃品泄漏且遇到明火或高热时就会发生火灾爆炸事故。具体影响途径如下：</w:t>
            </w:r>
          </w:p>
          <w:p w14:paraId="445F88FE">
            <w:pPr>
              <w:bidi w:val="0"/>
              <w:rPr>
                <w:rFonts w:hint="default"/>
                <w:color w:val="auto"/>
                <w:lang w:val="en-US" w:eastAsia="zh-CN"/>
              </w:rPr>
            </w:pPr>
            <w:r>
              <w:rPr>
                <w:rFonts w:hint="default"/>
                <w:color w:val="auto"/>
                <w:lang w:val="en-US" w:eastAsia="zh-CN"/>
              </w:rPr>
              <w:t>火灾爆炸事故燃烧产生烟尘、CO、SO</w:t>
            </w:r>
            <w:r>
              <w:rPr>
                <w:rFonts w:hint="default"/>
                <w:color w:val="auto"/>
                <w:vertAlign w:val="subscript"/>
                <w:lang w:val="en-US" w:eastAsia="zh-CN"/>
              </w:rPr>
              <w:t>2</w:t>
            </w:r>
            <w:r>
              <w:rPr>
                <w:rFonts w:hint="default"/>
                <w:color w:val="auto"/>
                <w:lang w:val="en-US" w:eastAsia="zh-CN"/>
              </w:rPr>
              <w:t>、NO</w:t>
            </w:r>
            <w:r>
              <w:rPr>
                <w:rFonts w:hint="default"/>
                <w:color w:val="auto"/>
                <w:vertAlign w:val="subscript"/>
                <w:lang w:val="en-US" w:eastAsia="zh-CN"/>
              </w:rPr>
              <w:t>2</w:t>
            </w:r>
            <w:r>
              <w:rPr>
                <w:rFonts w:hint="default"/>
                <w:color w:val="auto"/>
                <w:lang w:val="en-US" w:eastAsia="zh-CN"/>
              </w:rPr>
              <w:t>等污染空气，向空气排放污染物，会对企业周围的空气质量和居民带来一定影响；实施灭火的过程中，会产生大量的消防废水，若不能得到及时有效的处理，可能漫流出厂区或进入</w:t>
            </w:r>
            <w:r>
              <w:rPr>
                <w:rFonts w:hint="eastAsia"/>
                <w:color w:val="auto"/>
                <w:lang w:val="en-US" w:eastAsia="zh-CN"/>
              </w:rPr>
              <w:t>初期雨水池</w:t>
            </w:r>
            <w:r>
              <w:rPr>
                <w:rFonts w:hint="default"/>
                <w:color w:val="auto"/>
                <w:lang w:val="en-US" w:eastAsia="zh-CN"/>
              </w:rPr>
              <w:t>，影响周边地表水环境。</w:t>
            </w:r>
          </w:p>
          <w:p w14:paraId="042F6CF4">
            <w:pPr>
              <w:bidi w:val="0"/>
              <w:rPr>
                <w:rFonts w:hint="default"/>
                <w:color w:val="auto"/>
                <w:lang w:val="en-US" w:eastAsia="zh-CN"/>
              </w:rPr>
            </w:pPr>
            <w:r>
              <w:rPr>
                <w:rFonts w:hint="default"/>
                <w:color w:val="auto"/>
                <w:lang w:val="en-US" w:eastAsia="zh-CN"/>
              </w:rPr>
              <w:t>②危险废物泄漏突发环境风险事件</w:t>
            </w:r>
          </w:p>
          <w:p w14:paraId="136FC901">
            <w:pPr>
              <w:bidi w:val="0"/>
              <w:rPr>
                <w:rFonts w:hint="default"/>
                <w:color w:val="auto"/>
                <w:lang w:val="en-US" w:eastAsia="zh-CN"/>
              </w:rPr>
            </w:pPr>
            <w:r>
              <w:rPr>
                <w:rFonts w:hint="default"/>
                <w:color w:val="auto"/>
                <w:lang w:val="en-US" w:eastAsia="zh-CN"/>
              </w:rPr>
              <w:t>因人为存放不善、管理不规范、容器破裂、危废暂存间未规范建设等造成危险废物的泄漏，均会对周围大气环境、水体环境、土壤环境和人群的身体健康造成伤害。具体影响途径如下：</w:t>
            </w:r>
          </w:p>
          <w:p w14:paraId="19112DE6">
            <w:pPr>
              <w:bidi w:val="0"/>
              <w:rPr>
                <w:rFonts w:hint="default"/>
                <w:color w:val="auto"/>
                <w:lang w:val="en-US" w:eastAsia="zh-CN"/>
              </w:rPr>
            </w:pPr>
            <w:r>
              <w:rPr>
                <w:rFonts w:hint="default"/>
                <w:color w:val="auto"/>
                <w:lang w:val="en-US" w:eastAsia="zh-CN"/>
              </w:rPr>
              <w:t>地表水：危险废物运输过程若发生泄漏，则泄漏物料有可能进入水体。厂内储存过程如发生泄漏，则泄漏物料会进入</w:t>
            </w:r>
            <w:r>
              <w:rPr>
                <w:rFonts w:hint="eastAsia"/>
                <w:color w:val="auto"/>
                <w:lang w:val="en-US" w:eastAsia="zh-CN"/>
              </w:rPr>
              <w:t>初期雨水池或周边池塘，</w:t>
            </w:r>
            <w:r>
              <w:rPr>
                <w:rFonts w:hint="default"/>
                <w:color w:val="auto"/>
                <w:lang w:val="en-US" w:eastAsia="zh-CN"/>
              </w:rPr>
              <w:t>影响周边地表水环境。</w:t>
            </w:r>
          </w:p>
          <w:p w14:paraId="6ECC41CC">
            <w:pPr>
              <w:bidi w:val="0"/>
              <w:rPr>
                <w:rFonts w:hint="default"/>
                <w:color w:val="auto"/>
                <w:lang w:val="en-US" w:eastAsia="zh-CN"/>
              </w:rPr>
            </w:pPr>
            <w:r>
              <w:rPr>
                <w:rFonts w:hint="default"/>
                <w:color w:val="auto"/>
                <w:lang w:val="en-US" w:eastAsia="zh-CN"/>
              </w:rPr>
              <w:t>地下水和土壤：危险废物若处置不当，如露天堆放，则可能会对周边水体及土壤、地下水产生二次污染。同时，在危险废物转移过程中，如包装容器、废油桶发生破裂等原因导致危险废物遗失于环境中，则可能造成附近水体或土壤污染。</w:t>
            </w:r>
          </w:p>
          <w:p w14:paraId="7B90CD8D">
            <w:pPr>
              <w:bidi w:val="0"/>
              <w:rPr>
                <w:rFonts w:hint="default"/>
                <w:color w:val="auto"/>
                <w:lang w:val="en-US" w:eastAsia="zh-CN"/>
              </w:rPr>
            </w:pPr>
            <w:r>
              <w:rPr>
                <w:rFonts w:hint="default"/>
                <w:color w:val="auto"/>
                <w:lang w:val="en-US" w:eastAsia="zh-CN"/>
              </w:rPr>
              <w:t>（3）环境风险防范措施</w:t>
            </w:r>
          </w:p>
          <w:p w14:paraId="152AF205">
            <w:pPr>
              <w:bidi w:val="0"/>
              <w:rPr>
                <w:rFonts w:hint="default"/>
                <w:color w:val="auto"/>
                <w:lang w:val="en-US" w:eastAsia="zh-CN"/>
              </w:rPr>
            </w:pPr>
            <w:r>
              <w:rPr>
                <w:rFonts w:hint="default"/>
                <w:color w:val="auto"/>
                <w:lang w:val="en-US" w:eastAsia="zh-CN"/>
              </w:rPr>
              <w:t>对此，建设单位应采取以下风险防范措施：</w:t>
            </w:r>
          </w:p>
          <w:p w14:paraId="45F30254">
            <w:pPr>
              <w:bidi w:val="0"/>
              <w:rPr>
                <w:rFonts w:hint="default"/>
                <w:color w:val="auto"/>
                <w:lang w:val="en-US" w:eastAsia="zh-CN"/>
              </w:rPr>
            </w:pPr>
            <w:r>
              <w:rPr>
                <w:rFonts w:hint="default"/>
                <w:color w:val="auto"/>
                <w:lang w:val="en-US" w:eastAsia="zh-CN"/>
              </w:rPr>
              <w:t>①泄漏事故风险防范</w:t>
            </w:r>
            <w:r>
              <w:rPr>
                <w:rFonts w:hint="eastAsia"/>
                <w:color w:val="auto"/>
                <w:lang w:val="en-US" w:eastAsia="zh-CN"/>
              </w:rPr>
              <w:t>措施</w:t>
            </w:r>
          </w:p>
          <w:p w14:paraId="1A3F4E8E">
            <w:pPr>
              <w:bidi w:val="0"/>
              <w:rPr>
                <w:rFonts w:hint="default"/>
                <w:color w:val="auto"/>
                <w:lang w:val="en-US" w:eastAsia="zh-CN"/>
              </w:rPr>
            </w:pPr>
            <w:r>
              <w:rPr>
                <w:rFonts w:hint="default"/>
                <w:color w:val="auto"/>
                <w:lang w:val="en-US" w:eastAsia="zh-CN"/>
              </w:rPr>
              <w:t>I.</w:t>
            </w:r>
            <w:r>
              <w:rPr>
                <w:rFonts w:hint="eastAsia"/>
                <w:color w:val="auto"/>
                <w:lang w:val="en-US" w:eastAsia="zh-CN"/>
              </w:rPr>
              <w:t>矿物油</w:t>
            </w:r>
            <w:r>
              <w:rPr>
                <w:rFonts w:hint="default"/>
                <w:color w:val="auto"/>
                <w:lang w:val="en-US" w:eastAsia="zh-CN"/>
              </w:rPr>
              <w:t>油</w:t>
            </w:r>
            <w:r>
              <w:rPr>
                <w:rFonts w:hint="eastAsia"/>
                <w:color w:val="auto"/>
                <w:lang w:val="en-US" w:eastAsia="zh-CN"/>
              </w:rPr>
              <w:t>桶</w:t>
            </w:r>
            <w:r>
              <w:rPr>
                <w:rFonts w:hint="default"/>
                <w:color w:val="auto"/>
                <w:lang w:val="en-US" w:eastAsia="zh-CN"/>
              </w:rPr>
              <w:t>四周设置围堰，围堰容积远大于油料的最大储存量，且油</w:t>
            </w:r>
            <w:r>
              <w:rPr>
                <w:rFonts w:hint="eastAsia"/>
                <w:color w:val="auto"/>
                <w:lang w:val="en-US" w:eastAsia="zh-CN"/>
              </w:rPr>
              <w:t>桶</w:t>
            </w:r>
            <w:r>
              <w:rPr>
                <w:rFonts w:hint="default"/>
                <w:color w:val="auto"/>
                <w:lang w:val="en-US" w:eastAsia="zh-CN"/>
              </w:rPr>
              <w:t>地面为现浇混凝土地面，配套设置有干粉灭火器材、</w:t>
            </w:r>
            <w:r>
              <w:rPr>
                <w:rFonts w:hint="eastAsia"/>
                <w:color w:val="auto"/>
                <w:lang w:val="en-US" w:eastAsia="zh-CN"/>
              </w:rPr>
              <w:t>消防沙</w:t>
            </w:r>
            <w:r>
              <w:rPr>
                <w:rFonts w:hint="default"/>
                <w:color w:val="auto"/>
                <w:lang w:val="en-US" w:eastAsia="zh-CN"/>
              </w:rPr>
              <w:t>及防静电装置等，贴有警示标识。</w:t>
            </w:r>
          </w:p>
          <w:p w14:paraId="366B4EC2">
            <w:pPr>
              <w:bidi w:val="0"/>
              <w:rPr>
                <w:rFonts w:hint="default"/>
                <w:color w:val="auto"/>
                <w:lang w:val="en-US" w:eastAsia="zh-CN"/>
              </w:rPr>
            </w:pPr>
            <w:r>
              <w:rPr>
                <w:rFonts w:hint="default"/>
                <w:color w:val="auto"/>
                <w:lang w:val="en-US" w:eastAsia="zh-CN"/>
              </w:rPr>
              <w:t>II.</w:t>
            </w:r>
            <w:r>
              <w:rPr>
                <w:rFonts w:hint="eastAsia"/>
                <w:color w:val="auto"/>
                <w:lang w:val="en-US" w:eastAsia="zh-CN"/>
              </w:rPr>
              <w:t>危废暂存间设置</w:t>
            </w:r>
            <w:r>
              <w:rPr>
                <w:rFonts w:hint="default"/>
                <w:color w:val="auto"/>
                <w:lang w:val="en-US" w:eastAsia="zh-CN"/>
              </w:rPr>
              <w:t>围堰</w:t>
            </w:r>
            <w:r>
              <w:rPr>
                <w:rFonts w:hint="eastAsia"/>
                <w:color w:val="auto"/>
                <w:lang w:val="en-US" w:eastAsia="zh-CN"/>
              </w:rPr>
              <w:t>和托盘</w:t>
            </w:r>
            <w:r>
              <w:rPr>
                <w:rFonts w:hint="default"/>
                <w:color w:val="auto"/>
                <w:lang w:val="en-US" w:eastAsia="zh-CN"/>
              </w:rPr>
              <w:t>等环境风险防范措施。</w:t>
            </w:r>
          </w:p>
          <w:p w14:paraId="4D87F822">
            <w:pPr>
              <w:bidi w:val="0"/>
              <w:rPr>
                <w:rFonts w:hint="default"/>
                <w:color w:val="auto"/>
                <w:lang w:val="en-US" w:eastAsia="zh-CN"/>
              </w:rPr>
            </w:pPr>
            <w:r>
              <w:rPr>
                <w:rFonts w:hint="default"/>
                <w:color w:val="auto"/>
                <w:lang w:val="en-US" w:eastAsia="zh-CN"/>
              </w:rPr>
              <w:t>III.厂内的危险废物贮存场所按照《危险废物贮存污染控制标准》（GB</w:t>
            </w:r>
            <w:r>
              <w:rPr>
                <w:rFonts w:hint="eastAsia"/>
                <w:color w:val="auto"/>
                <w:lang w:val="en-US" w:eastAsia="zh-CN"/>
              </w:rPr>
              <w:t xml:space="preserve"> </w:t>
            </w:r>
            <w:r>
              <w:rPr>
                <w:rFonts w:hint="default"/>
                <w:color w:val="auto"/>
                <w:lang w:val="en-US" w:eastAsia="zh-CN"/>
              </w:rPr>
              <w:t>18597-2023）的规定做好防雨淋、防渗漏、防流失措施，危险废物收集后妥善贮存于危废贮存场所，定期委托有资质单位处置。同时，建设单位在危险废物转移过程中须严格执行转移制度，并做好记录台账，防止危险废物在转移过程中发生遗失事故。</w:t>
            </w:r>
          </w:p>
          <w:p w14:paraId="161B577A">
            <w:pPr>
              <w:bidi w:val="0"/>
              <w:rPr>
                <w:rFonts w:hint="default"/>
                <w:color w:val="auto"/>
                <w:lang w:val="en-US" w:eastAsia="zh-CN"/>
              </w:rPr>
            </w:pPr>
            <w:r>
              <w:rPr>
                <w:rFonts w:hint="default"/>
                <w:color w:val="auto"/>
                <w:lang w:val="en-US" w:eastAsia="zh-CN"/>
              </w:rPr>
              <w:t>IV.生产员工严格按照操作规程进行操作，防止泄漏等事故发生，专人负责对储存装置以及输送管道等设施定期进行保养，受损设备及时检修，防止跑、冒、滴、漏。</w:t>
            </w:r>
          </w:p>
          <w:p w14:paraId="0BBBB6F6">
            <w:pPr>
              <w:bidi w:val="0"/>
              <w:rPr>
                <w:rFonts w:hint="default"/>
                <w:color w:val="auto"/>
                <w:lang w:val="en-US" w:eastAsia="zh-CN"/>
              </w:rPr>
            </w:pPr>
            <w:r>
              <w:rPr>
                <w:rFonts w:hint="default"/>
                <w:color w:val="auto"/>
                <w:lang w:val="en-US" w:eastAsia="zh-CN"/>
              </w:rPr>
              <w:t>②火灾事故风险防范</w:t>
            </w:r>
            <w:r>
              <w:rPr>
                <w:rFonts w:hint="eastAsia"/>
                <w:color w:val="auto"/>
                <w:lang w:val="en-US" w:eastAsia="zh-CN"/>
              </w:rPr>
              <w:t>措施</w:t>
            </w:r>
          </w:p>
          <w:p w14:paraId="104FBCAC">
            <w:pPr>
              <w:bidi w:val="0"/>
              <w:rPr>
                <w:rFonts w:hint="default"/>
                <w:color w:val="auto"/>
                <w:lang w:val="en-US" w:eastAsia="zh-CN"/>
              </w:rPr>
            </w:pPr>
            <w:r>
              <w:rPr>
                <w:rFonts w:hint="default"/>
                <w:color w:val="auto"/>
                <w:lang w:val="en-US" w:eastAsia="zh-CN"/>
              </w:rPr>
              <w:t>I.应严格按照国家有关消防的规定，制定消防灭火应急预案，建立自动灭火系统，配备足够的消防设备和消防器材。一切消防器材不准挪动、乱用，并要定期检查，确保能正常使用，并设置烟雾报警器等应急装置，以便及时发现火灾；</w:t>
            </w:r>
          </w:p>
          <w:p w14:paraId="6903D241">
            <w:pPr>
              <w:bidi w:val="0"/>
              <w:rPr>
                <w:rFonts w:hint="default"/>
                <w:color w:val="auto"/>
                <w:lang w:val="en-US" w:eastAsia="zh-CN"/>
              </w:rPr>
            </w:pPr>
            <w:r>
              <w:rPr>
                <w:rFonts w:hint="default"/>
                <w:color w:val="auto"/>
                <w:lang w:val="en-US" w:eastAsia="zh-CN"/>
              </w:rPr>
              <w:t>II.根据相关要求，加强对用电线路、设备的安全管理，做到专人管理、专人负责，电气设备及线路采用防爆型，发现电气隐患，立即以新代老排除，防止出现电气火灾事故；</w:t>
            </w:r>
          </w:p>
          <w:p w14:paraId="1B15FD10">
            <w:pPr>
              <w:bidi w:val="0"/>
              <w:rPr>
                <w:rFonts w:hint="default"/>
                <w:color w:val="auto"/>
                <w:lang w:val="en-US" w:eastAsia="zh-CN"/>
              </w:rPr>
            </w:pPr>
            <w:r>
              <w:rPr>
                <w:rFonts w:hint="default"/>
                <w:color w:val="auto"/>
                <w:lang w:val="en-US" w:eastAsia="zh-CN"/>
              </w:rPr>
              <w:t>III.</w:t>
            </w:r>
            <w:r>
              <w:rPr>
                <w:rFonts w:hint="eastAsia"/>
                <w:color w:val="auto"/>
                <w:lang w:val="en-US" w:eastAsia="zh-CN"/>
              </w:rPr>
              <w:t>矿物油库房</w:t>
            </w:r>
            <w:r>
              <w:rPr>
                <w:rFonts w:hint="default"/>
                <w:color w:val="auto"/>
                <w:lang w:val="en-US" w:eastAsia="zh-CN"/>
              </w:rPr>
              <w:t>配套设置有灭火器材及防静电装置等，制定严格的操作管理制度和对工人进行培训上岗，使其熟知灭火器材</w:t>
            </w:r>
            <w:r>
              <w:rPr>
                <w:rFonts w:hint="eastAsia"/>
                <w:color w:val="auto"/>
                <w:lang w:val="en-US" w:eastAsia="zh-CN"/>
              </w:rPr>
              <w:t>使用</w:t>
            </w:r>
            <w:r>
              <w:rPr>
                <w:rFonts w:hint="default"/>
                <w:color w:val="auto"/>
                <w:lang w:val="en-US" w:eastAsia="zh-CN"/>
              </w:rPr>
              <w:t>及防范应急措施</w:t>
            </w:r>
            <w:r>
              <w:rPr>
                <w:rFonts w:hint="eastAsia"/>
                <w:color w:val="auto"/>
                <w:lang w:val="en-US" w:eastAsia="zh-CN"/>
              </w:rPr>
              <w:t>。</w:t>
            </w:r>
          </w:p>
          <w:p w14:paraId="1084ACAF">
            <w:pPr>
              <w:bidi w:val="0"/>
              <w:rPr>
                <w:rFonts w:hint="default"/>
                <w:color w:val="auto"/>
                <w:lang w:val="en-US" w:eastAsia="zh-CN"/>
              </w:rPr>
            </w:pPr>
            <w:r>
              <w:rPr>
                <w:rFonts w:hint="default"/>
                <w:color w:val="auto"/>
                <w:lang w:val="en-US" w:eastAsia="zh-CN"/>
              </w:rPr>
              <w:t>（4）环境风险结论</w:t>
            </w:r>
          </w:p>
          <w:p w14:paraId="75D24B3B">
            <w:pPr>
              <w:bidi w:val="0"/>
              <w:rPr>
                <w:rFonts w:hint="default"/>
                <w:color w:val="auto"/>
                <w:lang w:val="en-US" w:eastAsia="zh-CN"/>
              </w:rPr>
            </w:pPr>
            <w:r>
              <w:rPr>
                <w:rFonts w:hint="default"/>
                <w:color w:val="auto"/>
                <w:lang w:val="en-US" w:eastAsia="zh-CN"/>
              </w:rPr>
              <w:t>建设单位在加强职工的安全生产教育，</w:t>
            </w:r>
            <w:r>
              <w:rPr>
                <w:rFonts w:hint="eastAsia"/>
                <w:color w:val="auto"/>
                <w:lang w:val="en-US" w:eastAsia="zh-CN"/>
              </w:rPr>
              <w:t>增强风险意识</w:t>
            </w:r>
            <w:r>
              <w:rPr>
                <w:rFonts w:hint="default"/>
                <w:color w:val="auto"/>
                <w:lang w:val="en-US" w:eastAsia="zh-CN"/>
              </w:rPr>
              <w:t>，做好风险防范措施的情况下，可最大限度地降低环境风险。一旦发生突发事件，也能最大限度地减少环境污染危害和财产的损失。</w:t>
            </w:r>
          </w:p>
          <w:p w14:paraId="7DC29CE5">
            <w:pPr>
              <w:bidi w:val="0"/>
              <w:rPr>
                <w:rFonts w:hint="default"/>
                <w:color w:val="auto"/>
                <w:lang w:val="en-US" w:eastAsia="zh-CN"/>
              </w:rPr>
            </w:pPr>
            <w:r>
              <w:rPr>
                <w:rFonts w:hint="default"/>
                <w:color w:val="auto"/>
                <w:lang w:val="en-US" w:eastAsia="zh-CN"/>
              </w:rPr>
              <w:t>综上所述，只要企业严格遵守安全操作规程和制度，加强安全管理，通过采取风险控制措施和应急响应，本项目环境风险是可控的。</w:t>
            </w:r>
          </w:p>
          <w:p w14:paraId="7EF70CF0">
            <w:pPr>
              <w:pStyle w:val="4"/>
              <w:bidi w:val="0"/>
              <w:rPr>
                <w:rFonts w:hint="eastAsia"/>
                <w:color w:val="auto"/>
                <w:lang w:val="en-US" w:eastAsia="zh-CN"/>
              </w:rPr>
            </w:pPr>
            <w:bookmarkStart w:id="510" w:name="_Toc19183"/>
            <w:bookmarkStart w:id="511" w:name="_Toc2604"/>
            <w:r>
              <w:rPr>
                <w:rFonts w:hint="eastAsia"/>
                <w:color w:val="auto"/>
                <w:lang w:val="en-US" w:eastAsia="zh-CN"/>
              </w:rPr>
              <w:t>9、“三本账”计算</w:t>
            </w:r>
            <w:bookmarkEnd w:id="510"/>
            <w:bookmarkEnd w:id="511"/>
          </w:p>
          <w:p w14:paraId="3ABE34D2">
            <w:pPr>
              <w:rPr>
                <w:rFonts w:hint="eastAsia"/>
                <w:color w:val="auto"/>
                <w:lang w:val="en-US" w:eastAsia="zh-CN"/>
              </w:rPr>
            </w:pPr>
            <w:r>
              <w:rPr>
                <w:rFonts w:hint="eastAsia"/>
                <w:color w:val="auto"/>
                <w:lang w:val="en-US" w:eastAsia="zh-CN"/>
              </w:rPr>
              <w:t>根据建设单位现有项目环评、验收及本项目工程分析，本项目改建前后“三本账”情况详见表4-15。</w:t>
            </w:r>
          </w:p>
          <w:p w14:paraId="7ED8E02D">
            <w:pPr>
              <w:pStyle w:val="18"/>
              <w:bidi w:val="0"/>
              <w:rPr>
                <w:rFonts w:hint="eastAsia"/>
                <w:color w:val="auto"/>
                <w:lang w:val="en-US" w:eastAsia="zh-CN"/>
              </w:rPr>
            </w:pPr>
            <w:r>
              <w:rPr>
                <w:rFonts w:hint="eastAsia"/>
                <w:color w:val="auto"/>
                <w:lang w:val="en-US" w:eastAsia="zh-CN"/>
              </w:rPr>
              <w:t>表4-15 改建完成后全厂“三本账”一览表（单位：t/a）</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2249"/>
              <w:gridCol w:w="1133"/>
              <w:gridCol w:w="1095"/>
              <w:gridCol w:w="1050"/>
              <w:gridCol w:w="1173"/>
            </w:tblGrid>
            <w:tr w14:paraId="3D7D5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8" w:type="pct"/>
                  <w:gridSpan w:val="2"/>
                  <w:vAlign w:val="center"/>
                </w:tcPr>
                <w:p w14:paraId="490F7851">
                  <w:pPr>
                    <w:pStyle w:val="17"/>
                    <w:jc w:val="center"/>
                    <w:rPr>
                      <w:rFonts w:hint="default"/>
                      <w:color w:val="auto"/>
                      <w:vertAlign w:val="baseline"/>
                      <w:lang w:val="en-US" w:eastAsia="zh-CN"/>
                    </w:rPr>
                  </w:pPr>
                  <w:r>
                    <w:rPr>
                      <w:rFonts w:hint="eastAsia"/>
                      <w:color w:val="auto"/>
                      <w:vertAlign w:val="baseline"/>
                      <w:lang w:val="en-US" w:eastAsia="zh-CN"/>
                    </w:rPr>
                    <w:t>污染物</w:t>
                  </w:r>
                </w:p>
              </w:tc>
              <w:tc>
                <w:tcPr>
                  <w:tcW w:w="708" w:type="pct"/>
                  <w:vAlign w:val="center"/>
                </w:tcPr>
                <w:p w14:paraId="5C72E839">
                  <w:pPr>
                    <w:pStyle w:val="17"/>
                    <w:jc w:val="center"/>
                    <w:rPr>
                      <w:rFonts w:hint="default"/>
                      <w:color w:val="auto"/>
                      <w:vertAlign w:val="baseline"/>
                      <w:lang w:val="en-US" w:eastAsia="zh-CN"/>
                    </w:rPr>
                  </w:pPr>
                  <w:r>
                    <w:rPr>
                      <w:rFonts w:hint="eastAsia"/>
                      <w:color w:val="auto"/>
                      <w:vertAlign w:val="baseline"/>
                      <w:lang w:val="en-US" w:eastAsia="zh-CN"/>
                    </w:rPr>
                    <w:t>现有工程排放量</w:t>
                  </w:r>
                </w:p>
              </w:tc>
              <w:tc>
                <w:tcPr>
                  <w:tcW w:w="684" w:type="pct"/>
                  <w:vAlign w:val="center"/>
                </w:tcPr>
                <w:p w14:paraId="623BE5F3">
                  <w:pPr>
                    <w:pStyle w:val="17"/>
                    <w:jc w:val="center"/>
                    <w:rPr>
                      <w:rFonts w:hint="default"/>
                      <w:color w:val="auto"/>
                      <w:vertAlign w:val="baseline"/>
                      <w:lang w:val="en-US" w:eastAsia="zh-CN"/>
                    </w:rPr>
                  </w:pPr>
                  <w:r>
                    <w:rPr>
                      <w:rFonts w:hint="eastAsia"/>
                      <w:color w:val="auto"/>
                      <w:vertAlign w:val="baseline"/>
                      <w:lang w:val="en-US" w:eastAsia="zh-CN"/>
                    </w:rPr>
                    <w:t>改建工程排放量</w:t>
                  </w:r>
                </w:p>
              </w:tc>
              <w:tc>
                <w:tcPr>
                  <w:tcW w:w="656" w:type="pct"/>
                  <w:vAlign w:val="center"/>
                </w:tcPr>
                <w:p w14:paraId="4CDAC7AC">
                  <w:pPr>
                    <w:pStyle w:val="17"/>
                    <w:jc w:val="center"/>
                    <w:rPr>
                      <w:rFonts w:hint="default"/>
                      <w:color w:val="auto"/>
                      <w:vertAlign w:val="baseline"/>
                      <w:lang w:val="en-US" w:eastAsia="zh-CN"/>
                    </w:rPr>
                  </w:pPr>
                  <w:r>
                    <w:rPr>
                      <w:rFonts w:hint="eastAsia"/>
                      <w:color w:val="auto"/>
                      <w:vertAlign w:val="baseline"/>
                      <w:lang w:val="en-US" w:eastAsia="zh-CN"/>
                    </w:rPr>
                    <w:t>总排放量</w:t>
                  </w:r>
                </w:p>
              </w:tc>
              <w:tc>
                <w:tcPr>
                  <w:tcW w:w="733" w:type="pct"/>
                  <w:vAlign w:val="center"/>
                </w:tcPr>
                <w:p w14:paraId="7C22D17D">
                  <w:pPr>
                    <w:pStyle w:val="17"/>
                    <w:jc w:val="center"/>
                    <w:rPr>
                      <w:rFonts w:hint="default"/>
                      <w:color w:val="auto"/>
                      <w:vertAlign w:val="baseline"/>
                      <w:lang w:val="en-US" w:eastAsia="zh-CN"/>
                    </w:rPr>
                  </w:pPr>
                  <w:r>
                    <w:rPr>
                      <w:rFonts w:hint="eastAsia"/>
                      <w:color w:val="auto"/>
                      <w:vertAlign w:val="baseline"/>
                      <w:lang w:val="en-US" w:eastAsia="zh-CN"/>
                    </w:rPr>
                    <w:t>变化量</w:t>
                  </w:r>
                </w:p>
              </w:tc>
            </w:tr>
            <w:tr w14:paraId="79F31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restart"/>
                  <w:vAlign w:val="center"/>
                </w:tcPr>
                <w:p w14:paraId="1A4F824B">
                  <w:pPr>
                    <w:pStyle w:val="17"/>
                    <w:jc w:val="center"/>
                    <w:rPr>
                      <w:rFonts w:hint="default"/>
                      <w:color w:val="auto"/>
                      <w:vertAlign w:val="baseline"/>
                      <w:lang w:val="en-US" w:eastAsia="zh-CN"/>
                    </w:rPr>
                  </w:pPr>
                  <w:r>
                    <w:rPr>
                      <w:rFonts w:hint="eastAsia"/>
                      <w:color w:val="auto"/>
                      <w:vertAlign w:val="baseline"/>
                      <w:lang w:val="en-US" w:eastAsia="zh-CN"/>
                    </w:rPr>
                    <w:t>气型污染源</w:t>
                  </w:r>
                </w:p>
              </w:tc>
              <w:tc>
                <w:tcPr>
                  <w:tcW w:w="1405" w:type="pct"/>
                  <w:vAlign w:val="center"/>
                </w:tcPr>
                <w:p w14:paraId="48DE6614">
                  <w:pPr>
                    <w:pStyle w:val="17"/>
                    <w:jc w:val="center"/>
                    <w:rPr>
                      <w:rFonts w:hint="default"/>
                      <w:color w:val="auto"/>
                      <w:vertAlign w:val="baseline"/>
                      <w:lang w:val="en-US" w:eastAsia="zh-CN"/>
                    </w:rPr>
                  </w:pPr>
                  <w:r>
                    <w:rPr>
                      <w:rFonts w:hint="eastAsia"/>
                      <w:color w:val="auto"/>
                      <w:vertAlign w:val="baseline"/>
                      <w:lang w:val="en-US" w:eastAsia="zh-CN"/>
                    </w:rPr>
                    <w:t>颗粒物</w:t>
                  </w:r>
                </w:p>
              </w:tc>
              <w:tc>
                <w:tcPr>
                  <w:tcW w:w="708" w:type="pct"/>
                  <w:vAlign w:val="center"/>
                </w:tcPr>
                <w:p w14:paraId="50B39372">
                  <w:pPr>
                    <w:pStyle w:val="17"/>
                    <w:jc w:val="center"/>
                    <w:rPr>
                      <w:rFonts w:hint="default"/>
                      <w:color w:val="auto"/>
                      <w:vertAlign w:val="baseline"/>
                      <w:lang w:val="en-US" w:eastAsia="zh-CN"/>
                    </w:rPr>
                  </w:pPr>
                  <w:r>
                    <w:rPr>
                      <w:rFonts w:hint="eastAsia"/>
                      <w:color w:val="auto"/>
                      <w:vertAlign w:val="baseline"/>
                      <w:lang w:val="en-US" w:eastAsia="zh-CN"/>
                    </w:rPr>
                    <w:t>2.6425</w:t>
                  </w:r>
                </w:p>
              </w:tc>
              <w:tc>
                <w:tcPr>
                  <w:tcW w:w="684" w:type="pct"/>
                  <w:vAlign w:val="center"/>
                </w:tcPr>
                <w:p w14:paraId="2711CA58">
                  <w:pPr>
                    <w:pStyle w:val="17"/>
                    <w:jc w:val="center"/>
                    <w:rPr>
                      <w:rFonts w:hint="default"/>
                      <w:color w:val="auto"/>
                      <w:vertAlign w:val="baseline"/>
                      <w:lang w:val="en-US" w:eastAsia="zh-CN"/>
                    </w:rPr>
                  </w:pPr>
                  <w:r>
                    <w:rPr>
                      <w:rFonts w:hint="eastAsia"/>
                      <w:color w:val="auto"/>
                      <w:vertAlign w:val="baseline"/>
                      <w:lang w:val="en-US" w:eastAsia="zh-CN"/>
                    </w:rPr>
                    <w:t>0.4942</w:t>
                  </w:r>
                </w:p>
              </w:tc>
              <w:tc>
                <w:tcPr>
                  <w:tcW w:w="656" w:type="pct"/>
                  <w:vAlign w:val="center"/>
                </w:tcPr>
                <w:p w14:paraId="01704651">
                  <w:pPr>
                    <w:pStyle w:val="17"/>
                    <w:jc w:val="center"/>
                    <w:rPr>
                      <w:rFonts w:hint="default"/>
                      <w:color w:val="auto"/>
                      <w:vertAlign w:val="baseline"/>
                      <w:lang w:val="en-US" w:eastAsia="zh-CN"/>
                    </w:rPr>
                  </w:pPr>
                  <w:r>
                    <w:rPr>
                      <w:rFonts w:hint="eastAsia"/>
                      <w:color w:val="auto"/>
                      <w:vertAlign w:val="baseline"/>
                      <w:lang w:val="en-US" w:eastAsia="zh-CN"/>
                    </w:rPr>
                    <w:t>3.1367</w:t>
                  </w:r>
                </w:p>
              </w:tc>
              <w:tc>
                <w:tcPr>
                  <w:tcW w:w="733" w:type="pct"/>
                  <w:vAlign w:val="center"/>
                </w:tcPr>
                <w:p w14:paraId="3A7E28BD">
                  <w:pPr>
                    <w:pStyle w:val="17"/>
                    <w:jc w:val="center"/>
                    <w:rPr>
                      <w:rFonts w:hint="default"/>
                      <w:color w:val="auto"/>
                      <w:vertAlign w:val="baseline"/>
                      <w:lang w:val="en-US" w:eastAsia="zh-CN"/>
                    </w:rPr>
                  </w:pPr>
                  <w:r>
                    <w:rPr>
                      <w:rFonts w:hint="eastAsia"/>
                      <w:color w:val="auto"/>
                      <w:vertAlign w:val="baseline"/>
                      <w:lang w:val="en-US" w:eastAsia="zh-CN"/>
                    </w:rPr>
                    <w:t>+0.4942</w:t>
                  </w:r>
                </w:p>
              </w:tc>
            </w:tr>
            <w:tr w14:paraId="4AA6B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continue"/>
                  <w:vAlign w:val="center"/>
                </w:tcPr>
                <w:p w14:paraId="7292434A">
                  <w:pPr>
                    <w:pStyle w:val="17"/>
                    <w:jc w:val="center"/>
                    <w:rPr>
                      <w:rFonts w:hint="default"/>
                      <w:color w:val="auto"/>
                      <w:vertAlign w:val="baseline"/>
                      <w:lang w:val="en-US" w:eastAsia="zh-CN"/>
                    </w:rPr>
                  </w:pPr>
                </w:p>
              </w:tc>
              <w:tc>
                <w:tcPr>
                  <w:tcW w:w="1405" w:type="pct"/>
                  <w:vAlign w:val="center"/>
                </w:tcPr>
                <w:p w14:paraId="430C4DD3">
                  <w:pPr>
                    <w:pStyle w:val="17"/>
                    <w:jc w:val="center"/>
                    <w:rPr>
                      <w:rFonts w:hint="default"/>
                      <w:color w:val="auto"/>
                      <w:vertAlign w:val="baseline"/>
                      <w:lang w:val="en-US" w:eastAsia="zh-CN"/>
                    </w:rPr>
                  </w:pPr>
                  <w:r>
                    <w:rPr>
                      <w:rFonts w:hint="eastAsia"/>
                      <w:color w:val="auto"/>
                      <w:vertAlign w:val="baseline"/>
                      <w:lang w:val="en-US" w:eastAsia="zh-CN"/>
                    </w:rPr>
                    <w:t>食堂油烟</w:t>
                  </w:r>
                </w:p>
              </w:tc>
              <w:tc>
                <w:tcPr>
                  <w:tcW w:w="708" w:type="pct"/>
                  <w:vAlign w:val="center"/>
                </w:tcPr>
                <w:p w14:paraId="0F73BADE">
                  <w:pPr>
                    <w:pStyle w:val="17"/>
                    <w:jc w:val="center"/>
                    <w:rPr>
                      <w:rFonts w:hint="default"/>
                      <w:color w:val="auto"/>
                      <w:vertAlign w:val="baseline"/>
                      <w:lang w:val="en-US" w:eastAsia="zh-CN"/>
                    </w:rPr>
                  </w:pPr>
                  <w:r>
                    <w:rPr>
                      <w:rFonts w:hint="eastAsia"/>
                      <w:color w:val="auto"/>
                      <w:vertAlign w:val="baseline"/>
                      <w:lang w:val="en-US" w:eastAsia="zh-CN"/>
                    </w:rPr>
                    <w:t>0</w:t>
                  </w:r>
                </w:p>
              </w:tc>
              <w:tc>
                <w:tcPr>
                  <w:tcW w:w="684" w:type="pct"/>
                  <w:vAlign w:val="center"/>
                </w:tcPr>
                <w:p w14:paraId="0E9EFAB7">
                  <w:pPr>
                    <w:pStyle w:val="17"/>
                    <w:jc w:val="center"/>
                    <w:rPr>
                      <w:rFonts w:hint="default"/>
                      <w:color w:val="auto"/>
                      <w:vertAlign w:val="baseline"/>
                      <w:lang w:val="en-US" w:eastAsia="zh-CN"/>
                    </w:rPr>
                  </w:pPr>
                  <w:r>
                    <w:rPr>
                      <w:rFonts w:hint="eastAsia"/>
                      <w:color w:val="auto"/>
                      <w:vertAlign w:val="baseline"/>
                      <w:lang w:val="en-US" w:eastAsia="zh-CN"/>
                    </w:rPr>
                    <w:t>0.0014</w:t>
                  </w:r>
                </w:p>
              </w:tc>
              <w:tc>
                <w:tcPr>
                  <w:tcW w:w="656" w:type="pct"/>
                  <w:vAlign w:val="center"/>
                </w:tcPr>
                <w:p w14:paraId="3FCE7EF0">
                  <w:pPr>
                    <w:pStyle w:val="17"/>
                    <w:jc w:val="center"/>
                    <w:rPr>
                      <w:rFonts w:hint="default"/>
                      <w:color w:val="auto"/>
                      <w:vertAlign w:val="baseline"/>
                      <w:lang w:val="en-US" w:eastAsia="zh-CN"/>
                    </w:rPr>
                  </w:pPr>
                  <w:r>
                    <w:rPr>
                      <w:rFonts w:hint="eastAsia"/>
                      <w:color w:val="auto"/>
                      <w:vertAlign w:val="baseline"/>
                      <w:lang w:val="en-US" w:eastAsia="zh-CN"/>
                    </w:rPr>
                    <w:t>0.0014</w:t>
                  </w:r>
                </w:p>
              </w:tc>
              <w:tc>
                <w:tcPr>
                  <w:tcW w:w="733" w:type="pct"/>
                  <w:vAlign w:val="center"/>
                </w:tcPr>
                <w:p w14:paraId="4F51064C">
                  <w:pPr>
                    <w:pStyle w:val="17"/>
                    <w:jc w:val="center"/>
                    <w:rPr>
                      <w:rFonts w:hint="default"/>
                      <w:color w:val="auto"/>
                      <w:vertAlign w:val="baseline"/>
                      <w:lang w:val="en-US" w:eastAsia="zh-CN"/>
                    </w:rPr>
                  </w:pPr>
                  <w:r>
                    <w:rPr>
                      <w:rFonts w:hint="eastAsia"/>
                      <w:color w:val="auto"/>
                      <w:vertAlign w:val="baseline"/>
                      <w:lang w:val="en-US" w:eastAsia="zh-CN"/>
                    </w:rPr>
                    <w:t>+0.0014</w:t>
                  </w:r>
                </w:p>
              </w:tc>
            </w:tr>
            <w:tr w14:paraId="119E6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restart"/>
                  <w:vAlign w:val="center"/>
                </w:tcPr>
                <w:p w14:paraId="5217220D">
                  <w:pPr>
                    <w:pStyle w:val="17"/>
                    <w:jc w:val="center"/>
                    <w:rPr>
                      <w:rFonts w:hint="default"/>
                      <w:color w:val="auto"/>
                      <w:vertAlign w:val="baseline"/>
                      <w:lang w:val="en-US" w:eastAsia="zh-CN"/>
                    </w:rPr>
                  </w:pPr>
                  <w:r>
                    <w:rPr>
                      <w:rFonts w:hint="eastAsia"/>
                      <w:color w:val="auto"/>
                      <w:vertAlign w:val="baseline"/>
                      <w:lang w:val="en-US" w:eastAsia="zh-CN"/>
                    </w:rPr>
                    <w:t>水型污染源</w:t>
                  </w:r>
                </w:p>
              </w:tc>
              <w:tc>
                <w:tcPr>
                  <w:tcW w:w="1405" w:type="pct"/>
                  <w:vAlign w:val="center"/>
                </w:tcPr>
                <w:p w14:paraId="258DF8CB">
                  <w:pPr>
                    <w:pStyle w:val="17"/>
                    <w:jc w:val="center"/>
                    <w:rPr>
                      <w:rFonts w:hint="default"/>
                      <w:color w:val="auto"/>
                      <w:vertAlign w:val="baseline"/>
                      <w:lang w:val="en-US" w:eastAsia="zh-CN"/>
                    </w:rPr>
                  </w:pPr>
                  <w:r>
                    <w:rPr>
                      <w:rFonts w:hint="eastAsia"/>
                      <w:color w:val="auto"/>
                      <w:vertAlign w:val="baseline"/>
                      <w:lang w:val="en-US" w:eastAsia="zh-CN"/>
                    </w:rPr>
                    <w:t>生产废水排放量（m</w:t>
                  </w:r>
                  <w:r>
                    <w:rPr>
                      <w:rFonts w:hint="eastAsia"/>
                      <w:color w:val="auto"/>
                      <w:vertAlign w:val="superscript"/>
                      <w:lang w:val="en-US" w:eastAsia="zh-CN"/>
                    </w:rPr>
                    <w:t>3</w:t>
                  </w:r>
                  <w:r>
                    <w:rPr>
                      <w:rFonts w:hint="eastAsia"/>
                      <w:color w:val="auto"/>
                      <w:vertAlign w:val="baseline"/>
                      <w:lang w:val="en-US" w:eastAsia="zh-CN"/>
                    </w:rPr>
                    <w:t>/a）</w:t>
                  </w:r>
                </w:p>
              </w:tc>
              <w:tc>
                <w:tcPr>
                  <w:tcW w:w="708" w:type="pct"/>
                  <w:vAlign w:val="center"/>
                </w:tcPr>
                <w:p w14:paraId="10942CC7">
                  <w:pPr>
                    <w:pStyle w:val="17"/>
                    <w:jc w:val="center"/>
                    <w:rPr>
                      <w:rFonts w:hint="default"/>
                      <w:color w:val="auto"/>
                      <w:vertAlign w:val="baseline"/>
                      <w:lang w:val="en-US" w:eastAsia="zh-CN"/>
                    </w:rPr>
                  </w:pPr>
                  <w:r>
                    <w:rPr>
                      <w:rFonts w:hint="eastAsia"/>
                      <w:color w:val="auto"/>
                      <w:vertAlign w:val="baseline"/>
                      <w:lang w:val="en-US" w:eastAsia="zh-CN"/>
                    </w:rPr>
                    <w:t>0</w:t>
                  </w:r>
                </w:p>
              </w:tc>
              <w:tc>
                <w:tcPr>
                  <w:tcW w:w="684" w:type="pct"/>
                  <w:vAlign w:val="center"/>
                </w:tcPr>
                <w:p w14:paraId="396E58CB">
                  <w:pPr>
                    <w:pStyle w:val="17"/>
                    <w:jc w:val="center"/>
                    <w:rPr>
                      <w:rFonts w:hint="default"/>
                      <w:color w:val="auto"/>
                      <w:vertAlign w:val="baseline"/>
                      <w:lang w:val="en-US" w:eastAsia="zh-CN"/>
                    </w:rPr>
                  </w:pPr>
                  <w:r>
                    <w:rPr>
                      <w:rFonts w:hint="eastAsia"/>
                      <w:color w:val="auto"/>
                      <w:vertAlign w:val="baseline"/>
                      <w:lang w:val="en-US" w:eastAsia="zh-CN"/>
                    </w:rPr>
                    <w:t>0</w:t>
                  </w:r>
                </w:p>
              </w:tc>
              <w:tc>
                <w:tcPr>
                  <w:tcW w:w="656" w:type="pct"/>
                  <w:vAlign w:val="center"/>
                </w:tcPr>
                <w:p w14:paraId="692E7E9A">
                  <w:pPr>
                    <w:pStyle w:val="17"/>
                    <w:jc w:val="center"/>
                    <w:rPr>
                      <w:rFonts w:hint="default"/>
                      <w:color w:val="auto"/>
                      <w:vertAlign w:val="baseline"/>
                      <w:lang w:val="en-US" w:eastAsia="zh-CN"/>
                    </w:rPr>
                  </w:pPr>
                  <w:r>
                    <w:rPr>
                      <w:rFonts w:hint="eastAsia"/>
                      <w:color w:val="auto"/>
                      <w:vertAlign w:val="baseline"/>
                      <w:lang w:val="en-US" w:eastAsia="zh-CN"/>
                    </w:rPr>
                    <w:t>0</w:t>
                  </w:r>
                </w:p>
              </w:tc>
              <w:tc>
                <w:tcPr>
                  <w:tcW w:w="733" w:type="pct"/>
                  <w:vAlign w:val="center"/>
                </w:tcPr>
                <w:p w14:paraId="6B0B7595">
                  <w:pPr>
                    <w:pStyle w:val="17"/>
                    <w:jc w:val="center"/>
                    <w:rPr>
                      <w:rFonts w:hint="default"/>
                      <w:color w:val="auto"/>
                      <w:vertAlign w:val="baseline"/>
                      <w:lang w:val="en-US" w:eastAsia="zh-CN"/>
                    </w:rPr>
                  </w:pPr>
                  <w:r>
                    <w:rPr>
                      <w:rFonts w:hint="eastAsia"/>
                      <w:color w:val="auto"/>
                      <w:vertAlign w:val="baseline"/>
                      <w:lang w:val="en-US" w:eastAsia="zh-CN"/>
                    </w:rPr>
                    <w:t>0</w:t>
                  </w:r>
                </w:p>
              </w:tc>
            </w:tr>
            <w:tr w14:paraId="3444D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continue"/>
                  <w:vAlign w:val="center"/>
                </w:tcPr>
                <w:p w14:paraId="1A34155C">
                  <w:pPr>
                    <w:pStyle w:val="17"/>
                    <w:jc w:val="center"/>
                    <w:rPr>
                      <w:rFonts w:hint="eastAsia"/>
                      <w:color w:val="auto"/>
                      <w:vertAlign w:val="baseline"/>
                      <w:lang w:val="en-US" w:eastAsia="zh-CN"/>
                    </w:rPr>
                  </w:pPr>
                </w:p>
              </w:tc>
              <w:tc>
                <w:tcPr>
                  <w:tcW w:w="1405" w:type="pct"/>
                  <w:vAlign w:val="center"/>
                </w:tcPr>
                <w:p w14:paraId="02D5FC15">
                  <w:pPr>
                    <w:pStyle w:val="17"/>
                    <w:jc w:val="center"/>
                    <w:rPr>
                      <w:rFonts w:hint="default"/>
                      <w:color w:val="auto"/>
                      <w:vertAlign w:val="baseline"/>
                      <w:lang w:val="en-US" w:eastAsia="zh-CN"/>
                    </w:rPr>
                  </w:pPr>
                  <w:r>
                    <w:rPr>
                      <w:rFonts w:hint="eastAsia"/>
                      <w:color w:val="auto"/>
                      <w:vertAlign w:val="baseline"/>
                      <w:lang w:val="en-US" w:eastAsia="zh-CN"/>
                    </w:rPr>
                    <w:t>生活污水排放量（m</w:t>
                  </w:r>
                  <w:r>
                    <w:rPr>
                      <w:rFonts w:hint="eastAsia"/>
                      <w:color w:val="auto"/>
                      <w:vertAlign w:val="superscript"/>
                      <w:lang w:val="en-US" w:eastAsia="zh-CN"/>
                    </w:rPr>
                    <w:t>3</w:t>
                  </w:r>
                  <w:r>
                    <w:rPr>
                      <w:rFonts w:hint="eastAsia"/>
                      <w:color w:val="auto"/>
                      <w:vertAlign w:val="baseline"/>
                      <w:lang w:val="en-US" w:eastAsia="zh-CN"/>
                    </w:rPr>
                    <w:t>/a）</w:t>
                  </w:r>
                </w:p>
              </w:tc>
              <w:tc>
                <w:tcPr>
                  <w:tcW w:w="708" w:type="pct"/>
                  <w:vAlign w:val="center"/>
                </w:tcPr>
                <w:p w14:paraId="502E605B">
                  <w:pPr>
                    <w:pStyle w:val="17"/>
                    <w:jc w:val="center"/>
                    <w:rPr>
                      <w:rFonts w:hint="default"/>
                      <w:color w:val="auto"/>
                      <w:vertAlign w:val="baseline"/>
                      <w:lang w:val="en-US" w:eastAsia="zh-CN"/>
                    </w:rPr>
                  </w:pPr>
                  <w:r>
                    <w:rPr>
                      <w:rFonts w:hint="eastAsia"/>
                      <w:color w:val="auto"/>
                      <w:vertAlign w:val="baseline"/>
                      <w:lang w:val="en-US" w:eastAsia="zh-CN"/>
                    </w:rPr>
                    <w:t>0</w:t>
                  </w:r>
                </w:p>
              </w:tc>
              <w:tc>
                <w:tcPr>
                  <w:tcW w:w="684" w:type="pct"/>
                  <w:vAlign w:val="center"/>
                </w:tcPr>
                <w:p w14:paraId="272B87C1">
                  <w:pPr>
                    <w:pStyle w:val="17"/>
                    <w:jc w:val="center"/>
                    <w:rPr>
                      <w:rFonts w:hint="default"/>
                      <w:color w:val="auto"/>
                      <w:vertAlign w:val="baseline"/>
                      <w:lang w:val="en-US" w:eastAsia="zh-CN"/>
                    </w:rPr>
                  </w:pPr>
                  <w:r>
                    <w:rPr>
                      <w:rFonts w:hint="eastAsia"/>
                      <w:color w:val="auto"/>
                      <w:vertAlign w:val="baseline"/>
                      <w:lang w:val="en-US" w:eastAsia="zh-CN"/>
                    </w:rPr>
                    <w:t>0</w:t>
                  </w:r>
                </w:p>
              </w:tc>
              <w:tc>
                <w:tcPr>
                  <w:tcW w:w="656" w:type="pct"/>
                  <w:vAlign w:val="center"/>
                </w:tcPr>
                <w:p w14:paraId="16A09834">
                  <w:pPr>
                    <w:pStyle w:val="17"/>
                    <w:jc w:val="center"/>
                    <w:rPr>
                      <w:rFonts w:hint="default"/>
                      <w:color w:val="auto"/>
                      <w:vertAlign w:val="baseline"/>
                      <w:lang w:val="en-US" w:eastAsia="zh-CN"/>
                    </w:rPr>
                  </w:pPr>
                  <w:r>
                    <w:rPr>
                      <w:rFonts w:hint="eastAsia"/>
                      <w:color w:val="auto"/>
                      <w:vertAlign w:val="baseline"/>
                      <w:lang w:val="en-US" w:eastAsia="zh-CN"/>
                    </w:rPr>
                    <w:t>0</w:t>
                  </w:r>
                </w:p>
              </w:tc>
              <w:tc>
                <w:tcPr>
                  <w:tcW w:w="733" w:type="pct"/>
                  <w:vAlign w:val="center"/>
                </w:tcPr>
                <w:p w14:paraId="6D230DBB">
                  <w:pPr>
                    <w:pStyle w:val="17"/>
                    <w:jc w:val="center"/>
                    <w:rPr>
                      <w:rFonts w:hint="default"/>
                      <w:color w:val="auto"/>
                      <w:vertAlign w:val="baseline"/>
                      <w:lang w:val="en-US" w:eastAsia="zh-CN"/>
                    </w:rPr>
                  </w:pPr>
                  <w:r>
                    <w:rPr>
                      <w:rFonts w:hint="eastAsia"/>
                      <w:color w:val="auto"/>
                      <w:vertAlign w:val="baseline"/>
                      <w:lang w:val="en-US" w:eastAsia="zh-CN"/>
                    </w:rPr>
                    <w:t>0</w:t>
                  </w:r>
                </w:p>
              </w:tc>
            </w:tr>
            <w:tr w14:paraId="4E735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restart"/>
                  <w:vAlign w:val="center"/>
                </w:tcPr>
                <w:p w14:paraId="1DB70239">
                  <w:pPr>
                    <w:pStyle w:val="17"/>
                    <w:jc w:val="center"/>
                    <w:rPr>
                      <w:rFonts w:hint="eastAsia"/>
                      <w:color w:val="auto"/>
                      <w:vertAlign w:val="baseline"/>
                      <w:lang w:val="en-US" w:eastAsia="zh-CN"/>
                    </w:rPr>
                  </w:pPr>
                  <w:r>
                    <w:rPr>
                      <w:rFonts w:hint="eastAsia"/>
                      <w:color w:val="auto"/>
                      <w:vertAlign w:val="baseline"/>
                      <w:lang w:val="en-US" w:eastAsia="zh-CN"/>
                    </w:rPr>
                    <w:t>固废</w:t>
                  </w:r>
                </w:p>
                <w:p w14:paraId="2D01D0A9">
                  <w:pPr>
                    <w:pStyle w:val="17"/>
                    <w:jc w:val="center"/>
                    <w:rPr>
                      <w:rFonts w:hint="default"/>
                      <w:color w:val="auto"/>
                      <w:vertAlign w:val="baseline"/>
                      <w:lang w:val="en-US" w:eastAsia="zh-CN"/>
                    </w:rPr>
                  </w:pPr>
                  <w:r>
                    <w:rPr>
                      <w:rFonts w:hint="eastAsia"/>
                      <w:color w:val="auto"/>
                      <w:vertAlign w:val="baseline"/>
                      <w:lang w:val="en-US" w:eastAsia="zh-CN"/>
                    </w:rPr>
                    <w:t>（产生量）</w:t>
                  </w:r>
                </w:p>
              </w:tc>
              <w:tc>
                <w:tcPr>
                  <w:tcW w:w="1405" w:type="pct"/>
                  <w:vAlign w:val="center"/>
                </w:tcPr>
                <w:p w14:paraId="0FE640BA">
                  <w:pPr>
                    <w:pStyle w:val="17"/>
                    <w:jc w:val="center"/>
                    <w:rPr>
                      <w:rFonts w:hint="default"/>
                      <w:color w:val="auto"/>
                      <w:vertAlign w:val="baseline"/>
                      <w:lang w:val="en-US" w:eastAsia="zh-CN"/>
                    </w:rPr>
                  </w:pPr>
                  <w:r>
                    <w:rPr>
                      <w:rFonts w:hint="eastAsia"/>
                      <w:color w:val="auto"/>
                      <w:vertAlign w:val="baseline"/>
                      <w:lang w:val="en-US" w:eastAsia="zh-CN"/>
                    </w:rPr>
                    <w:t>初期雨水池沉渣</w:t>
                  </w:r>
                </w:p>
              </w:tc>
              <w:tc>
                <w:tcPr>
                  <w:tcW w:w="708" w:type="pct"/>
                  <w:vAlign w:val="center"/>
                </w:tcPr>
                <w:p w14:paraId="11996823">
                  <w:pPr>
                    <w:pStyle w:val="17"/>
                    <w:jc w:val="center"/>
                    <w:rPr>
                      <w:rFonts w:hint="default"/>
                      <w:color w:val="auto"/>
                      <w:vertAlign w:val="baseline"/>
                      <w:lang w:val="en-US" w:eastAsia="zh-CN"/>
                    </w:rPr>
                  </w:pPr>
                  <w:r>
                    <w:rPr>
                      <w:rFonts w:hint="eastAsia"/>
                      <w:color w:val="auto"/>
                      <w:vertAlign w:val="baseline"/>
                      <w:lang w:val="en-US" w:eastAsia="zh-CN"/>
                    </w:rPr>
                    <w:t>2.145</w:t>
                  </w:r>
                </w:p>
              </w:tc>
              <w:tc>
                <w:tcPr>
                  <w:tcW w:w="684" w:type="pct"/>
                  <w:vAlign w:val="center"/>
                </w:tcPr>
                <w:p w14:paraId="23418E05">
                  <w:pPr>
                    <w:pStyle w:val="17"/>
                    <w:jc w:val="center"/>
                    <w:rPr>
                      <w:rFonts w:hint="default"/>
                      <w:color w:val="auto"/>
                      <w:vertAlign w:val="baseline"/>
                      <w:lang w:val="en-US" w:eastAsia="zh-CN"/>
                    </w:rPr>
                  </w:pPr>
                  <w:r>
                    <w:rPr>
                      <w:rFonts w:hint="eastAsia"/>
                      <w:color w:val="auto"/>
                      <w:vertAlign w:val="baseline"/>
                      <w:lang w:val="en-US" w:eastAsia="zh-CN"/>
                    </w:rPr>
                    <w:t>0</w:t>
                  </w:r>
                </w:p>
              </w:tc>
              <w:tc>
                <w:tcPr>
                  <w:tcW w:w="656" w:type="pct"/>
                  <w:vAlign w:val="center"/>
                </w:tcPr>
                <w:p w14:paraId="3A242391">
                  <w:pPr>
                    <w:pStyle w:val="17"/>
                    <w:jc w:val="center"/>
                    <w:rPr>
                      <w:rFonts w:hint="default"/>
                      <w:color w:val="auto"/>
                      <w:vertAlign w:val="baseline"/>
                      <w:lang w:val="en-US" w:eastAsia="zh-CN"/>
                    </w:rPr>
                  </w:pPr>
                  <w:r>
                    <w:rPr>
                      <w:rFonts w:hint="eastAsia"/>
                      <w:color w:val="auto"/>
                      <w:vertAlign w:val="baseline"/>
                      <w:lang w:val="en-US" w:eastAsia="zh-CN"/>
                    </w:rPr>
                    <w:t>2.145</w:t>
                  </w:r>
                </w:p>
              </w:tc>
              <w:tc>
                <w:tcPr>
                  <w:tcW w:w="733" w:type="pct"/>
                  <w:vAlign w:val="center"/>
                </w:tcPr>
                <w:p w14:paraId="4ADD1C87">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0</w:t>
                  </w:r>
                </w:p>
              </w:tc>
            </w:tr>
            <w:tr w14:paraId="2130A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continue"/>
                  <w:vAlign w:val="center"/>
                </w:tcPr>
                <w:p w14:paraId="3CDD073B">
                  <w:pPr>
                    <w:pStyle w:val="17"/>
                    <w:jc w:val="center"/>
                    <w:rPr>
                      <w:rFonts w:hint="eastAsia"/>
                      <w:color w:val="auto"/>
                      <w:vertAlign w:val="baseline"/>
                      <w:lang w:val="en-US" w:eastAsia="zh-CN"/>
                    </w:rPr>
                  </w:pPr>
                </w:p>
              </w:tc>
              <w:tc>
                <w:tcPr>
                  <w:tcW w:w="1405" w:type="pct"/>
                  <w:vAlign w:val="center"/>
                </w:tcPr>
                <w:p w14:paraId="20A34A07">
                  <w:pPr>
                    <w:pStyle w:val="17"/>
                    <w:jc w:val="center"/>
                    <w:rPr>
                      <w:rFonts w:hint="default"/>
                      <w:color w:val="auto"/>
                      <w:vertAlign w:val="baseline"/>
                      <w:lang w:val="en-US" w:eastAsia="zh-CN"/>
                    </w:rPr>
                  </w:pPr>
                  <w:r>
                    <w:rPr>
                      <w:rFonts w:hint="eastAsia"/>
                      <w:color w:val="auto"/>
                      <w:vertAlign w:val="baseline"/>
                      <w:lang w:val="en-US" w:eastAsia="zh-CN"/>
                    </w:rPr>
                    <w:t>除尘器粉尘</w:t>
                  </w:r>
                </w:p>
              </w:tc>
              <w:tc>
                <w:tcPr>
                  <w:tcW w:w="708" w:type="pct"/>
                  <w:vAlign w:val="center"/>
                </w:tcPr>
                <w:p w14:paraId="49BFC614">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179.7637</w:t>
                  </w:r>
                </w:p>
              </w:tc>
              <w:tc>
                <w:tcPr>
                  <w:tcW w:w="684" w:type="pct"/>
                  <w:vAlign w:val="center"/>
                </w:tcPr>
                <w:p w14:paraId="12E577B1">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112.2901</w:t>
                  </w:r>
                </w:p>
              </w:tc>
              <w:tc>
                <w:tcPr>
                  <w:tcW w:w="656" w:type="pct"/>
                  <w:vAlign w:val="center"/>
                </w:tcPr>
                <w:p w14:paraId="3B2D6273">
                  <w:pPr>
                    <w:pStyle w:val="17"/>
                    <w:ind w:firstLine="0" w:firstLineChars="0"/>
                    <w:jc w:val="center"/>
                    <w:rPr>
                      <w:rFonts w:hint="default"/>
                      <w:color w:val="auto"/>
                      <w:vertAlign w:val="baseline"/>
                      <w:lang w:val="en-US" w:eastAsia="zh-CN"/>
                    </w:rPr>
                  </w:pPr>
                  <w:r>
                    <w:rPr>
                      <w:rFonts w:hint="eastAsia"/>
                      <w:color w:val="auto"/>
                      <w:lang w:val="en-US" w:eastAsia="zh-CN"/>
                    </w:rPr>
                    <w:t>292.0538</w:t>
                  </w:r>
                </w:p>
              </w:tc>
              <w:tc>
                <w:tcPr>
                  <w:tcW w:w="733" w:type="pct"/>
                  <w:vAlign w:val="center"/>
                </w:tcPr>
                <w:p w14:paraId="017B457E">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+112.2901</w:t>
                  </w:r>
                </w:p>
              </w:tc>
            </w:tr>
            <w:tr w14:paraId="661F3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continue"/>
                  <w:vAlign w:val="center"/>
                </w:tcPr>
                <w:p w14:paraId="3EFCCF3F">
                  <w:pPr>
                    <w:pStyle w:val="17"/>
                    <w:jc w:val="center"/>
                    <w:rPr>
                      <w:rFonts w:hint="eastAsia"/>
                      <w:color w:val="auto"/>
                      <w:vertAlign w:val="baseline"/>
                      <w:lang w:val="en-US" w:eastAsia="zh-CN"/>
                    </w:rPr>
                  </w:pPr>
                </w:p>
              </w:tc>
              <w:tc>
                <w:tcPr>
                  <w:tcW w:w="1405" w:type="pct"/>
                  <w:vAlign w:val="center"/>
                </w:tcPr>
                <w:p w14:paraId="28CC44D3">
                  <w:pPr>
                    <w:pStyle w:val="17"/>
                    <w:jc w:val="center"/>
                    <w:rPr>
                      <w:rFonts w:hint="default"/>
                      <w:color w:val="auto"/>
                      <w:vertAlign w:val="baseline"/>
                      <w:lang w:val="en-US" w:eastAsia="zh-CN"/>
                    </w:rPr>
                  </w:pPr>
                  <w:r>
                    <w:rPr>
                      <w:rFonts w:hint="eastAsia"/>
                      <w:color w:val="auto"/>
                      <w:vertAlign w:val="baseline"/>
                      <w:lang w:val="en-US" w:eastAsia="zh-CN"/>
                    </w:rPr>
                    <w:t>除尘器废布袋</w:t>
                  </w:r>
                </w:p>
              </w:tc>
              <w:tc>
                <w:tcPr>
                  <w:tcW w:w="708" w:type="pct"/>
                  <w:vAlign w:val="center"/>
                </w:tcPr>
                <w:p w14:paraId="6B629A18">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0.3</w:t>
                  </w:r>
                </w:p>
              </w:tc>
              <w:tc>
                <w:tcPr>
                  <w:tcW w:w="684" w:type="pct"/>
                  <w:vAlign w:val="center"/>
                </w:tcPr>
                <w:p w14:paraId="750E5184">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0.6</w:t>
                  </w:r>
                </w:p>
              </w:tc>
              <w:tc>
                <w:tcPr>
                  <w:tcW w:w="656" w:type="pct"/>
                  <w:vAlign w:val="center"/>
                </w:tcPr>
                <w:p w14:paraId="10D18940">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0.9</w:t>
                  </w:r>
                </w:p>
              </w:tc>
              <w:tc>
                <w:tcPr>
                  <w:tcW w:w="733" w:type="pct"/>
                  <w:vAlign w:val="center"/>
                </w:tcPr>
                <w:p w14:paraId="15DD6481">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+0.6</w:t>
                  </w:r>
                </w:p>
              </w:tc>
            </w:tr>
            <w:tr w14:paraId="614F4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continue"/>
                  <w:vAlign w:val="center"/>
                </w:tcPr>
                <w:p w14:paraId="156E81FD">
                  <w:pPr>
                    <w:pStyle w:val="17"/>
                    <w:jc w:val="center"/>
                    <w:rPr>
                      <w:rFonts w:hint="eastAsia"/>
                      <w:color w:val="auto"/>
                      <w:vertAlign w:val="baseline"/>
                      <w:lang w:val="en-US" w:eastAsia="zh-CN"/>
                    </w:rPr>
                  </w:pPr>
                </w:p>
              </w:tc>
              <w:tc>
                <w:tcPr>
                  <w:tcW w:w="1405" w:type="pct"/>
                  <w:vAlign w:val="center"/>
                </w:tcPr>
                <w:p w14:paraId="07573E99">
                  <w:pPr>
                    <w:pStyle w:val="17"/>
                    <w:jc w:val="center"/>
                    <w:rPr>
                      <w:rFonts w:hint="default"/>
                      <w:color w:val="auto"/>
                      <w:vertAlign w:val="baseline"/>
                      <w:lang w:val="en-US" w:eastAsia="zh-CN"/>
                    </w:rPr>
                  </w:pPr>
                  <w:r>
                    <w:rPr>
                      <w:rFonts w:hint="eastAsia"/>
                      <w:color w:val="auto"/>
                      <w:vertAlign w:val="baseline"/>
                      <w:lang w:val="en-US" w:eastAsia="zh-CN"/>
                    </w:rPr>
                    <w:t>钢筋、木块、废塑料等</w:t>
                  </w:r>
                </w:p>
              </w:tc>
              <w:tc>
                <w:tcPr>
                  <w:tcW w:w="708" w:type="pct"/>
                  <w:vAlign w:val="center"/>
                </w:tcPr>
                <w:p w14:paraId="145BA5C7">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2400</w:t>
                  </w:r>
                </w:p>
              </w:tc>
              <w:tc>
                <w:tcPr>
                  <w:tcW w:w="684" w:type="pct"/>
                  <w:vAlign w:val="center"/>
                </w:tcPr>
                <w:p w14:paraId="469049D8">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0</w:t>
                  </w:r>
                </w:p>
              </w:tc>
              <w:tc>
                <w:tcPr>
                  <w:tcW w:w="656" w:type="pct"/>
                  <w:vAlign w:val="center"/>
                </w:tcPr>
                <w:p w14:paraId="1E1687D9">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2400</w:t>
                  </w:r>
                </w:p>
              </w:tc>
              <w:tc>
                <w:tcPr>
                  <w:tcW w:w="733" w:type="pct"/>
                  <w:vAlign w:val="center"/>
                </w:tcPr>
                <w:p w14:paraId="4C0CD0A8">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0</w:t>
                  </w:r>
                </w:p>
              </w:tc>
            </w:tr>
            <w:tr w14:paraId="55130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continue"/>
                  <w:vAlign w:val="center"/>
                </w:tcPr>
                <w:p w14:paraId="63AAB1A2">
                  <w:pPr>
                    <w:pStyle w:val="17"/>
                    <w:jc w:val="center"/>
                    <w:rPr>
                      <w:rFonts w:hint="eastAsia"/>
                      <w:color w:val="auto"/>
                      <w:vertAlign w:val="baseline"/>
                      <w:lang w:val="en-US" w:eastAsia="zh-CN"/>
                    </w:rPr>
                  </w:pPr>
                </w:p>
              </w:tc>
              <w:tc>
                <w:tcPr>
                  <w:tcW w:w="1405" w:type="pct"/>
                  <w:vAlign w:val="center"/>
                </w:tcPr>
                <w:p w14:paraId="65A1C8B8">
                  <w:pPr>
                    <w:pStyle w:val="17"/>
                    <w:jc w:val="center"/>
                    <w:rPr>
                      <w:rFonts w:hint="default"/>
                      <w:color w:val="auto"/>
                      <w:vertAlign w:val="baseline"/>
                      <w:lang w:val="en-US" w:eastAsia="zh-CN"/>
                    </w:rPr>
                  </w:pPr>
                  <w:r>
                    <w:rPr>
                      <w:rFonts w:hint="eastAsia"/>
                      <w:color w:val="auto"/>
                      <w:vertAlign w:val="baseline"/>
                      <w:lang w:val="en-US" w:eastAsia="zh-CN"/>
                    </w:rPr>
                    <w:t>成型养护固废</w:t>
                  </w:r>
                </w:p>
              </w:tc>
              <w:tc>
                <w:tcPr>
                  <w:tcW w:w="708" w:type="pct"/>
                  <w:vAlign w:val="center"/>
                </w:tcPr>
                <w:p w14:paraId="4FB08364">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0</w:t>
                  </w:r>
                </w:p>
              </w:tc>
              <w:tc>
                <w:tcPr>
                  <w:tcW w:w="684" w:type="pct"/>
                  <w:vAlign w:val="center"/>
                </w:tcPr>
                <w:p w14:paraId="4EB06901">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16.5375</w:t>
                  </w:r>
                </w:p>
              </w:tc>
              <w:tc>
                <w:tcPr>
                  <w:tcW w:w="656" w:type="pct"/>
                  <w:vAlign w:val="center"/>
                </w:tcPr>
                <w:p w14:paraId="3B586BD7">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16.5375</w:t>
                  </w:r>
                </w:p>
              </w:tc>
              <w:tc>
                <w:tcPr>
                  <w:tcW w:w="733" w:type="pct"/>
                  <w:vAlign w:val="center"/>
                </w:tcPr>
                <w:p w14:paraId="61DCC3CA">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+16.5375</w:t>
                  </w:r>
                </w:p>
              </w:tc>
            </w:tr>
            <w:tr w14:paraId="6C348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continue"/>
                  <w:vAlign w:val="center"/>
                </w:tcPr>
                <w:p w14:paraId="69487D9A">
                  <w:pPr>
                    <w:pStyle w:val="17"/>
                    <w:jc w:val="center"/>
                    <w:rPr>
                      <w:rFonts w:hint="eastAsia"/>
                      <w:color w:val="auto"/>
                      <w:vertAlign w:val="baseline"/>
                      <w:lang w:val="en-US" w:eastAsia="zh-CN"/>
                    </w:rPr>
                  </w:pPr>
                </w:p>
              </w:tc>
              <w:tc>
                <w:tcPr>
                  <w:tcW w:w="1405" w:type="pct"/>
                  <w:vAlign w:val="center"/>
                </w:tcPr>
                <w:p w14:paraId="1925021C">
                  <w:pPr>
                    <w:pStyle w:val="17"/>
                    <w:jc w:val="center"/>
                    <w:rPr>
                      <w:rFonts w:hint="default"/>
                      <w:color w:val="auto"/>
                      <w:vertAlign w:val="baseline"/>
                      <w:lang w:val="en-US" w:eastAsia="zh-CN"/>
                    </w:rPr>
                  </w:pPr>
                  <w:r>
                    <w:rPr>
                      <w:rFonts w:hint="eastAsia"/>
                      <w:color w:val="auto"/>
                      <w:vertAlign w:val="baseline"/>
                      <w:lang w:val="en-US" w:eastAsia="zh-CN"/>
                    </w:rPr>
                    <w:t>隔油渣</w:t>
                  </w:r>
                </w:p>
              </w:tc>
              <w:tc>
                <w:tcPr>
                  <w:tcW w:w="708" w:type="pct"/>
                  <w:vAlign w:val="center"/>
                </w:tcPr>
                <w:p w14:paraId="7B44071A">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0.2</w:t>
                  </w:r>
                </w:p>
              </w:tc>
              <w:tc>
                <w:tcPr>
                  <w:tcW w:w="684" w:type="pct"/>
                  <w:vAlign w:val="center"/>
                </w:tcPr>
                <w:p w14:paraId="628E3EC3">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0</w:t>
                  </w:r>
                </w:p>
              </w:tc>
              <w:tc>
                <w:tcPr>
                  <w:tcW w:w="656" w:type="pct"/>
                  <w:vAlign w:val="center"/>
                </w:tcPr>
                <w:p w14:paraId="25AE84DF">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0.2</w:t>
                  </w:r>
                </w:p>
              </w:tc>
              <w:tc>
                <w:tcPr>
                  <w:tcW w:w="733" w:type="pct"/>
                  <w:vAlign w:val="center"/>
                </w:tcPr>
                <w:p w14:paraId="379A105B">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0</w:t>
                  </w:r>
                </w:p>
              </w:tc>
            </w:tr>
            <w:tr w14:paraId="14C73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continue"/>
                  <w:vAlign w:val="center"/>
                </w:tcPr>
                <w:p w14:paraId="04658053">
                  <w:pPr>
                    <w:pStyle w:val="17"/>
                    <w:jc w:val="center"/>
                    <w:rPr>
                      <w:rFonts w:hint="eastAsia"/>
                      <w:color w:val="auto"/>
                      <w:vertAlign w:val="baseline"/>
                      <w:lang w:val="en-US" w:eastAsia="zh-CN"/>
                    </w:rPr>
                  </w:pPr>
                </w:p>
              </w:tc>
              <w:tc>
                <w:tcPr>
                  <w:tcW w:w="1405" w:type="pct"/>
                  <w:vAlign w:val="center"/>
                </w:tcPr>
                <w:p w14:paraId="7F95DDF0">
                  <w:pPr>
                    <w:pStyle w:val="17"/>
                    <w:jc w:val="center"/>
                    <w:rPr>
                      <w:rFonts w:hint="default"/>
                      <w:color w:val="auto"/>
                      <w:vertAlign w:val="baseline"/>
                      <w:lang w:val="en-US" w:eastAsia="zh-CN"/>
                    </w:rPr>
                  </w:pPr>
                  <w:r>
                    <w:rPr>
                      <w:rFonts w:hint="eastAsia"/>
                      <w:color w:val="auto"/>
                      <w:vertAlign w:val="baseline"/>
                      <w:lang w:val="en-US" w:eastAsia="zh-CN"/>
                    </w:rPr>
                    <w:t>废机油及油桶</w:t>
                  </w:r>
                </w:p>
              </w:tc>
              <w:tc>
                <w:tcPr>
                  <w:tcW w:w="708" w:type="pct"/>
                  <w:vAlign w:val="center"/>
                </w:tcPr>
                <w:p w14:paraId="6F27455D">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0</w:t>
                  </w:r>
                </w:p>
              </w:tc>
              <w:tc>
                <w:tcPr>
                  <w:tcW w:w="684" w:type="pct"/>
                  <w:vAlign w:val="center"/>
                </w:tcPr>
                <w:p w14:paraId="14B6A48C">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0.5</w:t>
                  </w:r>
                </w:p>
              </w:tc>
              <w:tc>
                <w:tcPr>
                  <w:tcW w:w="656" w:type="pct"/>
                  <w:vAlign w:val="center"/>
                </w:tcPr>
                <w:p w14:paraId="7580256C">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0.5</w:t>
                  </w:r>
                </w:p>
              </w:tc>
              <w:tc>
                <w:tcPr>
                  <w:tcW w:w="733" w:type="pct"/>
                  <w:vAlign w:val="center"/>
                </w:tcPr>
                <w:p w14:paraId="4316C401">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+0.5</w:t>
                  </w:r>
                </w:p>
              </w:tc>
            </w:tr>
            <w:tr w14:paraId="69CEA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continue"/>
                  <w:vAlign w:val="center"/>
                </w:tcPr>
                <w:p w14:paraId="6E9D2170">
                  <w:pPr>
                    <w:pStyle w:val="17"/>
                    <w:jc w:val="center"/>
                    <w:rPr>
                      <w:rFonts w:hint="eastAsia"/>
                      <w:color w:val="auto"/>
                      <w:vertAlign w:val="baseline"/>
                      <w:lang w:val="en-US" w:eastAsia="zh-CN"/>
                    </w:rPr>
                  </w:pPr>
                </w:p>
              </w:tc>
              <w:tc>
                <w:tcPr>
                  <w:tcW w:w="1405" w:type="pct"/>
                  <w:vAlign w:val="center"/>
                </w:tcPr>
                <w:p w14:paraId="7E052C07">
                  <w:pPr>
                    <w:pStyle w:val="17"/>
                    <w:jc w:val="center"/>
                    <w:rPr>
                      <w:rFonts w:hint="default"/>
                      <w:color w:val="auto"/>
                      <w:vertAlign w:val="baseline"/>
                      <w:lang w:val="en-US" w:eastAsia="zh-CN"/>
                    </w:rPr>
                  </w:pPr>
                  <w:r>
                    <w:rPr>
                      <w:rFonts w:hint="eastAsia"/>
                      <w:color w:val="auto"/>
                      <w:vertAlign w:val="baseline"/>
                      <w:lang w:val="en-US" w:eastAsia="zh-CN"/>
                    </w:rPr>
                    <w:t>生活垃圾</w:t>
                  </w:r>
                </w:p>
              </w:tc>
              <w:tc>
                <w:tcPr>
                  <w:tcW w:w="708" w:type="pct"/>
                  <w:vAlign w:val="center"/>
                </w:tcPr>
                <w:p w14:paraId="75EA32FD">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1.2</w:t>
                  </w:r>
                </w:p>
              </w:tc>
              <w:tc>
                <w:tcPr>
                  <w:tcW w:w="684" w:type="pct"/>
                  <w:vAlign w:val="center"/>
                </w:tcPr>
                <w:p w14:paraId="42600307">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5.55</w:t>
                  </w:r>
                </w:p>
              </w:tc>
              <w:tc>
                <w:tcPr>
                  <w:tcW w:w="656" w:type="pct"/>
                  <w:vAlign w:val="center"/>
                </w:tcPr>
                <w:p w14:paraId="0F3327BB">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6.75</w:t>
                  </w:r>
                </w:p>
              </w:tc>
              <w:tc>
                <w:tcPr>
                  <w:tcW w:w="733" w:type="pct"/>
                  <w:vAlign w:val="center"/>
                </w:tcPr>
                <w:p w14:paraId="34B18654">
                  <w:pPr>
                    <w:pStyle w:val="17"/>
                    <w:ind w:firstLine="0" w:firstLineChars="0"/>
                    <w:jc w:val="center"/>
                    <w:rPr>
                      <w:rFonts w:hint="default"/>
                      <w:color w:val="auto"/>
                      <w:vertAlign w:val="baseline"/>
                      <w:lang w:val="en-US" w:eastAsia="zh-CN"/>
                    </w:rPr>
                  </w:pPr>
                  <w:r>
                    <w:rPr>
                      <w:rFonts w:hint="eastAsia"/>
                      <w:color w:val="auto"/>
                      <w:vertAlign w:val="baseline"/>
                      <w:lang w:val="en-US" w:eastAsia="zh-CN"/>
                    </w:rPr>
                    <w:t>+5.55</w:t>
                  </w:r>
                </w:p>
              </w:tc>
            </w:tr>
          </w:tbl>
          <w:p w14:paraId="77C3EED8">
            <w:pPr>
              <w:pStyle w:val="17"/>
              <w:rPr>
                <w:rFonts w:hint="default"/>
                <w:color w:val="auto"/>
                <w:lang w:val="en-US" w:eastAsia="zh-CN"/>
              </w:rPr>
            </w:pPr>
          </w:p>
        </w:tc>
      </w:tr>
    </w:tbl>
    <w:p w14:paraId="70BC74E7">
      <w:pPr>
        <w:rPr>
          <w:rFonts w:hint="eastAsia"/>
          <w:color w:val="auto"/>
        </w:rPr>
      </w:pPr>
      <w:r>
        <w:rPr>
          <w:rFonts w:hint="eastAsia"/>
          <w:color w:val="auto"/>
        </w:rPr>
        <w:br w:type="page"/>
      </w:r>
    </w:p>
    <w:p w14:paraId="31797DBF">
      <w:pPr>
        <w:pStyle w:val="2"/>
        <w:bidi w:val="0"/>
        <w:rPr>
          <w:rFonts w:hint="eastAsia"/>
          <w:color w:val="auto"/>
        </w:rPr>
      </w:pPr>
      <w:bookmarkStart w:id="512" w:name="_Toc21295"/>
      <w:r>
        <w:rPr>
          <w:rFonts w:hint="eastAsia"/>
          <w:color w:val="auto"/>
        </w:rPr>
        <w:t>五、</w:t>
      </w:r>
      <w:bookmarkStart w:id="513" w:name="_Hlk54167917"/>
      <w:r>
        <w:rPr>
          <w:rFonts w:hint="eastAsia"/>
          <w:color w:val="auto"/>
        </w:rPr>
        <w:t>环境保护措施监督检查清单</w:t>
      </w:r>
      <w:bookmarkEnd w:id="512"/>
      <w:bookmarkEnd w:id="513"/>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7"/>
        <w:gridCol w:w="1512"/>
        <w:gridCol w:w="1313"/>
        <w:gridCol w:w="1912"/>
        <w:gridCol w:w="2786"/>
      </w:tblGrid>
      <w:tr w14:paraId="2A855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537"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EBD764A">
            <w:pPr>
              <w:pStyle w:val="17"/>
              <w:bidi w:val="0"/>
              <w:jc w:val="center"/>
              <w:rPr>
                <w:rFonts w:hint="eastAsia"/>
                <w:color w:val="auto"/>
              </w:rPr>
            </w:pPr>
          </w:p>
          <w:p w14:paraId="4134B4FB">
            <w:pPr>
              <w:pStyle w:val="17"/>
              <w:bidi w:val="0"/>
              <w:snapToGrid w:val="0"/>
              <w:ind w:firstLine="210" w:firstLineChars="100"/>
              <w:jc w:val="center"/>
              <w:rPr>
                <w:rFonts w:hint="eastAsia"/>
                <w:color w:val="auto"/>
              </w:rPr>
            </w:pPr>
          </w:p>
          <w:p w14:paraId="607D884F">
            <w:pPr>
              <w:pStyle w:val="17"/>
              <w:bidi w:val="0"/>
              <w:snapToGrid w:val="0"/>
              <w:jc w:val="center"/>
              <mc:AlternateContent>
                <mc:Choice Requires="wpsCustomData">
                  <wpsCustomData:diagonalParaType/>
                </mc:Choice>
              </mc:AlternateContent>
              <w:rPr>
                <w:color w:val="auto"/>
                <w:vertAlign w:val="baseline"/>
              </w:rPr>
            </w:pPr>
            <w:r>
              <w:rPr>
                <w:rFonts w:hint="eastAsia"/>
                <w:color w:val="auto"/>
              </w:rPr>
              <w:t>要素</w:t>
            </w:r>
          </w:p>
          <w:p w14:paraId="55C9F5BA">
            <w:pPr>
              <w:pStyle w:val="17"/>
              <w:bidi w:val="0"/>
              <w:jc w:val="center"/>
              <w:rPr>
                <w:color w:val="auto"/>
                <w:vertAlign w:val="baseline"/>
              </w:rPr>
            </w:pPr>
            <w:r>
              <w:rPr>
                <w:rFonts w:hint="eastAsia"/>
                <w:color w:val="auto"/>
              </w:rPr>
              <w:t>内容</w:t>
            </w:r>
          </w:p>
        </w:tc>
        <w:tc>
          <w:tcPr>
            <w:tcW w:w="1512" w:type="dxa"/>
            <w:vAlign w:val="center"/>
          </w:tcPr>
          <w:p w14:paraId="5B66A358">
            <w:pPr>
              <w:pStyle w:val="17"/>
              <w:bidi w:val="0"/>
              <w:ind w:firstLine="0" w:firstLineChars="0"/>
              <w:rPr>
                <w:color w:val="auto"/>
                <w:vertAlign w:val="baseline"/>
              </w:rPr>
            </w:pPr>
            <w:r>
              <w:rPr>
                <w:rFonts w:hint="eastAsia"/>
                <w:color w:val="auto"/>
              </w:rPr>
              <w:t>排放口</w:t>
            </w:r>
            <w:r>
              <w:rPr>
                <w:rFonts w:hint="eastAsia"/>
                <w:color w:val="auto"/>
                <w:lang w:eastAsia="zh-CN"/>
              </w:rPr>
              <w:t>（</w:t>
            </w:r>
            <w:r>
              <w:rPr>
                <w:rFonts w:hint="eastAsia"/>
                <w:color w:val="auto"/>
              </w:rPr>
              <w:t>编号、名称</w:t>
            </w:r>
            <w:r>
              <w:rPr>
                <w:rFonts w:hint="eastAsia"/>
                <w:color w:val="auto"/>
                <w:lang w:eastAsia="zh-CN"/>
              </w:rPr>
              <w:t>）</w:t>
            </w:r>
            <w:r>
              <w:rPr>
                <w:rFonts w:hint="eastAsia"/>
                <w:color w:val="auto"/>
              </w:rPr>
              <w:t>/污染源</w:t>
            </w:r>
          </w:p>
        </w:tc>
        <w:tc>
          <w:tcPr>
            <w:tcW w:w="1313" w:type="dxa"/>
            <w:vAlign w:val="center"/>
          </w:tcPr>
          <w:p w14:paraId="1C1A9D0F">
            <w:pPr>
              <w:pStyle w:val="17"/>
              <w:bidi w:val="0"/>
              <w:ind w:firstLine="0" w:firstLineChars="0"/>
              <w:rPr>
                <w:color w:val="auto"/>
                <w:vertAlign w:val="baseline"/>
              </w:rPr>
            </w:pPr>
            <w:r>
              <w:rPr>
                <w:rFonts w:hint="eastAsia"/>
                <w:color w:val="auto"/>
              </w:rPr>
              <w:t>污染物项目</w:t>
            </w:r>
          </w:p>
        </w:tc>
        <w:tc>
          <w:tcPr>
            <w:tcW w:w="1912" w:type="dxa"/>
            <w:vAlign w:val="center"/>
          </w:tcPr>
          <w:p w14:paraId="4D9F3BC0">
            <w:pPr>
              <w:pStyle w:val="17"/>
              <w:bidi w:val="0"/>
              <w:ind w:firstLine="0" w:firstLineChars="0"/>
              <w:rPr>
                <w:color w:val="auto"/>
                <w:vertAlign w:val="baseline"/>
              </w:rPr>
            </w:pPr>
            <w:r>
              <w:rPr>
                <w:rFonts w:hint="eastAsia"/>
                <w:color w:val="auto"/>
              </w:rPr>
              <w:t>环境保护措施</w:t>
            </w:r>
          </w:p>
        </w:tc>
        <w:tc>
          <w:tcPr>
            <w:tcW w:w="2786" w:type="dxa"/>
            <w:vAlign w:val="center"/>
          </w:tcPr>
          <w:p w14:paraId="708553EE">
            <w:pPr>
              <w:pStyle w:val="17"/>
              <w:bidi w:val="0"/>
              <w:ind w:firstLine="0" w:firstLineChars="0"/>
              <w:rPr>
                <w:color w:val="auto"/>
                <w:vertAlign w:val="baseline"/>
              </w:rPr>
            </w:pPr>
            <w:r>
              <w:rPr>
                <w:rFonts w:hint="eastAsia"/>
                <w:color w:val="auto"/>
              </w:rPr>
              <w:t>执行标准</w:t>
            </w:r>
          </w:p>
        </w:tc>
      </w:tr>
      <w:tr w14:paraId="50D37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vMerge w:val="restart"/>
            <w:vAlign w:val="center"/>
          </w:tcPr>
          <w:p w14:paraId="3075F123">
            <w:pPr>
              <w:pStyle w:val="17"/>
              <w:bidi w:val="0"/>
              <w:ind w:firstLine="0" w:firstLineChars="0"/>
              <w:rPr>
                <w:color w:val="auto"/>
                <w:vertAlign w:val="baseline"/>
              </w:rPr>
            </w:pPr>
            <w:r>
              <w:rPr>
                <w:rFonts w:hint="eastAsia"/>
                <w:color w:val="auto"/>
              </w:rPr>
              <w:t>大气环境</w:t>
            </w:r>
          </w:p>
        </w:tc>
        <w:tc>
          <w:tcPr>
            <w:tcW w:w="1512" w:type="dxa"/>
            <w:vAlign w:val="center"/>
          </w:tcPr>
          <w:p w14:paraId="6489E167">
            <w:pPr>
              <w:pStyle w:val="17"/>
              <w:bidi w:val="0"/>
              <w:ind w:firstLine="0" w:firstLineChars="0"/>
              <w:rPr>
                <w:color w:val="auto"/>
                <w:vertAlign w:val="baseline"/>
              </w:rPr>
            </w:pPr>
            <w:r>
              <w:rPr>
                <w:rFonts w:hint="eastAsia"/>
                <w:color w:val="auto"/>
                <w:lang w:val="en-US" w:eastAsia="zh-CN"/>
              </w:rPr>
              <w:t>DA001</w:t>
            </w:r>
          </w:p>
        </w:tc>
        <w:tc>
          <w:tcPr>
            <w:tcW w:w="1313" w:type="dxa"/>
            <w:vAlign w:val="center"/>
          </w:tcPr>
          <w:p w14:paraId="2318ACC6">
            <w:pPr>
              <w:pStyle w:val="17"/>
              <w:bidi w:val="0"/>
              <w:ind w:firstLine="0" w:firstLineChars="0"/>
              <w:rPr>
                <w:color w:val="auto"/>
                <w:vertAlign w:val="baseline"/>
              </w:rPr>
            </w:pPr>
            <w:r>
              <w:rPr>
                <w:rFonts w:hint="eastAsia"/>
                <w:color w:val="auto"/>
                <w:lang w:val="en-US" w:eastAsia="zh-CN"/>
              </w:rPr>
              <w:t>颗粒物</w:t>
            </w:r>
          </w:p>
        </w:tc>
        <w:tc>
          <w:tcPr>
            <w:tcW w:w="1912" w:type="dxa"/>
            <w:vAlign w:val="center"/>
          </w:tcPr>
          <w:p w14:paraId="2FFD2B30">
            <w:pPr>
              <w:pStyle w:val="17"/>
              <w:bidi w:val="0"/>
              <w:ind w:firstLine="0" w:firstLineChars="0"/>
              <w:jc w:val="center"/>
              <w:rPr>
                <w:color w:val="auto"/>
                <w:vertAlign w:val="baseline"/>
              </w:rPr>
            </w:pPr>
            <w:r>
              <w:rPr>
                <w:rFonts w:hint="eastAsia"/>
                <w:color w:val="auto"/>
                <w:lang w:val="en-US" w:eastAsia="zh-CN"/>
              </w:rPr>
              <w:t>集气罩+旋风除尘器+脉冲反吹袋式除尘器+15m高排气筒</w:t>
            </w:r>
          </w:p>
        </w:tc>
        <w:tc>
          <w:tcPr>
            <w:tcW w:w="2786" w:type="dxa"/>
            <w:vAlign w:val="center"/>
          </w:tcPr>
          <w:p w14:paraId="59125587">
            <w:pPr>
              <w:pStyle w:val="17"/>
              <w:bidi w:val="0"/>
              <w:ind w:firstLine="0" w:firstLineChars="0"/>
              <w:rPr>
                <w:color w:val="auto"/>
                <w:vertAlign w:val="baseline"/>
              </w:rPr>
            </w:pPr>
            <w:r>
              <w:rPr>
                <w:rFonts w:hint="eastAsia"/>
                <w:color w:val="auto"/>
              </w:rPr>
              <w:t>《大气污染物综合排放标准》（GB 16297-1996）</w:t>
            </w:r>
            <w:r>
              <w:rPr>
                <w:rFonts w:hint="eastAsia"/>
                <w:color w:val="auto"/>
                <w:lang w:val="en-US" w:eastAsia="zh-CN"/>
              </w:rPr>
              <w:t>表2中二级标准15m高排气筒排放限值</w:t>
            </w:r>
          </w:p>
        </w:tc>
      </w:tr>
      <w:tr w14:paraId="094D8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vMerge w:val="continue"/>
            <w:vAlign w:val="center"/>
          </w:tcPr>
          <w:p w14:paraId="292BEC2A">
            <w:pPr>
              <w:pStyle w:val="17"/>
              <w:bidi w:val="0"/>
              <w:ind w:firstLine="0" w:firstLineChars="0"/>
              <w:rPr>
                <w:rFonts w:hint="eastAsia"/>
                <w:color w:val="auto"/>
              </w:rPr>
            </w:pPr>
          </w:p>
        </w:tc>
        <w:tc>
          <w:tcPr>
            <w:tcW w:w="1512" w:type="dxa"/>
            <w:vAlign w:val="center"/>
          </w:tcPr>
          <w:p w14:paraId="4415BF58">
            <w:pPr>
              <w:pStyle w:val="17"/>
              <w:bidi w:val="0"/>
              <w:ind w:firstLine="0" w:firstLineChars="0"/>
              <w:rPr>
                <w:rFonts w:hint="default"/>
                <w:color w:val="auto"/>
                <w:lang w:val="en-US" w:eastAsia="zh-CN"/>
              </w:rPr>
            </w:pPr>
            <w:r>
              <w:rPr>
                <w:rFonts w:hint="eastAsia"/>
                <w:color w:val="auto"/>
                <w:lang w:val="en-US" w:eastAsia="zh-CN"/>
              </w:rPr>
              <w:t>DA002</w:t>
            </w:r>
          </w:p>
        </w:tc>
        <w:tc>
          <w:tcPr>
            <w:tcW w:w="1313" w:type="dxa"/>
            <w:vAlign w:val="center"/>
          </w:tcPr>
          <w:p w14:paraId="16874966">
            <w:pPr>
              <w:pStyle w:val="17"/>
              <w:bidi w:val="0"/>
              <w:ind w:firstLine="0" w:firstLineChars="0"/>
              <w:rPr>
                <w:rFonts w:hint="default"/>
                <w:color w:val="auto"/>
                <w:lang w:val="en-US" w:eastAsia="zh-CN"/>
              </w:rPr>
            </w:pPr>
            <w:r>
              <w:rPr>
                <w:rFonts w:hint="eastAsia"/>
                <w:color w:val="auto"/>
                <w:lang w:val="en-US" w:eastAsia="zh-CN"/>
              </w:rPr>
              <w:t>颗粒物</w:t>
            </w:r>
          </w:p>
        </w:tc>
        <w:tc>
          <w:tcPr>
            <w:tcW w:w="1912" w:type="dxa"/>
            <w:vAlign w:val="center"/>
          </w:tcPr>
          <w:p w14:paraId="730D9E57">
            <w:pPr>
              <w:pStyle w:val="17"/>
              <w:bidi w:val="0"/>
              <w:ind w:firstLine="0" w:firstLineChars="0"/>
              <w:jc w:val="center"/>
              <w:rPr>
                <w:rFonts w:hint="default"/>
                <w:color w:val="auto"/>
                <w:lang w:val="en-US" w:eastAsia="zh-CN"/>
              </w:rPr>
            </w:pPr>
            <w:r>
              <w:rPr>
                <w:rFonts w:hint="eastAsia"/>
                <w:color w:val="auto"/>
                <w:lang w:val="en-US" w:eastAsia="zh-CN"/>
              </w:rPr>
              <w:t>布袋除尘器+15m高排气筒</w:t>
            </w:r>
          </w:p>
        </w:tc>
        <w:tc>
          <w:tcPr>
            <w:tcW w:w="2786" w:type="dxa"/>
            <w:vAlign w:val="center"/>
          </w:tcPr>
          <w:p w14:paraId="6BB48997">
            <w:pPr>
              <w:pStyle w:val="17"/>
              <w:bidi w:val="0"/>
              <w:ind w:firstLine="0" w:firstLineChars="0"/>
              <w:rPr>
                <w:rFonts w:hint="default" w:eastAsia="宋体"/>
                <w:color w:val="auto"/>
                <w:lang w:val="en-US" w:eastAsia="zh-CN"/>
              </w:rPr>
            </w:pPr>
            <w:r>
              <w:rPr>
                <w:rFonts w:hint="eastAsia"/>
                <w:color w:val="auto"/>
                <w:lang w:eastAsia="zh-CN"/>
              </w:rPr>
              <w:t>《</w:t>
            </w:r>
            <w:r>
              <w:rPr>
                <w:rFonts w:hint="eastAsia"/>
                <w:color w:val="auto"/>
                <w:lang w:val="en-US" w:eastAsia="zh-CN"/>
              </w:rPr>
              <w:t>水泥工业大气污染物排放标准</w:t>
            </w:r>
            <w:r>
              <w:rPr>
                <w:rFonts w:hint="eastAsia"/>
                <w:color w:val="auto"/>
                <w:lang w:eastAsia="zh-CN"/>
              </w:rPr>
              <w:t>》（</w:t>
            </w:r>
            <w:r>
              <w:rPr>
                <w:rFonts w:hint="eastAsia"/>
                <w:color w:val="auto"/>
                <w:lang w:val="en-US" w:eastAsia="zh-CN"/>
              </w:rPr>
              <w:t>GB 4915-2013</w:t>
            </w:r>
            <w:r>
              <w:rPr>
                <w:rFonts w:hint="eastAsia"/>
                <w:color w:val="auto"/>
                <w:lang w:eastAsia="zh-CN"/>
              </w:rPr>
              <w:t>）</w:t>
            </w:r>
            <w:r>
              <w:rPr>
                <w:rFonts w:hint="eastAsia"/>
                <w:color w:val="auto"/>
                <w:lang w:val="en-US" w:eastAsia="zh-CN"/>
              </w:rPr>
              <w:t>表2中特别排放限值</w:t>
            </w:r>
          </w:p>
        </w:tc>
      </w:tr>
      <w:tr w14:paraId="1598D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vMerge w:val="continue"/>
            <w:vAlign w:val="center"/>
          </w:tcPr>
          <w:p w14:paraId="3ADFB457">
            <w:pPr>
              <w:pStyle w:val="17"/>
              <w:bidi w:val="0"/>
              <w:ind w:firstLine="0" w:firstLineChars="0"/>
              <w:rPr>
                <w:color w:val="auto"/>
                <w:vertAlign w:val="baseline"/>
              </w:rPr>
            </w:pPr>
          </w:p>
        </w:tc>
        <w:tc>
          <w:tcPr>
            <w:tcW w:w="1512" w:type="dxa"/>
            <w:vAlign w:val="center"/>
          </w:tcPr>
          <w:p w14:paraId="04A8AF81">
            <w:pPr>
              <w:pStyle w:val="17"/>
              <w:bidi w:val="0"/>
              <w:ind w:firstLine="0" w:firstLineChars="0"/>
              <w:rPr>
                <w:color w:val="auto"/>
                <w:vertAlign w:val="baseline"/>
              </w:rPr>
            </w:pPr>
            <w:r>
              <w:rPr>
                <w:rFonts w:hint="eastAsia"/>
                <w:color w:val="auto"/>
                <w:lang w:val="en-US" w:eastAsia="zh-CN"/>
              </w:rPr>
              <w:t>食堂油烟</w:t>
            </w:r>
          </w:p>
        </w:tc>
        <w:tc>
          <w:tcPr>
            <w:tcW w:w="1313" w:type="dxa"/>
            <w:vAlign w:val="center"/>
          </w:tcPr>
          <w:p w14:paraId="7833761A">
            <w:pPr>
              <w:pStyle w:val="17"/>
              <w:bidi w:val="0"/>
              <w:ind w:firstLine="0" w:firstLineChars="0"/>
              <w:rPr>
                <w:color w:val="auto"/>
                <w:vertAlign w:val="baseline"/>
              </w:rPr>
            </w:pPr>
            <w:r>
              <w:rPr>
                <w:rFonts w:hint="eastAsia"/>
                <w:color w:val="auto"/>
                <w:lang w:val="en-US" w:eastAsia="zh-CN"/>
              </w:rPr>
              <w:t>油烟</w:t>
            </w:r>
          </w:p>
        </w:tc>
        <w:tc>
          <w:tcPr>
            <w:tcW w:w="1912" w:type="dxa"/>
            <w:vAlign w:val="center"/>
          </w:tcPr>
          <w:p w14:paraId="5EAA25E9">
            <w:pPr>
              <w:pStyle w:val="17"/>
              <w:bidi w:val="0"/>
              <w:ind w:firstLine="0" w:firstLineChars="0"/>
              <w:jc w:val="center"/>
              <w:rPr>
                <w:color w:val="auto"/>
                <w:vertAlign w:val="baseline"/>
              </w:rPr>
            </w:pPr>
            <w:r>
              <w:rPr>
                <w:rFonts w:hint="eastAsia"/>
                <w:color w:val="auto"/>
                <w:lang w:val="en-US" w:eastAsia="zh-CN"/>
              </w:rPr>
              <w:t>油烟净化器+排烟竖井</w:t>
            </w:r>
          </w:p>
        </w:tc>
        <w:tc>
          <w:tcPr>
            <w:tcW w:w="2786" w:type="dxa"/>
            <w:vAlign w:val="center"/>
          </w:tcPr>
          <w:p w14:paraId="5274F9EA">
            <w:pPr>
              <w:pStyle w:val="17"/>
              <w:bidi w:val="0"/>
              <w:ind w:firstLine="0" w:firstLineChars="0"/>
              <w:rPr>
                <w:color w:val="auto"/>
                <w:vertAlign w:val="baseline"/>
              </w:rPr>
            </w:pPr>
            <w:r>
              <w:rPr>
                <w:rFonts w:hint="eastAsia"/>
                <w:color w:val="auto"/>
              </w:rPr>
              <w:t>《饮食业油烟排放标准（试行）》（GB 18483-2001）表2中小型规模标准</w:t>
            </w:r>
          </w:p>
        </w:tc>
      </w:tr>
      <w:tr w14:paraId="21D36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vMerge w:val="continue"/>
            <w:vAlign w:val="center"/>
          </w:tcPr>
          <w:p w14:paraId="59B5D901">
            <w:pPr>
              <w:pStyle w:val="17"/>
              <w:bidi w:val="0"/>
              <w:ind w:firstLine="0" w:firstLineChars="0"/>
              <w:rPr>
                <w:color w:val="auto"/>
                <w:vertAlign w:val="baseline"/>
              </w:rPr>
            </w:pPr>
          </w:p>
        </w:tc>
        <w:tc>
          <w:tcPr>
            <w:tcW w:w="1512" w:type="dxa"/>
            <w:vAlign w:val="center"/>
          </w:tcPr>
          <w:p w14:paraId="48769958">
            <w:pPr>
              <w:pStyle w:val="17"/>
              <w:bidi w:val="0"/>
              <w:ind w:firstLine="0" w:firstLineChars="0"/>
              <w:rPr>
                <w:rFonts w:hint="default"/>
                <w:color w:val="auto"/>
                <w:vertAlign w:val="baseline"/>
                <w:lang w:val="en-US"/>
              </w:rPr>
            </w:pPr>
            <w:r>
              <w:rPr>
                <w:rFonts w:hint="eastAsia"/>
                <w:color w:val="auto"/>
                <w:lang w:val="en-US" w:eastAsia="zh-CN"/>
              </w:rPr>
              <w:t>装卸粉尘</w:t>
            </w:r>
          </w:p>
        </w:tc>
        <w:tc>
          <w:tcPr>
            <w:tcW w:w="1313" w:type="dxa"/>
            <w:vAlign w:val="center"/>
          </w:tcPr>
          <w:p w14:paraId="5DD17987">
            <w:pPr>
              <w:pStyle w:val="17"/>
              <w:bidi w:val="0"/>
              <w:ind w:firstLine="0" w:firstLineChars="0"/>
              <w:rPr>
                <w:color w:val="auto"/>
                <w:vertAlign w:val="baseline"/>
              </w:rPr>
            </w:pPr>
            <w:r>
              <w:rPr>
                <w:rFonts w:hint="eastAsia"/>
                <w:color w:val="auto"/>
                <w:lang w:val="en-US" w:eastAsia="zh-CN"/>
              </w:rPr>
              <w:t>颗粒物</w:t>
            </w:r>
          </w:p>
        </w:tc>
        <w:tc>
          <w:tcPr>
            <w:tcW w:w="1912" w:type="dxa"/>
            <w:vMerge w:val="restart"/>
            <w:vAlign w:val="center"/>
          </w:tcPr>
          <w:p w14:paraId="11B6FFCD">
            <w:pPr>
              <w:pStyle w:val="17"/>
              <w:bidi w:val="0"/>
              <w:jc w:val="center"/>
              <w:rPr>
                <w:rFonts w:hint="eastAsia"/>
                <w:color w:val="auto"/>
                <w:lang w:val="en-US" w:eastAsia="zh-CN"/>
              </w:rPr>
            </w:pPr>
            <w:r>
              <w:rPr>
                <w:rFonts w:hint="eastAsia"/>
                <w:color w:val="auto"/>
                <w:lang w:val="en-US" w:eastAsia="zh-CN"/>
              </w:rPr>
              <w:t>①堆场设置三面围挡，围挡高度高于堆场高度；</w:t>
            </w:r>
          </w:p>
          <w:p w14:paraId="24936E40">
            <w:pPr>
              <w:pStyle w:val="17"/>
              <w:bidi w:val="0"/>
              <w:jc w:val="center"/>
              <w:rPr>
                <w:rFonts w:hint="eastAsia"/>
                <w:color w:val="auto"/>
                <w:lang w:val="en-US" w:eastAsia="zh-CN"/>
              </w:rPr>
            </w:pPr>
            <w:r>
              <w:rPr>
                <w:rFonts w:hint="eastAsia"/>
                <w:color w:val="auto"/>
                <w:lang w:val="en-US" w:eastAsia="zh-CN"/>
              </w:rPr>
              <w:t>②设置喷淋降尘，进行湿法抑尘；</w:t>
            </w:r>
          </w:p>
          <w:p w14:paraId="7F54AEE2">
            <w:pPr>
              <w:pStyle w:val="17"/>
              <w:bidi w:val="0"/>
              <w:ind w:firstLine="0" w:firstLineChars="0"/>
              <w:jc w:val="center"/>
              <w:rPr>
                <w:color w:val="auto"/>
                <w:vertAlign w:val="baseline"/>
              </w:rPr>
            </w:pPr>
            <w:r>
              <w:rPr>
                <w:rFonts w:hint="eastAsia"/>
                <w:color w:val="auto"/>
                <w:lang w:val="en-US" w:eastAsia="zh-CN"/>
              </w:rPr>
              <w:t>③加盖棚罩并在堆场硬化，减少扬尘产生</w:t>
            </w:r>
          </w:p>
        </w:tc>
        <w:tc>
          <w:tcPr>
            <w:tcW w:w="2786" w:type="dxa"/>
            <w:vMerge w:val="restart"/>
            <w:vAlign w:val="center"/>
          </w:tcPr>
          <w:p w14:paraId="282D5261">
            <w:pPr>
              <w:pStyle w:val="17"/>
              <w:bidi w:val="0"/>
              <w:ind w:firstLine="0" w:firstLineChars="0"/>
              <w:rPr>
                <w:color w:val="auto"/>
                <w:vertAlign w:val="baseline"/>
              </w:rPr>
            </w:pPr>
            <w:r>
              <w:rPr>
                <w:rFonts w:hint="eastAsia"/>
                <w:color w:val="auto"/>
              </w:rPr>
              <w:t>《大气污染物综合排放标准》（GB 16297-1996）表2中无组织排放监控浓度限值</w:t>
            </w:r>
          </w:p>
        </w:tc>
      </w:tr>
      <w:tr w14:paraId="72446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vMerge w:val="continue"/>
            <w:vAlign w:val="center"/>
          </w:tcPr>
          <w:p w14:paraId="65C24BEA">
            <w:pPr>
              <w:pStyle w:val="17"/>
              <w:bidi w:val="0"/>
              <w:ind w:firstLine="0" w:firstLineChars="0"/>
              <w:rPr>
                <w:color w:val="auto"/>
                <w:vertAlign w:val="baseline"/>
              </w:rPr>
            </w:pPr>
          </w:p>
        </w:tc>
        <w:tc>
          <w:tcPr>
            <w:tcW w:w="1512" w:type="dxa"/>
            <w:vAlign w:val="center"/>
          </w:tcPr>
          <w:p w14:paraId="29DB63FA">
            <w:pPr>
              <w:pStyle w:val="17"/>
              <w:bidi w:val="0"/>
              <w:ind w:firstLine="0" w:firstLineChars="0"/>
              <w:rPr>
                <w:rFonts w:hint="default"/>
                <w:color w:val="auto"/>
                <w:vertAlign w:val="baseline"/>
                <w:lang w:val="en-US"/>
              </w:rPr>
            </w:pPr>
            <w:r>
              <w:rPr>
                <w:rFonts w:hint="eastAsia"/>
                <w:color w:val="auto"/>
                <w:lang w:val="en-US" w:eastAsia="zh-CN"/>
              </w:rPr>
              <w:t>产品堆场扬尘</w:t>
            </w:r>
          </w:p>
        </w:tc>
        <w:tc>
          <w:tcPr>
            <w:tcW w:w="1313" w:type="dxa"/>
            <w:vAlign w:val="center"/>
          </w:tcPr>
          <w:p w14:paraId="0B11024A">
            <w:pPr>
              <w:pStyle w:val="17"/>
              <w:bidi w:val="0"/>
              <w:ind w:firstLine="0" w:firstLineChars="0"/>
              <w:rPr>
                <w:color w:val="auto"/>
                <w:vertAlign w:val="baseline"/>
              </w:rPr>
            </w:pPr>
            <w:r>
              <w:rPr>
                <w:rFonts w:hint="eastAsia"/>
                <w:color w:val="auto"/>
                <w:lang w:val="en-US" w:eastAsia="zh-CN"/>
              </w:rPr>
              <w:t>颗粒物</w:t>
            </w:r>
          </w:p>
        </w:tc>
        <w:tc>
          <w:tcPr>
            <w:tcW w:w="1912" w:type="dxa"/>
            <w:vMerge w:val="continue"/>
            <w:vAlign w:val="center"/>
          </w:tcPr>
          <w:p w14:paraId="4E3D18DF">
            <w:pPr>
              <w:pStyle w:val="17"/>
              <w:bidi w:val="0"/>
              <w:ind w:firstLine="0" w:firstLineChars="0"/>
              <w:jc w:val="center"/>
              <w:rPr>
                <w:color w:val="auto"/>
                <w:vertAlign w:val="baseline"/>
              </w:rPr>
            </w:pPr>
          </w:p>
        </w:tc>
        <w:tc>
          <w:tcPr>
            <w:tcW w:w="2786" w:type="dxa"/>
            <w:vMerge w:val="continue"/>
            <w:vAlign w:val="center"/>
          </w:tcPr>
          <w:p w14:paraId="49DFBCD6">
            <w:pPr>
              <w:pStyle w:val="17"/>
              <w:bidi w:val="0"/>
              <w:ind w:firstLine="0" w:firstLineChars="0"/>
              <w:rPr>
                <w:color w:val="auto"/>
                <w:vertAlign w:val="baseline"/>
              </w:rPr>
            </w:pPr>
          </w:p>
        </w:tc>
      </w:tr>
      <w:tr w14:paraId="418A2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vMerge w:val="continue"/>
            <w:vAlign w:val="center"/>
          </w:tcPr>
          <w:p w14:paraId="74B98E40">
            <w:pPr>
              <w:pStyle w:val="17"/>
              <w:bidi w:val="0"/>
              <w:ind w:firstLine="0" w:firstLineChars="0"/>
              <w:rPr>
                <w:color w:val="auto"/>
                <w:vertAlign w:val="baseline"/>
              </w:rPr>
            </w:pPr>
          </w:p>
        </w:tc>
        <w:tc>
          <w:tcPr>
            <w:tcW w:w="1512" w:type="dxa"/>
            <w:vAlign w:val="center"/>
          </w:tcPr>
          <w:p w14:paraId="5ADFFA84">
            <w:pPr>
              <w:pStyle w:val="17"/>
              <w:bidi w:val="0"/>
              <w:ind w:firstLine="0" w:firstLineChars="0"/>
              <w:rPr>
                <w:color w:val="auto"/>
                <w:vertAlign w:val="baseline"/>
              </w:rPr>
            </w:pPr>
            <w:r>
              <w:rPr>
                <w:rFonts w:hint="eastAsia"/>
                <w:color w:val="auto"/>
                <w:lang w:val="en-US" w:eastAsia="zh-CN"/>
              </w:rPr>
              <w:t>输送粉尘</w:t>
            </w:r>
          </w:p>
        </w:tc>
        <w:tc>
          <w:tcPr>
            <w:tcW w:w="1313" w:type="dxa"/>
            <w:vAlign w:val="center"/>
          </w:tcPr>
          <w:p w14:paraId="4976773E">
            <w:pPr>
              <w:pStyle w:val="17"/>
              <w:bidi w:val="0"/>
              <w:ind w:firstLine="0" w:firstLineChars="0"/>
              <w:rPr>
                <w:color w:val="auto"/>
                <w:vertAlign w:val="baseline"/>
              </w:rPr>
            </w:pPr>
            <w:r>
              <w:rPr>
                <w:rFonts w:hint="eastAsia"/>
                <w:color w:val="auto"/>
                <w:lang w:val="en-US" w:eastAsia="zh-CN"/>
              </w:rPr>
              <w:t>颗粒物</w:t>
            </w:r>
          </w:p>
        </w:tc>
        <w:tc>
          <w:tcPr>
            <w:tcW w:w="1912" w:type="dxa"/>
            <w:vAlign w:val="center"/>
          </w:tcPr>
          <w:p w14:paraId="0E7CE0A4">
            <w:pPr>
              <w:pStyle w:val="17"/>
              <w:bidi w:val="0"/>
              <w:ind w:firstLine="0" w:firstLineChars="0"/>
              <w:jc w:val="center"/>
              <w:rPr>
                <w:color w:val="auto"/>
                <w:vertAlign w:val="baseline"/>
              </w:rPr>
            </w:pPr>
            <w:r>
              <w:rPr>
                <w:rFonts w:hint="eastAsia"/>
                <w:color w:val="auto"/>
                <w:lang w:val="en-US" w:eastAsia="zh-CN"/>
              </w:rPr>
              <w:t>平稳输送、密封廊道</w:t>
            </w:r>
          </w:p>
        </w:tc>
        <w:tc>
          <w:tcPr>
            <w:tcW w:w="2786" w:type="dxa"/>
            <w:vMerge w:val="continue"/>
            <w:vAlign w:val="center"/>
          </w:tcPr>
          <w:p w14:paraId="281D8798">
            <w:pPr>
              <w:pStyle w:val="17"/>
              <w:bidi w:val="0"/>
              <w:ind w:firstLine="0" w:firstLineChars="0"/>
              <w:rPr>
                <w:color w:val="auto"/>
                <w:vertAlign w:val="baseline"/>
              </w:rPr>
            </w:pPr>
          </w:p>
        </w:tc>
      </w:tr>
      <w:tr w14:paraId="0D669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7" w:type="dxa"/>
            <w:vMerge w:val="continue"/>
            <w:vAlign w:val="center"/>
          </w:tcPr>
          <w:p w14:paraId="1D505DD1">
            <w:pPr>
              <w:pStyle w:val="17"/>
              <w:bidi w:val="0"/>
              <w:ind w:firstLine="0" w:firstLineChars="0"/>
              <w:rPr>
                <w:color w:val="auto"/>
                <w:vertAlign w:val="baseline"/>
              </w:rPr>
            </w:pPr>
          </w:p>
        </w:tc>
        <w:tc>
          <w:tcPr>
            <w:tcW w:w="1512" w:type="dxa"/>
            <w:vAlign w:val="center"/>
          </w:tcPr>
          <w:p w14:paraId="7B3DE4FA">
            <w:pPr>
              <w:pStyle w:val="17"/>
              <w:bidi w:val="0"/>
              <w:ind w:firstLine="0" w:firstLineChars="0"/>
              <w:rPr>
                <w:color w:val="auto"/>
                <w:vertAlign w:val="baseline"/>
              </w:rPr>
            </w:pPr>
            <w:r>
              <w:rPr>
                <w:rFonts w:hint="eastAsia"/>
                <w:color w:val="auto"/>
                <w:lang w:val="en-US" w:eastAsia="zh-CN"/>
              </w:rPr>
              <w:t>道路扬尘</w:t>
            </w:r>
          </w:p>
        </w:tc>
        <w:tc>
          <w:tcPr>
            <w:tcW w:w="1313" w:type="dxa"/>
            <w:vAlign w:val="center"/>
          </w:tcPr>
          <w:p w14:paraId="2761D7B3">
            <w:pPr>
              <w:pStyle w:val="17"/>
              <w:bidi w:val="0"/>
              <w:ind w:firstLine="0" w:firstLineChars="0"/>
              <w:rPr>
                <w:color w:val="auto"/>
                <w:vertAlign w:val="baseline"/>
              </w:rPr>
            </w:pPr>
            <w:r>
              <w:rPr>
                <w:rFonts w:hint="eastAsia"/>
                <w:color w:val="auto"/>
                <w:lang w:val="en-US" w:eastAsia="zh-CN"/>
              </w:rPr>
              <w:t>颗粒物</w:t>
            </w:r>
          </w:p>
        </w:tc>
        <w:tc>
          <w:tcPr>
            <w:tcW w:w="1912" w:type="dxa"/>
            <w:vAlign w:val="center"/>
          </w:tcPr>
          <w:p w14:paraId="2C4E069E">
            <w:pPr>
              <w:pStyle w:val="17"/>
              <w:bidi w:val="0"/>
              <w:ind w:firstLine="0" w:firstLineChars="0"/>
              <w:jc w:val="center"/>
              <w:rPr>
                <w:color w:val="auto"/>
                <w:vertAlign w:val="baseline"/>
              </w:rPr>
            </w:pPr>
            <w:r>
              <w:rPr>
                <w:rFonts w:hint="eastAsia"/>
                <w:color w:val="auto"/>
                <w:lang w:val="en-US" w:eastAsia="zh-CN"/>
              </w:rPr>
              <w:t>运输道路及生产区地面全部硬化、厂区内限速、出入口设车辆清洗台、定时对厂区地面进行洒水和抑尘、运输车辆篷布遮盖</w:t>
            </w:r>
          </w:p>
        </w:tc>
        <w:tc>
          <w:tcPr>
            <w:tcW w:w="2786" w:type="dxa"/>
            <w:vMerge w:val="continue"/>
            <w:vAlign w:val="center"/>
          </w:tcPr>
          <w:p w14:paraId="37519544">
            <w:pPr>
              <w:pStyle w:val="17"/>
              <w:bidi w:val="0"/>
              <w:ind w:firstLine="0" w:firstLineChars="0"/>
              <w:rPr>
                <w:color w:val="auto"/>
                <w:vertAlign w:val="baseline"/>
              </w:rPr>
            </w:pPr>
          </w:p>
        </w:tc>
      </w:tr>
      <w:tr w14:paraId="743FE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vMerge w:val="continue"/>
            <w:vAlign w:val="center"/>
          </w:tcPr>
          <w:p w14:paraId="7065361A">
            <w:pPr>
              <w:pStyle w:val="17"/>
              <w:bidi w:val="0"/>
              <w:ind w:firstLine="0" w:firstLineChars="0"/>
              <w:rPr>
                <w:color w:val="auto"/>
                <w:vertAlign w:val="baseline"/>
              </w:rPr>
            </w:pPr>
          </w:p>
        </w:tc>
        <w:tc>
          <w:tcPr>
            <w:tcW w:w="1512" w:type="dxa"/>
            <w:vAlign w:val="center"/>
          </w:tcPr>
          <w:p w14:paraId="3E1A6CDB">
            <w:pPr>
              <w:pStyle w:val="17"/>
              <w:bidi w:val="0"/>
              <w:ind w:firstLine="0" w:firstLineChars="0"/>
              <w:rPr>
                <w:color w:val="auto"/>
                <w:vertAlign w:val="baseline"/>
              </w:rPr>
            </w:pPr>
            <w:r>
              <w:rPr>
                <w:rFonts w:hint="eastAsia"/>
                <w:color w:val="auto"/>
                <w:lang w:val="en-US" w:eastAsia="zh-CN"/>
              </w:rPr>
              <w:t>运输车辆尾气</w:t>
            </w:r>
          </w:p>
        </w:tc>
        <w:tc>
          <w:tcPr>
            <w:tcW w:w="1313" w:type="dxa"/>
            <w:vAlign w:val="center"/>
          </w:tcPr>
          <w:p w14:paraId="432DECAE">
            <w:pPr>
              <w:pStyle w:val="17"/>
              <w:bidi w:val="0"/>
              <w:ind w:firstLine="0" w:firstLineChars="0"/>
              <w:rPr>
                <w:color w:val="auto"/>
                <w:vertAlign w:val="baseline"/>
              </w:rPr>
            </w:pPr>
            <w:r>
              <w:rPr>
                <w:rFonts w:hint="eastAsia"/>
                <w:color w:val="auto"/>
                <w:lang w:val="en-US" w:eastAsia="zh-CN"/>
              </w:rPr>
              <w:t>CO、NO</w:t>
            </w:r>
            <w:r>
              <w:rPr>
                <w:rFonts w:hint="eastAsia"/>
                <w:color w:val="auto"/>
                <w:vertAlign w:val="subscript"/>
                <w:lang w:val="en-US" w:eastAsia="zh-CN"/>
              </w:rPr>
              <w:t>X</w:t>
            </w:r>
            <w:r>
              <w:rPr>
                <w:rFonts w:hint="eastAsia"/>
                <w:color w:val="auto"/>
                <w:lang w:val="en-US" w:eastAsia="zh-CN"/>
              </w:rPr>
              <w:t>、THC等</w:t>
            </w:r>
          </w:p>
        </w:tc>
        <w:tc>
          <w:tcPr>
            <w:tcW w:w="1912" w:type="dxa"/>
            <w:vAlign w:val="center"/>
          </w:tcPr>
          <w:p w14:paraId="77C501C4">
            <w:pPr>
              <w:pStyle w:val="17"/>
              <w:bidi w:val="0"/>
              <w:ind w:firstLine="0" w:firstLineChars="0"/>
              <w:jc w:val="center"/>
              <w:rPr>
                <w:color w:val="auto"/>
                <w:vertAlign w:val="baseline"/>
              </w:rPr>
            </w:pPr>
            <w:r>
              <w:rPr>
                <w:rFonts w:hint="default" w:ascii="Times New Roman" w:hAnsi="Times New Roman" w:cs="Times New Roman"/>
                <w:color w:val="auto"/>
              </w:rPr>
              <w:t>运输车辆定期检修与保养，使用无铅汽油等优质燃料</w:t>
            </w:r>
          </w:p>
        </w:tc>
        <w:tc>
          <w:tcPr>
            <w:tcW w:w="2786" w:type="dxa"/>
            <w:vMerge w:val="continue"/>
            <w:vAlign w:val="center"/>
          </w:tcPr>
          <w:p w14:paraId="62CDAB2C">
            <w:pPr>
              <w:pStyle w:val="17"/>
              <w:bidi w:val="0"/>
              <w:ind w:firstLine="0" w:firstLineChars="0"/>
              <w:rPr>
                <w:color w:val="auto"/>
                <w:vertAlign w:val="baseline"/>
              </w:rPr>
            </w:pPr>
          </w:p>
        </w:tc>
      </w:tr>
      <w:tr w14:paraId="05BF5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vMerge w:val="continue"/>
            <w:vAlign w:val="center"/>
          </w:tcPr>
          <w:p w14:paraId="3FD4A68C">
            <w:pPr>
              <w:pStyle w:val="17"/>
              <w:bidi w:val="0"/>
              <w:ind w:firstLine="0" w:firstLineChars="0"/>
              <w:rPr>
                <w:color w:val="auto"/>
                <w:vertAlign w:val="baseline"/>
              </w:rPr>
            </w:pPr>
          </w:p>
        </w:tc>
        <w:tc>
          <w:tcPr>
            <w:tcW w:w="1512" w:type="dxa"/>
            <w:vAlign w:val="center"/>
          </w:tcPr>
          <w:p w14:paraId="112B1D85">
            <w:pPr>
              <w:pStyle w:val="17"/>
              <w:bidi w:val="0"/>
              <w:ind w:firstLine="0" w:firstLineChars="0"/>
              <w:rPr>
                <w:rFonts w:hint="default"/>
                <w:color w:val="auto"/>
                <w:lang w:val="en-US" w:eastAsia="zh-CN"/>
              </w:rPr>
            </w:pPr>
            <w:r>
              <w:rPr>
                <w:rFonts w:hint="eastAsia"/>
                <w:color w:val="auto"/>
                <w:lang w:val="en-US" w:eastAsia="zh-CN"/>
              </w:rPr>
              <w:t>投料粉尘</w:t>
            </w:r>
          </w:p>
        </w:tc>
        <w:tc>
          <w:tcPr>
            <w:tcW w:w="1313" w:type="dxa"/>
            <w:vAlign w:val="center"/>
          </w:tcPr>
          <w:p w14:paraId="054B038A">
            <w:pPr>
              <w:pStyle w:val="17"/>
              <w:bidi w:val="0"/>
              <w:ind w:firstLine="0" w:firstLineChars="0"/>
              <w:rPr>
                <w:rFonts w:hint="default"/>
                <w:color w:val="auto"/>
                <w:lang w:val="en-US" w:eastAsia="zh-CN"/>
              </w:rPr>
            </w:pPr>
            <w:r>
              <w:rPr>
                <w:rFonts w:hint="eastAsia"/>
                <w:color w:val="auto"/>
                <w:lang w:val="en-US" w:eastAsia="zh-CN"/>
              </w:rPr>
              <w:t>颗粒物</w:t>
            </w:r>
          </w:p>
        </w:tc>
        <w:tc>
          <w:tcPr>
            <w:tcW w:w="1912" w:type="dxa"/>
            <w:vAlign w:val="center"/>
          </w:tcPr>
          <w:p w14:paraId="649D9CD1">
            <w:pPr>
              <w:pStyle w:val="17"/>
              <w:bidi w:val="0"/>
              <w:ind w:firstLine="0" w:firstLineChars="0"/>
              <w:jc w:val="center"/>
              <w:rPr>
                <w:rFonts w:hint="eastAsia" w:ascii="Times New Roman" w:hAnsi="Times New Roman" w:eastAsia="宋体" w:cs="Times New Roman"/>
                <w:color w:val="auto"/>
                <w:lang w:val="en-US" w:eastAsia="zh-CN"/>
              </w:rPr>
            </w:pPr>
            <w:r>
              <w:rPr>
                <w:rFonts w:hint="eastAsia" w:cs="Times New Roman"/>
                <w:color w:val="auto"/>
                <w:lang w:val="en-US" w:eastAsia="zh-CN"/>
              </w:rPr>
              <w:t>洒水抑尘</w:t>
            </w:r>
          </w:p>
        </w:tc>
        <w:tc>
          <w:tcPr>
            <w:tcW w:w="2786" w:type="dxa"/>
            <w:vMerge w:val="continue"/>
            <w:vAlign w:val="center"/>
          </w:tcPr>
          <w:p w14:paraId="0F4850FC">
            <w:pPr>
              <w:pStyle w:val="17"/>
              <w:bidi w:val="0"/>
              <w:ind w:firstLine="0" w:firstLineChars="0"/>
              <w:rPr>
                <w:color w:val="auto"/>
                <w:vertAlign w:val="baseline"/>
              </w:rPr>
            </w:pPr>
          </w:p>
        </w:tc>
      </w:tr>
      <w:tr w14:paraId="5441C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7" w:type="dxa"/>
            <w:vMerge w:val="continue"/>
            <w:vAlign w:val="center"/>
          </w:tcPr>
          <w:p w14:paraId="70196022">
            <w:pPr>
              <w:pStyle w:val="17"/>
              <w:bidi w:val="0"/>
              <w:ind w:firstLine="0" w:firstLineChars="0"/>
              <w:rPr>
                <w:color w:val="auto"/>
                <w:vertAlign w:val="baseline"/>
              </w:rPr>
            </w:pPr>
          </w:p>
        </w:tc>
        <w:tc>
          <w:tcPr>
            <w:tcW w:w="1512" w:type="dxa"/>
            <w:vAlign w:val="center"/>
          </w:tcPr>
          <w:p w14:paraId="6A2B33F6">
            <w:pPr>
              <w:pStyle w:val="17"/>
              <w:bidi w:val="0"/>
              <w:ind w:firstLine="0" w:firstLineChars="0"/>
              <w:rPr>
                <w:rFonts w:hint="default" w:eastAsia="宋体"/>
                <w:color w:val="auto"/>
                <w:vertAlign w:val="baseline"/>
                <w:lang w:val="en-US" w:eastAsia="zh-CN"/>
              </w:rPr>
            </w:pPr>
            <w:r>
              <w:rPr>
                <w:rFonts w:hint="eastAsia"/>
                <w:color w:val="auto"/>
                <w:vertAlign w:val="baseline"/>
                <w:lang w:val="en-US" w:eastAsia="zh-CN"/>
              </w:rPr>
              <w:t>水泥装卸、储存粉尘</w:t>
            </w:r>
          </w:p>
        </w:tc>
        <w:tc>
          <w:tcPr>
            <w:tcW w:w="1313" w:type="dxa"/>
            <w:vAlign w:val="center"/>
          </w:tcPr>
          <w:p w14:paraId="499746B2">
            <w:pPr>
              <w:pStyle w:val="17"/>
              <w:bidi w:val="0"/>
              <w:ind w:firstLine="0" w:firstLineChars="0"/>
              <w:rPr>
                <w:rFonts w:hint="eastAsia" w:eastAsia="宋体"/>
                <w:color w:val="auto"/>
                <w:vertAlign w:val="baseline"/>
                <w:lang w:val="en-US" w:eastAsia="zh-CN"/>
              </w:rPr>
            </w:pPr>
            <w:r>
              <w:rPr>
                <w:rFonts w:hint="eastAsia"/>
                <w:color w:val="auto"/>
                <w:vertAlign w:val="baseline"/>
                <w:lang w:val="en-US" w:eastAsia="zh-CN"/>
              </w:rPr>
              <w:t>颗粒物</w:t>
            </w:r>
          </w:p>
        </w:tc>
        <w:tc>
          <w:tcPr>
            <w:tcW w:w="1912" w:type="dxa"/>
            <w:vAlign w:val="center"/>
          </w:tcPr>
          <w:p w14:paraId="292A99F9">
            <w:pPr>
              <w:pStyle w:val="17"/>
              <w:bidi w:val="0"/>
              <w:ind w:firstLine="0" w:firstLineChars="0"/>
              <w:jc w:val="center"/>
              <w:rPr>
                <w:rFonts w:hint="eastAsia" w:eastAsia="宋体"/>
                <w:color w:val="auto"/>
                <w:vertAlign w:val="baseline"/>
                <w:lang w:val="en-US" w:eastAsia="zh-CN"/>
              </w:rPr>
            </w:pPr>
            <w:r>
              <w:rPr>
                <w:rFonts w:hint="eastAsia"/>
                <w:color w:val="auto"/>
                <w:vertAlign w:val="baseline"/>
                <w:lang w:val="en-US" w:eastAsia="zh-CN"/>
              </w:rPr>
              <w:t>布袋除尘器</w:t>
            </w:r>
          </w:p>
        </w:tc>
        <w:tc>
          <w:tcPr>
            <w:tcW w:w="2786" w:type="dxa"/>
            <w:vMerge w:val="restart"/>
            <w:vAlign w:val="center"/>
          </w:tcPr>
          <w:p w14:paraId="2098A75C">
            <w:pPr>
              <w:pStyle w:val="17"/>
              <w:bidi w:val="0"/>
              <w:ind w:firstLine="0" w:firstLineChars="0"/>
              <w:rPr>
                <w:rFonts w:hint="default"/>
                <w:color w:val="auto"/>
                <w:vertAlign w:val="baseline"/>
                <w:lang w:val="en-US"/>
              </w:rPr>
            </w:pPr>
            <w:r>
              <w:rPr>
                <w:rFonts w:hint="eastAsia"/>
                <w:color w:val="auto"/>
                <w:lang w:eastAsia="zh-CN"/>
              </w:rPr>
              <w:t>《</w:t>
            </w:r>
            <w:r>
              <w:rPr>
                <w:rFonts w:hint="eastAsia"/>
                <w:color w:val="auto"/>
                <w:lang w:val="en-US" w:eastAsia="zh-CN"/>
              </w:rPr>
              <w:t>水泥工业大气污染物排放标准</w:t>
            </w:r>
            <w:r>
              <w:rPr>
                <w:rFonts w:hint="eastAsia"/>
                <w:color w:val="auto"/>
                <w:lang w:eastAsia="zh-CN"/>
              </w:rPr>
              <w:t>》（</w:t>
            </w:r>
            <w:r>
              <w:rPr>
                <w:rFonts w:hint="eastAsia"/>
                <w:color w:val="auto"/>
                <w:lang w:val="en-US" w:eastAsia="zh-CN"/>
              </w:rPr>
              <w:t>GB 4915-2013</w:t>
            </w:r>
            <w:r>
              <w:rPr>
                <w:rFonts w:hint="eastAsia"/>
                <w:color w:val="auto"/>
                <w:lang w:eastAsia="zh-CN"/>
              </w:rPr>
              <w:t>）</w:t>
            </w:r>
            <w:r>
              <w:rPr>
                <w:rFonts w:hint="eastAsia"/>
                <w:color w:val="auto"/>
                <w:lang w:val="en-US" w:eastAsia="zh-CN"/>
              </w:rPr>
              <w:t>表3中无组织排放限值</w:t>
            </w:r>
          </w:p>
        </w:tc>
      </w:tr>
      <w:tr w14:paraId="7BD7D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vMerge w:val="continue"/>
            <w:vAlign w:val="center"/>
          </w:tcPr>
          <w:p w14:paraId="15141068">
            <w:pPr>
              <w:pStyle w:val="17"/>
              <w:bidi w:val="0"/>
              <w:ind w:firstLine="0" w:firstLineChars="0"/>
              <w:rPr>
                <w:color w:val="auto"/>
                <w:vertAlign w:val="baseline"/>
              </w:rPr>
            </w:pPr>
          </w:p>
        </w:tc>
        <w:tc>
          <w:tcPr>
            <w:tcW w:w="1512" w:type="dxa"/>
            <w:vAlign w:val="center"/>
          </w:tcPr>
          <w:p w14:paraId="7AAC7917">
            <w:pPr>
              <w:pStyle w:val="17"/>
              <w:bidi w:val="0"/>
              <w:ind w:firstLine="0" w:firstLineChars="0"/>
              <w:rPr>
                <w:rFonts w:hint="eastAsia" w:ascii="Times New Roman" w:hAnsi="Times New Roman" w:eastAsia="宋体" w:cs="Times New Roman"/>
                <w:color w:val="auto"/>
                <w:kern w:val="0"/>
                <w:sz w:val="21"/>
                <w:szCs w:val="21"/>
                <w:vertAlign w:val="baseline"/>
                <w:lang w:val="en-US" w:eastAsia="zh-CN" w:bidi="ar-SA"/>
              </w:rPr>
            </w:pPr>
            <w:r>
              <w:rPr>
                <w:rFonts w:hint="eastAsia"/>
                <w:color w:val="auto"/>
                <w:lang w:val="en-US" w:eastAsia="zh-CN"/>
              </w:rPr>
              <w:t>周界外浓度最高点</w:t>
            </w:r>
          </w:p>
        </w:tc>
        <w:tc>
          <w:tcPr>
            <w:tcW w:w="1313" w:type="dxa"/>
            <w:vAlign w:val="center"/>
          </w:tcPr>
          <w:p w14:paraId="6B7CEF34">
            <w:pPr>
              <w:pStyle w:val="17"/>
              <w:bidi w:val="0"/>
              <w:ind w:firstLine="0" w:firstLineChars="0"/>
              <w:rPr>
                <w:rFonts w:hint="eastAsia" w:ascii="Times New Roman" w:hAnsi="Times New Roman" w:eastAsia="宋体" w:cs="Times New Roman"/>
                <w:color w:val="auto"/>
                <w:kern w:val="0"/>
                <w:sz w:val="21"/>
                <w:szCs w:val="21"/>
                <w:vertAlign w:val="baseline"/>
                <w:lang w:val="en-US" w:eastAsia="zh-CN" w:bidi="ar-SA"/>
              </w:rPr>
            </w:pPr>
            <w:r>
              <w:rPr>
                <w:rFonts w:hint="eastAsia"/>
                <w:color w:val="auto"/>
                <w:lang w:val="en-US" w:eastAsia="zh-CN"/>
              </w:rPr>
              <w:t>颗粒物</w:t>
            </w:r>
          </w:p>
        </w:tc>
        <w:tc>
          <w:tcPr>
            <w:tcW w:w="1912" w:type="dxa"/>
            <w:vAlign w:val="center"/>
          </w:tcPr>
          <w:p w14:paraId="57F3BFE9">
            <w:pPr>
              <w:pStyle w:val="17"/>
              <w:bidi w:val="0"/>
              <w:ind w:firstLine="0" w:firstLineChars="0"/>
              <w:jc w:val="center"/>
              <w:rPr>
                <w:rFonts w:hint="eastAsia" w:ascii="Times New Roman" w:hAnsi="Times New Roman" w:eastAsia="宋体" w:cs="Times New Roman"/>
                <w:color w:val="auto"/>
                <w:kern w:val="0"/>
                <w:sz w:val="21"/>
                <w:szCs w:val="21"/>
                <w:vertAlign w:val="baseline"/>
                <w:lang w:val="en-US" w:eastAsia="zh-CN" w:bidi="ar-SA"/>
              </w:rPr>
            </w:pPr>
            <w:r>
              <w:rPr>
                <w:rFonts w:hint="eastAsia" w:ascii="Times New Roman" w:hAnsi="Times New Roman" w:cs="Times New Roman"/>
                <w:color w:val="auto"/>
                <w:lang w:val="en-US" w:eastAsia="zh-CN"/>
              </w:rPr>
              <w:t>/</w:t>
            </w:r>
          </w:p>
        </w:tc>
        <w:tc>
          <w:tcPr>
            <w:tcW w:w="2786" w:type="dxa"/>
            <w:vMerge w:val="continue"/>
            <w:vAlign w:val="center"/>
          </w:tcPr>
          <w:p w14:paraId="4BF3FC55">
            <w:pPr>
              <w:pStyle w:val="17"/>
              <w:bidi w:val="0"/>
              <w:ind w:firstLine="0" w:firstLineChars="0"/>
              <w:rPr>
                <w:color w:val="auto"/>
                <w:vertAlign w:val="baseline"/>
              </w:rPr>
            </w:pPr>
          </w:p>
        </w:tc>
      </w:tr>
      <w:tr w14:paraId="4D688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7" w:type="dxa"/>
            <w:vMerge w:val="restart"/>
            <w:vAlign w:val="center"/>
          </w:tcPr>
          <w:p w14:paraId="0F610D6C">
            <w:pPr>
              <w:pStyle w:val="17"/>
              <w:bidi w:val="0"/>
              <w:ind w:firstLine="0" w:firstLineChars="0"/>
              <w:rPr>
                <w:color w:val="auto"/>
                <w:vertAlign w:val="baseline"/>
              </w:rPr>
            </w:pPr>
            <w:r>
              <w:rPr>
                <w:rFonts w:hint="eastAsia"/>
                <w:color w:val="auto"/>
              </w:rPr>
              <w:t>地表水环境</w:t>
            </w:r>
          </w:p>
        </w:tc>
        <w:tc>
          <w:tcPr>
            <w:tcW w:w="1512" w:type="dxa"/>
            <w:vAlign w:val="center"/>
          </w:tcPr>
          <w:p w14:paraId="2D8343CC">
            <w:pPr>
              <w:pStyle w:val="17"/>
              <w:bidi w:val="0"/>
              <w:ind w:firstLine="0" w:firstLineChars="0"/>
              <w:rPr>
                <w:color w:val="auto"/>
                <w:vertAlign w:val="baseline"/>
              </w:rPr>
            </w:pPr>
            <w:r>
              <w:rPr>
                <w:rFonts w:hint="eastAsia"/>
                <w:color w:val="auto"/>
                <w:lang w:val="en-US" w:eastAsia="zh-CN"/>
              </w:rPr>
              <w:t>生活污水</w:t>
            </w:r>
          </w:p>
        </w:tc>
        <w:tc>
          <w:tcPr>
            <w:tcW w:w="1313" w:type="dxa"/>
            <w:vAlign w:val="center"/>
          </w:tcPr>
          <w:p w14:paraId="30FBAC05">
            <w:pPr>
              <w:pStyle w:val="17"/>
              <w:bidi w:val="0"/>
              <w:ind w:firstLine="0" w:firstLineChars="0"/>
              <w:rPr>
                <w:color w:val="auto"/>
                <w:vertAlign w:val="baseline"/>
              </w:rPr>
            </w:pPr>
            <w:r>
              <w:rPr>
                <w:rFonts w:hint="eastAsia"/>
                <w:color w:val="auto"/>
                <w:lang w:val="en-US" w:eastAsia="zh-CN"/>
              </w:rPr>
              <w:t>pH、COD、BOD</w:t>
            </w:r>
            <w:r>
              <w:rPr>
                <w:rFonts w:hint="eastAsia"/>
                <w:color w:val="auto"/>
                <w:vertAlign w:val="subscript"/>
                <w:lang w:val="en-US" w:eastAsia="zh-CN"/>
              </w:rPr>
              <w:t>5</w:t>
            </w:r>
            <w:r>
              <w:rPr>
                <w:rFonts w:hint="eastAsia"/>
                <w:color w:val="auto"/>
                <w:lang w:val="en-US" w:eastAsia="zh-CN"/>
              </w:rPr>
              <w:t>、SS、NH</w:t>
            </w:r>
            <w:r>
              <w:rPr>
                <w:rFonts w:hint="eastAsia"/>
                <w:color w:val="auto"/>
                <w:vertAlign w:val="subscript"/>
                <w:lang w:val="en-US" w:eastAsia="zh-CN"/>
              </w:rPr>
              <w:t>3</w:t>
            </w:r>
            <w:r>
              <w:rPr>
                <w:rFonts w:hint="eastAsia"/>
                <w:color w:val="auto"/>
                <w:lang w:val="en-US" w:eastAsia="zh-CN"/>
              </w:rPr>
              <w:t>-N、动植物油</w:t>
            </w:r>
          </w:p>
        </w:tc>
        <w:tc>
          <w:tcPr>
            <w:tcW w:w="1912" w:type="dxa"/>
            <w:vAlign w:val="center"/>
          </w:tcPr>
          <w:p w14:paraId="337DF602">
            <w:pPr>
              <w:pStyle w:val="17"/>
              <w:bidi w:val="0"/>
              <w:ind w:firstLine="0" w:firstLineChars="0"/>
              <w:rPr>
                <w:color w:val="auto"/>
                <w:vertAlign w:val="baseline"/>
              </w:rPr>
            </w:pPr>
            <w:r>
              <w:rPr>
                <w:rFonts w:hint="eastAsia"/>
                <w:color w:val="auto"/>
                <w:lang w:val="en-US" w:eastAsia="zh-CN"/>
              </w:rPr>
              <w:t>经化粪池熟化后用作农肥</w:t>
            </w:r>
          </w:p>
        </w:tc>
        <w:tc>
          <w:tcPr>
            <w:tcW w:w="2786" w:type="dxa"/>
            <w:vAlign w:val="center"/>
          </w:tcPr>
          <w:p w14:paraId="1312E92E">
            <w:pPr>
              <w:pStyle w:val="17"/>
              <w:bidi w:val="0"/>
              <w:ind w:firstLine="0" w:firstLineChars="0"/>
              <w:rPr>
                <w:color w:val="auto"/>
                <w:vertAlign w:val="baseline"/>
              </w:rPr>
            </w:pPr>
            <w:r>
              <w:rPr>
                <w:rFonts w:hint="eastAsia"/>
                <w:color w:val="auto"/>
                <w:lang w:val="en-US" w:eastAsia="zh-CN"/>
              </w:rPr>
              <w:t>/</w:t>
            </w:r>
          </w:p>
        </w:tc>
      </w:tr>
      <w:tr w14:paraId="6B068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vMerge w:val="continue"/>
            <w:vAlign w:val="center"/>
          </w:tcPr>
          <w:p w14:paraId="372BAB1F">
            <w:pPr>
              <w:pStyle w:val="17"/>
              <w:bidi w:val="0"/>
              <w:ind w:firstLine="0" w:firstLineChars="0"/>
              <w:rPr>
                <w:color w:val="auto"/>
                <w:vertAlign w:val="baseline"/>
              </w:rPr>
            </w:pPr>
          </w:p>
        </w:tc>
        <w:tc>
          <w:tcPr>
            <w:tcW w:w="1512" w:type="dxa"/>
            <w:vAlign w:val="center"/>
          </w:tcPr>
          <w:p w14:paraId="4D8D8524">
            <w:pPr>
              <w:pStyle w:val="17"/>
              <w:bidi w:val="0"/>
              <w:ind w:firstLine="0" w:firstLineChars="0"/>
              <w:rPr>
                <w:color w:val="auto"/>
                <w:vertAlign w:val="baseline"/>
              </w:rPr>
            </w:pPr>
            <w:r>
              <w:rPr>
                <w:rFonts w:hint="eastAsia"/>
                <w:color w:val="auto"/>
                <w:lang w:val="en-US" w:eastAsia="zh-CN"/>
              </w:rPr>
              <w:t>洒水降尘废水</w:t>
            </w:r>
          </w:p>
        </w:tc>
        <w:tc>
          <w:tcPr>
            <w:tcW w:w="1313" w:type="dxa"/>
            <w:vAlign w:val="center"/>
          </w:tcPr>
          <w:p w14:paraId="505D32ED">
            <w:pPr>
              <w:pStyle w:val="17"/>
              <w:bidi w:val="0"/>
              <w:ind w:firstLine="0" w:firstLineChars="0"/>
              <w:rPr>
                <w:color w:val="auto"/>
                <w:vertAlign w:val="baseline"/>
              </w:rPr>
            </w:pPr>
            <w:r>
              <w:rPr>
                <w:rFonts w:hint="eastAsia"/>
                <w:color w:val="auto"/>
                <w:lang w:val="en-US" w:eastAsia="zh-CN"/>
              </w:rPr>
              <w:t>/</w:t>
            </w:r>
          </w:p>
        </w:tc>
        <w:tc>
          <w:tcPr>
            <w:tcW w:w="1912" w:type="dxa"/>
            <w:vMerge w:val="restart"/>
            <w:vAlign w:val="center"/>
          </w:tcPr>
          <w:p w14:paraId="268CA50C">
            <w:pPr>
              <w:pStyle w:val="17"/>
              <w:bidi w:val="0"/>
              <w:ind w:firstLine="0" w:firstLineChars="0"/>
              <w:rPr>
                <w:color w:val="auto"/>
                <w:vertAlign w:val="baseline"/>
              </w:rPr>
            </w:pPr>
            <w:r>
              <w:rPr>
                <w:rFonts w:hint="eastAsia"/>
                <w:color w:val="auto"/>
                <w:lang w:val="en-US" w:eastAsia="zh-CN"/>
              </w:rPr>
              <w:t>蒸发损耗或进入产品</w:t>
            </w:r>
          </w:p>
        </w:tc>
        <w:tc>
          <w:tcPr>
            <w:tcW w:w="2786" w:type="dxa"/>
            <w:vAlign w:val="center"/>
          </w:tcPr>
          <w:p w14:paraId="49446ED7">
            <w:pPr>
              <w:pStyle w:val="17"/>
              <w:bidi w:val="0"/>
              <w:ind w:firstLine="0" w:firstLineChars="0"/>
              <w:rPr>
                <w:color w:val="auto"/>
                <w:vertAlign w:val="baseline"/>
              </w:rPr>
            </w:pPr>
            <w:r>
              <w:rPr>
                <w:rFonts w:hint="eastAsia"/>
                <w:color w:val="auto"/>
                <w:lang w:val="en-US" w:eastAsia="zh-CN"/>
              </w:rPr>
              <w:t>/</w:t>
            </w:r>
          </w:p>
        </w:tc>
      </w:tr>
      <w:tr w14:paraId="2F56F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7" w:type="dxa"/>
            <w:vMerge w:val="continue"/>
            <w:vAlign w:val="center"/>
          </w:tcPr>
          <w:p w14:paraId="68A3C8E9">
            <w:pPr>
              <w:pStyle w:val="17"/>
              <w:bidi w:val="0"/>
              <w:ind w:firstLine="0" w:firstLineChars="0"/>
              <w:rPr>
                <w:color w:val="auto"/>
                <w:vertAlign w:val="baseline"/>
              </w:rPr>
            </w:pPr>
          </w:p>
        </w:tc>
        <w:tc>
          <w:tcPr>
            <w:tcW w:w="1512" w:type="dxa"/>
            <w:vAlign w:val="center"/>
          </w:tcPr>
          <w:p w14:paraId="5BF380D3">
            <w:pPr>
              <w:pStyle w:val="17"/>
              <w:bidi w:val="0"/>
              <w:ind w:firstLine="0" w:firstLineChars="0"/>
              <w:rPr>
                <w:rFonts w:hint="eastAsia" w:ascii="Times New Roman" w:hAnsi="Times New Roman" w:eastAsia="宋体" w:cs="Times New Roman"/>
                <w:color w:val="auto"/>
                <w:kern w:val="0"/>
                <w:sz w:val="21"/>
                <w:szCs w:val="21"/>
                <w:vertAlign w:val="baseline"/>
                <w:lang w:val="en-US" w:eastAsia="zh-CN" w:bidi="ar-SA"/>
              </w:rPr>
            </w:pPr>
            <w:r>
              <w:rPr>
                <w:rFonts w:hint="eastAsia"/>
                <w:color w:val="auto"/>
                <w:lang w:val="en-US" w:eastAsia="zh-CN"/>
              </w:rPr>
              <w:t>堆场抑尘废水</w:t>
            </w:r>
          </w:p>
        </w:tc>
        <w:tc>
          <w:tcPr>
            <w:tcW w:w="1313" w:type="dxa"/>
            <w:vAlign w:val="center"/>
          </w:tcPr>
          <w:p w14:paraId="7A65928E">
            <w:pPr>
              <w:pStyle w:val="17"/>
              <w:bidi w:val="0"/>
              <w:ind w:firstLine="0" w:firstLineChars="0"/>
              <w:rPr>
                <w:rFonts w:hint="eastAsia" w:ascii="Times New Roman" w:hAnsi="Times New Roman" w:eastAsia="宋体" w:cs="Times New Roman"/>
                <w:color w:val="auto"/>
                <w:kern w:val="0"/>
                <w:sz w:val="21"/>
                <w:szCs w:val="21"/>
                <w:vertAlign w:val="baseline"/>
                <w:lang w:val="en-US" w:eastAsia="zh-CN" w:bidi="ar-SA"/>
              </w:rPr>
            </w:pPr>
            <w:r>
              <w:rPr>
                <w:rFonts w:hint="eastAsia"/>
                <w:color w:val="auto"/>
                <w:lang w:val="en-US" w:eastAsia="zh-CN"/>
              </w:rPr>
              <w:t>/</w:t>
            </w:r>
          </w:p>
        </w:tc>
        <w:tc>
          <w:tcPr>
            <w:tcW w:w="1912" w:type="dxa"/>
            <w:vMerge w:val="continue"/>
            <w:vAlign w:val="center"/>
          </w:tcPr>
          <w:p w14:paraId="4FD5DF5A">
            <w:pPr>
              <w:pStyle w:val="17"/>
              <w:bidi w:val="0"/>
              <w:ind w:firstLine="0" w:firstLineChars="0"/>
              <w:rPr>
                <w:rFonts w:hint="eastAsia" w:ascii="Times New Roman" w:hAnsi="Times New Roman" w:eastAsia="宋体" w:cs="Times New Roman"/>
                <w:color w:val="auto"/>
                <w:kern w:val="0"/>
                <w:sz w:val="21"/>
                <w:szCs w:val="21"/>
                <w:vertAlign w:val="baseline"/>
                <w:lang w:val="en-US" w:eastAsia="zh-CN" w:bidi="ar-SA"/>
              </w:rPr>
            </w:pPr>
          </w:p>
        </w:tc>
        <w:tc>
          <w:tcPr>
            <w:tcW w:w="2786" w:type="dxa"/>
            <w:vAlign w:val="center"/>
          </w:tcPr>
          <w:p w14:paraId="6F73FA9D">
            <w:pPr>
              <w:pStyle w:val="17"/>
              <w:bidi w:val="0"/>
              <w:ind w:firstLine="0" w:firstLineChars="0"/>
              <w:rPr>
                <w:rFonts w:hint="eastAsia" w:ascii="Times New Roman" w:hAnsi="Times New Roman" w:eastAsia="宋体" w:cs="Times New Roman"/>
                <w:color w:val="auto"/>
                <w:kern w:val="0"/>
                <w:sz w:val="21"/>
                <w:szCs w:val="21"/>
                <w:vertAlign w:val="baseline"/>
                <w:lang w:val="en-US" w:eastAsia="zh-CN" w:bidi="ar-SA"/>
              </w:rPr>
            </w:pPr>
            <w:r>
              <w:rPr>
                <w:rFonts w:hint="eastAsia"/>
                <w:color w:val="auto"/>
                <w:lang w:val="en-US" w:eastAsia="zh-CN"/>
              </w:rPr>
              <w:t>/</w:t>
            </w:r>
          </w:p>
        </w:tc>
      </w:tr>
      <w:tr w14:paraId="49D78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vMerge w:val="continue"/>
            <w:vAlign w:val="center"/>
          </w:tcPr>
          <w:p w14:paraId="465793F9">
            <w:pPr>
              <w:pStyle w:val="17"/>
              <w:bidi w:val="0"/>
              <w:ind w:firstLine="0" w:firstLineChars="0"/>
              <w:rPr>
                <w:color w:val="auto"/>
                <w:vertAlign w:val="baseline"/>
              </w:rPr>
            </w:pPr>
          </w:p>
        </w:tc>
        <w:tc>
          <w:tcPr>
            <w:tcW w:w="1512" w:type="dxa"/>
            <w:vAlign w:val="center"/>
          </w:tcPr>
          <w:p w14:paraId="5F494F2A">
            <w:pPr>
              <w:pStyle w:val="17"/>
              <w:bidi w:val="0"/>
              <w:ind w:firstLine="0" w:firstLineChars="0"/>
              <w:rPr>
                <w:rFonts w:hint="default"/>
                <w:color w:val="auto"/>
                <w:lang w:val="en-US" w:eastAsia="zh-CN"/>
              </w:rPr>
            </w:pPr>
            <w:r>
              <w:rPr>
                <w:rFonts w:hint="eastAsia"/>
                <w:color w:val="auto"/>
                <w:lang w:val="en-US" w:eastAsia="zh-CN"/>
              </w:rPr>
              <w:t>制砖生产废水</w:t>
            </w:r>
          </w:p>
        </w:tc>
        <w:tc>
          <w:tcPr>
            <w:tcW w:w="1313" w:type="dxa"/>
            <w:vAlign w:val="center"/>
          </w:tcPr>
          <w:p w14:paraId="0C0B0F5E">
            <w:pPr>
              <w:pStyle w:val="17"/>
              <w:bidi w:val="0"/>
              <w:ind w:firstLine="0" w:firstLineChars="0"/>
              <w:rPr>
                <w:rFonts w:hint="default"/>
                <w:color w:val="auto"/>
                <w:lang w:val="en-US" w:eastAsia="zh-CN"/>
              </w:rPr>
            </w:pPr>
            <w:r>
              <w:rPr>
                <w:rFonts w:hint="eastAsia"/>
                <w:color w:val="auto"/>
                <w:lang w:val="en-US" w:eastAsia="zh-CN"/>
              </w:rPr>
              <w:t>/</w:t>
            </w:r>
          </w:p>
        </w:tc>
        <w:tc>
          <w:tcPr>
            <w:tcW w:w="1912" w:type="dxa"/>
            <w:vMerge w:val="continue"/>
            <w:vAlign w:val="center"/>
          </w:tcPr>
          <w:p w14:paraId="420ACB79">
            <w:pPr>
              <w:pStyle w:val="17"/>
              <w:bidi w:val="0"/>
              <w:ind w:firstLine="0" w:firstLineChars="0"/>
              <w:rPr>
                <w:rFonts w:hint="eastAsia"/>
                <w:color w:val="auto"/>
                <w:lang w:val="en-US" w:eastAsia="zh-CN"/>
              </w:rPr>
            </w:pPr>
          </w:p>
        </w:tc>
        <w:tc>
          <w:tcPr>
            <w:tcW w:w="2786" w:type="dxa"/>
            <w:vAlign w:val="center"/>
          </w:tcPr>
          <w:p w14:paraId="7EF72E94">
            <w:pPr>
              <w:pStyle w:val="17"/>
              <w:bidi w:val="0"/>
              <w:ind w:firstLine="0" w:firstLineChars="0"/>
              <w:rPr>
                <w:rFonts w:hint="default"/>
                <w:color w:val="auto"/>
                <w:lang w:val="en-US" w:eastAsia="zh-CN"/>
              </w:rPr>
            </w:pPr>
            <w:r>
              <w:rPr>
                <w:rFonts w:hint="eastAsia"/>
                <w:color w:val="auto"/>
                <w:lang w:val="en-US" w:eastAsia="zh-CN"/>
              </w:rPr>
              <w:t>/</w:t>
            </w:r>
          </w:p>
        </w:tc>
      </w:tr>
      <w:tr w14:paraId="4D39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vMerge w:val="continue"/>
            <w:vAlign w:val="center"/>
          </w:tcPr>
          <w:p w14:paraId="6A00AD2F">
            <w:pPr>
              <w:pStyle w:val="17"/>
              <w:bidi w:val="0"/>
              <w:ind w:firstLine="0" w:firstLineChars="0"/>
              <w:rPr>
                <w:color w:val="auto"/>
                <w:vertAlign w:val="baseline"/>
              </w:rPr>
            </w:pPr>
          </w:p>
        </w:tc>
        <w:tc>
          <w:tcPr>
            <w:tcW w:w="1512" w:type="dxa"/>
            <w:vAlign w:val="center"/>
          </w:tcPr>
          <w:p w14:paraId="3552F71A">
            <w:pPr>
              <w:pStyle w:val="17"/>
              <w:bidi w:val="0"/>
              <w:ind w:firstLine="0" w:firstLineChars="0"/>
              <w:rPr>
                <w:rFonts w:hint="default" w:eastAsia="宋体"/>
                <w:color w:val="auto"/>
                <w:vertAlign w:val="baseline"/>
                <w:lang w:val="en-US" w:eastAsia="zh-CN"/>
              </w:rPr>
            </w:pPr>
            <w:r>
              <w:rPr>
                <w:rFonts w:hint="eastAsia"/>
                <w:color w:val="auto"/>
                <w:vertAlign w:val="baseline"/>
                <w:lang w:val="en-US" w:eastAsia="zh-CN"/>
              </w:rPr>
              <w:t>水稳砂生产废水</w:t>
            </w:r>
          </w:p>
        </w:tc>
        <w:tc>
          <w:tcPr>
            <w:tcW w:w="1313" w:type="dxa"/>
            <w:vAlign w:val="center"/>
          </w:tcPr>
          <w:p w14:paraId="7BF6B746">
            <w:pPr>
              <w:pStyle w:val="17"/>
              <w:bidi w:val="0"/>
              <w:ind w:firstLine="0" w:firstLineChars="0"/>
              <w:rPr>
                <w:rFonts w:hint="eastAsia" w:eastAsia="宋体"/>
                <w:color w:val="auto"/>
                <w:vertAlign w:val="baseline"/>
                <w:lang w:val="en-US" w:eastAsia="zh-CN"/>
              </w:rPr>
            </w:pPr>
            <w:r>
              <w:rPr>
                <w:rFonts w:hint="eastAsia"/>
                <w:color w:val="auto"/>
                <w:vertAlign w:val="baseline"/>
                <w:lang w:val="en-US" w:eastAsia="zh-CN"/>
              </w:rPr>
              <w:t>/</w:t>
            </w:r>
          </w:p>
        </w:tc>
        <w:tc>
          <w:tcPr>
            <w:tcW w:w="1912" w:type="dxa"/>
            <w:vMerge w:val="continue"/>
            <w:vAlign w:val="center"/>
          </w:tcPr>
          <w:p w14:paraId="0A68F320">
            <w:pPr>
              <w:pStyle w:val="17"/>
              <w:bidi w:val="0"/>
              <w:ind w:firstLine="0" w:firstLineChars="0"/>
              <w:rPr>
                <w:color w:val="auto"/>
                <w:vertAlign w:val="baseline"/>
              </w:rPr>
            </w:pPr>
          </w:p>
        </w:tc>
        <w:tc>
          <w:tcPr>
            <w:tcW w:w="2786" w:type="dxa"/>
            <w:vAlign w:val="center"/>
          </w:tcPr>
          <w:p w14:paraId="580BAF2D">
            <w:pPr>
              <w:pStyle w:val="17"/>
              <w:bidi w:val="0"/>
              <w:ind w:firstLine="0" w:firstLineChars="0"/>
              <w:rPr>
                <w:rFonts w:hint="eastAsia" w:eastAsia="宋体"/>
                <w:color w:val="auto"/>
                <w:vertAlign w:val="baseline"/>
                <w:lang w:val="en-US" w:eastAsia="zh-CN"/>
              </w:rPr>
            </w:pPr>
            <w:r>
              <w:rPr>
                <w:rFonts w:hint="eastAsia"/>
                <w:color w:val="auto"/>
                <w:vertAlign w:val="baseline"/>
                <w:lang w:val="en-US" w:eastAsia="zh-CN"/>
              </w:rPr>
              <w:t>/</w:t>
            </w:r>
          </w:p>
        </w:tc>
      </w:tr>
      <w:tr w14:paraId="58B01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7" w:type="dxa"/>
            <w:vMerge w:val="continue"/>
            <w:vAlign w:val="center"/>
          </w:tcPr>
          <w:p w14:paraId="2FB29847">
            <w:pPr>
              <w:pStyle w:val="17"/>
              <w:bidi w:val="0"/>
              <w:ind w:firstLine="0" w:firstLineChars="0"/>
              <w:rPr>
                <w:color w:val="auto"/>
                <w:vertAlign w:val="baseline"/>
              </w:rPr>
            </w:pPr>
          </w:p>
        </w:tc>
        <w:tc>
          <w:tcPr>
            <w:tcW w:w="1512" w:type="dxa"/>
            <w:vAlign w:val="center"/>
          </w:tcPr>
          <w:p w14:paraId="2A9BEDB8">
            <w:pPr>
              <w:pStyle w:val="17"/>
              <w:bidi w:val="0"/>
              <w:ind w:firstLine="0" w:firstLineChars="0"/>
              <w:rPr>
                <w:color w:val="auto"/>
                <w:vertAlign w:val="baseline"/>
              </w:rPr>
            </w:pPr>
            <w:r>
              <w:rPr>
                <w:rFonts w:hint="eastAsia"/>
                <w:color w:val="auto"/>
                <w:lang w:val="en-US" w:eastAsia="zh-CN"/>
              </w:rPr>
              <w:t>车辆冲洗污水</w:t>
            </w:r>
          </w:p>
        </w:tc>
        <w:tc>
          <w:tcPr>
            <w:tcW w:w="1313" w:type="dxa"/>
            <w:vAlign w:val="center"/>
          </w:tcPr>
          <w:p w14:paraId="574DA712">
            <w:pPr>
              <w:pStyle w:val="17"/>
              <w:bidi w:val="0"/>
              <w:ind w:firstLine="0" w:firstLineChars="0"/>
              <w:rPr>
                <w:color w:val="auto"/>
                <w:vertAlign w:val="baseline"/>
              </w:rPr>
            </w:pPr>
            <w:r>
              <w:rPr>
                <w:rFonts w:hint="eastAsia"/>
                <w:color w:val="auto"/>
                <w:lang w:val="en-US" w:eastAsia="zh-CN"/>
              </w:rPr>
              <w:t>SS、COD、石油类</w:t>
            </w:r>
          </w:p>
        </w:tc>
        <w:tc>
          <w:tcPr>
            <w:tcW w:w="1912" w:type="dxa"/>
            <w:vAlign w:val="center"/>
          </w:tcPr>
          <w:p w14:paraId="1F691B6B">
            <w:pPr>
              <w:pStyle w:val="17"/>
              <w:bidi w:val="0"/>
              <w:ind w:firstLine="0" w:firstLineChars="0"/>
              <w:rPr>
                <w:color w:val="auto"/>
                <w:vertAlign w:val="baseline"/>
              </w:rPr>
            </w:pPr>
            <w:r>
              <w:rPr>
                <w:rFonts w:hint="eastAsia"/>
                <w:color w:val="auto"/>
                <w:lang w:val="en-US" w:eastAsia="zh-CN"/>
              </w:rPr>
              <w:t>经隔油池、沉淀池处理后回用于车辆冲洗</w:t>
            </w:r>
          </w:p>
        </w:tc>
        <w:tc>
          <w:tcPr>
            <w:tcW w:w="2786" w:type="dxa"/>
            <w:vAlign w:val="center"/>
          </w:tcPr>
          <w:p w14:paraId="44885571">
            <w:pPr>
              <w:pStyle w:val="17"/>
              <w:bidi w:val="0"/>
              <w:ind w:firstLine="0" w:firstLineChars="0"/>
              <w:rPr>
                <w:color w:val="auto"/>
                <w:vertAlign w:val="baseline"/>
              </w:rPr>
            </w:pPr>
            <w:r>
              <w:rPr>
                <w:rFonts w:hint="eastAsia"/>
                <w:color w:val="auto"/>
                <w:lang w:val="en-US" w:eastAsia="zh-CN"/>
              </w:rPr>
              <w:t>/</w:t>
            </w:r>
          </w:p>
        </w:tc>
      </w:tr>
      <w:tr w14:paraId="50F7D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vAlign w:val="center"/>
          </w:tcPr>
          <w:p w14:paraId="20317B8C">
            <w:pPr>
              <w:pStyle w:val="17"/>
              <w:bidi w:val="0"/>
              <w:ind w:firstLine="0" w:firstLineChars="0"/>
              <w:rPr>
                <w:color w:val="auto"/>
                <w:vertAlign w:val="baseline"/>
              </w:rPr>
            </w:pPr>
            <w:r>
              <w:rPr>
                <w:rFonts w:hint="eastAsia"/>
                <w:color w:val="auto"/>
              </w:rPr>
              <w:t>声环境</w:t>
            </w:r>
          </w:p>
        </w:tc>
        <w:tc>
          <w:tcPr>
            <w:tcW w:w="1512" w:type="dxa"/>
            <w:vAlign w:val="center"/>
          </w:tcPr>
          <w:p w14:paraId="15B17133">
            <w:pPr>
              <w:pStyle w:val="17"/>
              <w:bidi w:val="0"/>
              <w:ind w:firstLine="0" w:firstLineChars="0"/>
              <w:rPr>
                <w:color w:val="auto"/>
                <w:vertAlign w:val="baseline"/>
              </w:rPr>
            </w:pPr>
            <w:r>
              <w:rPr>
                <w:rFonts w:hAnsi="Times New Roman" w:cs="Times New Roman"/>
                <w:color w:val="auto"/>
                <w:u w:val="none"/>
              </w:rPr>
              <w:t>破碎机、振动筛、铲车</w:t>
            </w:r>
            <w:r>
              <w:rPr>
                <w:rFonts w:hint="eastAsia" w:hAnsi="Times New Roman" w:cs="Times New Roman"/>
                <w:color w:val="auto"/>
                <w:u w:val="none"/>
                <w:lang w:eastAsia="zh-CN"/>
              </w:rPr>
              <w:t>、</w:t>
            </w:r>
            <w:r>
              <w:rPr>
                <w:rFonts w:hint="eastAsia" w:hAnsi="Times New Roman" w:cs="Times New Roman"/>
                <w:color w:val="auto"/>
                <w:u w:val="none"/>
                <w:lang w:val="en-US" w:eastAsia="zh-CN"/>
              </w:rPr>
              <w:t>水稳砂生产线、制砖生产线</w:t>
            </w:r>
            <w:r>
              <w:rPr>
                <w:rFonts w:hAnsi="Times New Roman" w:cs="Times New Roman"/>
                <w:color w:val="auto"/>
                <w:u w:val="none"/>
              </w:rPr>
              <w:t>等设备噪声和运输车、铲车等产生的交通噪声</w:t>
            </w:r>
          </w:p>
        </w:tc>
        <w:tc>
          <w:tcPr>
            <w:tcW w:w="1313" w:type="dxa"/>
            <w:vAlign w:val="center"/>
          </w:tcPr>
          <w:p w14:paraId="3C9853FA">
            <w:pPr>
              <w:pStyle w:val="17"/>
              <w:bidi w:val="0"/>
              <w:ind w:firstLine="0" w:firstLineChars="0"/>
              <w:rPr>
                <w:color w:val="auto"/>
                <w:vertAlign w:val="baseline"/>
              </w:rPr>
            </w:pPr>
            <w:r>
              <w:rPr>
                <w:rFonts w:hint="eastAsia"/>
                <w:color w:val="auto"/>
                <w:lang w:val="en-US" w:eastAsia="zh-CN"/>
              </w:rPr>
              <w:t>噪声</w:t>
            </w:r>
          </w:p>
        </w:tc>
        <w:tc>
          <w:tcPr>
            <w:tcW w:w="1912" w:type="dxa"/>
            <w:vAlign w:val="center"/>
          </w:tcPr>
          <w:p w14:paraId="6735AAF4">
            <w:pPr>
              <w:pStyle w:val="17"/>
              <w:bidi w:val="0"/>
              <w:ind w:firstLine="0" w:firstLineChars="0"/>
              <w:rPr>
                <w:color w:val="auto"/>
                <w:vertAlign w:val="baseline"/>
              </w:rPr>
            </w:pPr>
            <w:r>
              <w:rPr>
                <w:rFonts w:hint="eastAsia"/>
                <w:color w:val="auto"/>
                <w:lang w:val="en-US" w:eastAsia="zh-CN"/>
              </w:rPr>
              <w:t>选用低噪声设备、合理布局、减震、隔声等</w:t>
            </w:r>
          </w:p>
        </w:tc>
        <w:tc>
          <w:tcPr>
            <w:tcW w:w="2786" w:type="dxa"/>
            <w:vAlign w:val="center"/>
          </w:tcPr>
          <w:p w14:paraId="71698734">
            <w:pPr>
              <w:pStyle w:val="17"/>
              <w:bidi w:val="0"/>
              <w:ind w:firstLine="0" w:firstLineChars="0"/>
              <w:rPr>
                <w:color w:val="auto"/>
                <w:vertAlign w:val="baseline"/>
              </w:rPr>
            </w:pPr>
            <w:r>
              <w:rPr>
                <w:rFonts w:hint="eastAsia"/>
                <w:color w:val="auto"/>
                <w:lang w:val="en-US" w:eastAsia="zh-CN"/>
              </w:rPr>
              <w:t>《工业企业厂界环境噪声排放标准》（GB 12348-2008）2类标准限值</w:t>
            </w:r>
          </w:p>
        </w:tc>
      </w:tr>
      <w:tr w14:paraId="726D5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vAlign w:val="center"/>
          </w:tcPr>
          <w:p w14:paraId="380E50B6">
            <w:pPr>
              <w:pStyle w:val="17"/>
              <w:bidi w:val="0"/>
              <w:ind w:firstLine="0" w:firstLineChars="0"/>
              <w:rPr>
                <w:color w:val="auto"/>
                <w:vertAlign w:val="baseline"/>
              </w:rPr>
            </w:pPr>
            <w:r>
              <w:rPr>
                <w:rFonts w:hint="eastAsia"/>
                <w:color w:val="auto"/>
              </w:rPr>
              <w:t>电磁辐射</w:t>
            </w:r>
          </w:p>
        </w:tc>
        <w:tc>
          <w:tcPr>
            <w:tcW w:w="7523" w:type="dxa"/>
            <w:gridSpan w:val="4"/>
            <w:vAlign w:val="center"/>
          </w:tcPr>
          <w:p w14:paraId="432B9B27">
            <w:pPr>
              <w:pStyle w:val="17"/>
              <w:bidi w:val="0"/>
              <w:ind w:firstLine="0" w:firstLineChars="0"/>
              <w:rPr>
                <w:color w:val="auto"/>
                <w:vertAlign w:val="baseline"/>
              </w:rPr>
            </w:pPr>
            <w:r>
              <w:rPr>
                <w:rFonts w:hint="eastAsia"/>
                <w:color w:val="auto"/>
                <w:lang w:val="en-US" w:eastAsia="zh-CN"/>
              </w:rPr>
              <w:t>本项目不涉及</w:t>
            </w:r>
          </w:p>
        </w:tc>
      </w:tr>
      <w:tr w14:paraId="36C5A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vAlign w:val="center"/>
          </w:tcPr>
          <w:p w14:paraId="43ED1743">
            <w:pPr>
              <w:pStyle w:val="17"/>
              <w:bidi w:val="0"/>
              <w:ind w:firstLine="0" w:firstLineChars="0"/>
              <w:rPr>
                <w:color w:val="auto"/>
                <w:vertAlign w:val="baseline"/>
              </w:rPr>
            </w:pPr>
            <w:r>
              <w:rPr>
                <w:rFonts w:hint="eastAsia"/>
                <w:color w:val="auto"/>
              </w:rPr>
              <w:t>固体废物</w:t>
            </w:r>
          </w:p>
        </w:tc>
        <w:tc>
          <w:tcPr>
            <w:tcW w:w="7523" w:type="dxa"/>
            <w:gridSpan w:val="4"/>
            <w:vAlign w:val="center"/>
          </w:tcPr>
          <w:p w14:paraId="20DEEF26">
            <w:pPr>
              <w:pStyle w:val="17"/>
              <w:bidi w:val="0"/>
              <w:jc w:val="both"/>
              <w:rPr>
                <w:rFonts w:hint="eastAsia"/>
                <w:color w:val="auto"/>
                <w:lang w:val="en-US" w:eastAsia="zh-CN"/>
              </w:rPr>
            </w:pPr>
            <w:r>
              <w:rPr>
                <w:rFonts w:hint="eastAsia"/>
                <w:color w:val="auto"/>
                <w:lang w:val="en-US" w:eastAsia="zh-CN"/>
              </w:rPr>
              <w:t>1、初期雨水池沉渣回用于制砖；</w:t>
            </w:r>
          </w:p>
          <w:p w14:paraId="6FF4C3DD">
            <w:pPr>
              <w:pStyle w:val="17"/>
              <w:bidi w:val="0"/>
              <w:jc w:val="both"/>
              <w:rPr>
                <w:rFonts w:hint="eastAsia"/>
                <w:color w:val="auto"/>
                <w:lang w:val="en-US" w:eastAsia="zh-CN"/>
              </w:rPr>
            </w:pPr>
            <w:r>
              <w:rPr>
                <w:rFonts w:hint="eastAsia"/>
                <w:color w:val="auto"/>
                <w:lang w:val="en-US" w:eastAsia="zh-CN"/>
              </w:rPr>
              <w:t>2、除尘器粉尘、除尘器废布袋、钢筋、木块、废塑料等、成型养护固废定期外售综合利用；</w:t>
            </w:r>
          </w:p>
          <w:p w14:paraId="304D9A21">
            <w:pPr>
              <w:pStyle w:val="17"/>
              <w:bidi w:val="0"/>
              <w:jc w:val="both"/>
              <w:rPr>
                <w:rFonts w:hint="eastAsia"/>
                <w:color w:val="auto"/>
                <w:lang w:val="en-US" w:eastAsia="zh-CN"/>
              </w:rPr>
            </w:pPr>
            <w:r>
              <w:rPr>
                <w:rFonts w:hint="eastAsia"/>
                <w:color w:val="auto"/>
                <w:lang w:val="en-US" w:eastAsia="zh-CN"/>
              </w:rPr>
              <w:t>3、隔油渣、废机油及油桶收集后暂存于危废暂存间，定期外委有资质单位处置；</w:t>
            </w:r>
          </w:p>
          <w:p w14:paraId="128B9E60">
            <w:pPr>
              <w:pStyle w:val="17"/>
              <w:bidi w:val="0"/>
              <w:ind w:firstLine="0" w:firstLineChars="0"/>
              <w:jc w:val="both"/>
              <w:rPr>
                <w:color w:val="auto"/>
                <w:vertAlign w:val="baseline"/>
              </w:rPr>
            </w:pPr>
            <w:r>
              <w:rPr>
                <w:rFonts w:hint="eastAsia"/>
                <w:color w:val="auto"/>
                <w:lang w:val="en-US" w:eastAsia="zh-CN"/>
              </w:rPr>
              <w:t>4、生活垃圾交由当地环卫部门定期清运处理。</w:t>
            </w:r>
          </w:p>
        </w:tc>
      </w:tr>
      <w:tr w14:paraId="0D356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vAlign w:val="center"/>
          </w:tcPr>
          <w:p w14:paraId="536901C5">
            <w:pPr>
              <w:pStyle w:val="17"/>
              <w:bidi w:val="0"/>
              <w:ind w:firstLine="0" w:firstLineChars="0"/>
              <w:rPr>
                <w:color w:val="auto"/>
                <w:vertAlign w:val="baseline"/>
              </w:rPr>
            </w:pPr>
            <w:r>
              <w:rPr>
                <w:rFonts w:hint="eastAsia"/>
                <w:color w:val="auto"/>
              </w:rPr>
              <w:t>土壤及地下水污染防治措施</w:t>
            </w:r>
          </w:p>
        </w:tc>
        <w:tc>
          <w:tcPr>
            <w:tcW w:w="7523" w:type="dxa"/>
            <w:gridSpan w:val="4"/>
            <w:vAlign w:val="center"/>
          </w:tcPr>
          <w:p w14:paraId="026F42FF">
            <w:pPr>
              <w:pStyle w:val="17"/>
              <w:bidi w:val="0"/>
              <w:ind w:firstLine="0" w:firstLineChars="0"/>
              <w:rPr>
                <w:color w:val="auto"/>
                <w:vertAlign w:val="baseline"/>
              </w:rPr>
            </w:pPr>
            <w:r>
              <w:rPr>
                <w:rFonts w:hint="eastAsia"/>
                <w:color w:val="auto"/>
                <w:lang w:val="en-US" w:eastAsia="zh-CN"/>
              </w:rPr>
              <w:t>无</w:t>
            </w:r>
          </w:p>
        </w:tc>
      </w:tr>
      <w:tr w14:paraId="3C2AF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vAlign w:val="center"/>
          </w:tcPr>
          <w:p w14:paraId="10C50897">
            <w:pPr>
              <w:pStyle w:val="17"/>
              <w:bidi w:val="0"/>
              <w:ind w:firstLine="0" w:firstLineChars="0"/>
              <w:rPr>
                <w:color w:val="auto"/>
                <w:vertAlign w:val="baseline"/>
              </w:rPr>
            </w:pPr>
            <w:r>
              <w:rPr>
                <w:rFonts w:hint="eastAsia"/>
                <w:color w:val="auto"/>
              </w:rPr>
              <w:t>生态保护措施</w:t>
            </w:r>
          </w:p>
        </w:tc>
        <w:tc>
          <w:tcPr>
            <w:tcW w:w="7523" w:type="dxa"/>
            <w:gridSpan w:val="4"/>
            <w:vAlign w:val="center"/>
          </w:tcPr>
          <w:p w14:paraId="67613652">
            <w:pPr>
              <w:pStyle w:val="17"/>
              <w:bidi w:val="0"/>
              <w:ind w:firstLine="0" w:firstLineChars="0"/>
              <w:rPr>
                <w:color w:val="auto"/>
                <w:vertAlign w:val="baseline"/>
              </w:rPr>
            </w:pPr>
            <w:r>
              <w:rPr>
                <w:rFonts w:hint="eastAsia"/>
                <w:color w:val="auto"/>
                <w:lang w:val="en-US" w:eastAsia="zh-CN"/>
              </w:rPr>
              <w:t>无</w:t>
            </w:r>
          </w:p>
        </w:tc>
      </w:tr>
      <w:tr w14:paraId="2914F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vAlign w:val="center"/>
          </w:tcPr>
          <w:p w14:paraId="6AEED051">
            <w:pPr>
              <w:pStyle w:val="17"/>
              <w:bidi w:val="0"/>
              <w:ind w:firstLine="0" w:firstLineChars="0"/>
              <w:rPr>
                <w:color w:val="auto"/>
                <w:vertAlign w:val="baseline"/>
              </w:rPr>
            </w:pPr>
            <w:r>
              <w:rPr>
                <w:rFonts w:hint="eastAsia"/>
                <w:color w:val="auto"/>
              </w:rPr>
              <w:t>环境风险防范措施</w:t>
            </w:r>
          </w:p>
        </w:tc>
        <w:tc>
          <w:tcPr>
            <w:tcW w:w="7523" w:type="dxa"/>
            <w:gridSpan w:val="4"/>
            <w:vAlign w:val="center"/>
          </w:tcPr>
          <w:p w14:paraId="3181A330">
            <w:pPr>
              <w:pStyle w:val="17"/>
              <w:bidi w:val="0"/>
              <w:jc w:val="both"/>
              <w:rPr>
                <w:rFonts w:hint="eastAsia"/>
                <w:color w:val="auto"/>
              </w:rPr>
            </w:pPr>
            <w:r>
              <w:rPr>
                <w:rFonts w:hint="eastAsia"/>
                <w:color w:val="auto"/>
              </w:rPr>
              <w:t>①泄漏事故风险防范</w:t>
            </w:r>
            <w:r>
              <w:rPr>
                <w:rFonts w:hint="eastAsia"/>
                <w:color w:val="auto"/>
                <w:lang w:eastAsia="zh-CN"/>
              </w:rPr>
              <w:t>措施</w:t>
            </w:r>
          </w:p>
          <w:p w14:paraId="5AC0D6AC">
            <w:pPr>
              <w:pStyle w:val="17"/>
              <w:bidi w:val="0"/>
              <w:jc w:val="both"/>
              <w:rPr>
                <w:rFonts w:hint="eastAsia"/>
                <w:color w:val="auto"/>
              </w:rPr>
            </w:pPr>
            <w:r>
              <w:rPr>
                <w:rFonts w:hint="eastAsia"/>
                <w:color w:val="auto"/>
              </w:rPr>
              <w:t>I.矿物油油桶四周设置围堰，围堰容积远大于油料的最大储存量，且油桶地面为现浇混凝土地面，配套设置有干粉灭火器材、消防沙及防静电装置等，贴有警示标识。</w:t>
            </w:r>
          </w:p>
          <w:p w14:paraId="5DEBD69E">
            <w:pPr>
              <w:pStyle w:val="17"/>
              <w:bidi w:val="0"/>
              <w:jc w:val="both"/>
              <w:rPr>
                <w:rFonts w:hint="eastAsia"/>
                <w:color w:val="auto"/>
              </w:rPr>
            </w:pPr>
            <w:r>
              <w:rPr>
                <w:rFonts w:hint="eastAsia"/>
                <w:color w:val="auto"/>
              </w:rPr>
              <w:t>II.危废暂存间设置围堰和托盘等环境风险防范措施。</w:t>
            </w:r>
          </w:p>
          <w:p w14:paraId="3F8A73CE">
            <w:pPr>
              <w:pStyle w:val="17"/>
              <w:bidi w:val="0"/>
              <w:jc w:val="both"/>
              <w:rPr>
                <w:rFonts w:hint="eastAsia"/>
                <w:color w:val="auto"/>
              </w:rPr>
            </w:pPr>
            <w:r>
              <w:rPr>
                <w:rFonts w:hint="eastAsia"/>
                <w:color w:val="auto"/>
              </w:rPr>
              <w:t>III.厂内的危险废物贮存场所按照《危险废物贮存污染控制标准》（GB 18597-2023）的规定做好防雨淋、防渗漏、防流失措施，危险废物收集后妥善贮存于危废贮存场所，定期委托有资质单位处置。同时，建设单位在危险废物转移过程中须严格执行转移制度，并做好记录台账，防止危险废物在转移过程中发生遗失事故。</w:t>
            </w:r>
          </w:p>
          <w:p w14:paraId="3DEB91D8">
            <w:pPr>
              <w:pStyle w:val="17"/>
              <w:bidi w:val="0"/>
              <w:jc w:val="both"/>
              <w:rPr>
                <w:rFonts w:hint="eastAsia"/>
                <w:color w:val="auto"/>
              </w:rPr>
            </w:pPr>
            <w:r>
              <w:rPr>
                <w:rFonts w:hint="eastAsia"/>
                <w:color w:val="auto"/>
              </w:rPr>
              <w:t>IV.生产员工严格按照操作规程进行操作，防止泄漏等事故发生，专人负责对储存装置以及输送管道等设施定期进行保养，受损设备及时检修，防止跑、冒、滴、漏。</w:t>
            </w:r>
          </w:p>
          <w:p w14:paraId="60F3513D">
            <w:pPr>
              <w:pStyle w:val="17"/>
              <w:bidi w:val="0"/>
              <w:jc w:val="both"/>
              <w:rPr>
                <w:rFonts w:hint="eastAsia"/>
                <w:color w:val="auto"/>
              </w:rPr>
            </w:pPr>
            <w:r>
              <w:rPr>
                <w:rFonts w:hint="eastAsia"/>
                <w:color w:val="auto"/>
              </w:rPr>
              <w:t>②火灾事故风险防范</w:t>
            </w:r>
            <w:r>
              <w:rPr>
                <w:rFonts w:hint="eastAsia"/>
                <w:color w:val="auto"/>
                <w:lang w:eastAsia="zh-CN"/>
              </w:rPr>
              <w:t>措施</w:t>
            </w:r>
          </w:p>
          <w:p w14:paraId="4C86F31E">
            <w:pPr>
              <w:pStyle w:val="17"/>
              <w:bidi w:val="0"/>
              <w:jc w:val="both"/>
              <w:rPr>
                <w:rFonts w:hint="eastAsia"/>
                <w:color w:val="auto"/>
              </w:rPr>
            </w:pPr>
            <w:r>
              <w:rPr>
                <w:rFonts w:hint="eastAsia"/>
                <w:color w:val="auto"/>
              </w:rPr>
              <w:t>I.应严格按照国家有关消防的规定，制定消防灭火应急预案，建立自动灭火系统，配备足够的消防设备和消防器材。一切消防器材不准挪动、乱用，并要定期检查，确保能正常使用，并设置烟雾报警器等应急装置，以便及时发现火灾；</w:t>
            </w:r>
          </w:p>
          <w:p w14:paraId="5BBC8DE3">
            <w:pPr>
              <w:pStyle w:val="17"/>
              <w:bidi w:val="0"/>
              <w:jc w:val="both"/>
              <w:rPr>
                <w:rFonts w:hint="eastAsia"/>
                <w:color w:val="auto"/>
              </w:rPr>
            </w:pPr>
            <w:r>
              <w:rPr>
                <w:rFonts w:hint="eastAsia"/>
                <w:color w:val="auto"/>
              </w:rPr>
              <w:t>II.根据相关要求，加强对用电线路、设备的安全管理，做到专人管理、专人负责，电气设备及线路采用防爆型，发现电气隐患，立即以新代老排除，防止出现电气火灾事故；</w:t>
            </w:r>
          </w:p>
          <w:p w14:paraId="68866FF4">
            <w:pPr>
              <w:pStyle w:val="17"/>
              <w:bidi w:val="0"/>
              <w:ind w:firstLine="0" w:firstLineChars="0"/>
              <w:jc w:val="both"/>
              <w:rPr>
                <w:color w:val="auto"/>
                <w:vertAlign w:val="baseline"/>
              </w:rPr>
            </w:pPr>
            <w:r>
              <w:rPr>
                <w:rFonts w:hint="eastAsia"/>
                <w:color w:val="auto"/>
              </w:rPr>
              <w:t>III.矿物油库房、天然气调压站配套设置有灭火器材及防静电装置等，制定严格的操作管理制度和对工人进行培训上岗，使其熟知灭火器材使用及防范应急措施；</w:t>
            </w:r>
          </w:p>
        </w:tc>
      </w:tr>
      <w:tr w14:paraId="2DFD1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vAlign w:val="center"/>
          </w:tcPr>
          <w:p w14:paraId="56B68148">
            <w:pPr>
              <w:pStyle w:val="17"/>
              <w:bidi w:val="0"/>
              <w:ind w:firstLine="0" w:firstLineChars="0"/>
              <w:rPr>
                <w:color w:val="auto"/>
                <w:vertAlign w:val="baseline"/>
              </w:rPr>
            </w:pPr>
            <w:r>
              <w:rPr>
                <w:rFonts w:hint="eastAsia"/>
                <w:color w:val="auto"/>
              </w:rPr>
              <w:t>其他环境管理要求</w:t>
            </w:r>
          </w:p>
        </w:tc>
        <w:tc>
          <w:tcPr>
            <w:tcW w:w="7523" w:type="dxa"/>
            <w:gridSpan w:val="4"/>
            <w:vAlign w:val="center"/>
          </w:tcPr>
          <w:p w14:paraId="4271A3B3">
            <w:pPr>
              <w:pStyle w:val="17"/>
              <w:bidi w:val="0"/>
              <w:jc w:val="both"/>
              <w:rPr>
                <w:rFonts w:hint="eastAsia" w:eastAsia="宋体"/>
                <w:color w:val="auto"/>
                <w:lang w:val="en-US" w:eastAsia="zh-CN"/>
              </w:rPr>
            </w:pPr>
            <w:r>
              <w:rPr>
                <w:rFonts w:hint="eastAsia" w:eastAsia="宋体"/>
                <w:color w:val="auto"/>
                <w:lang w:val="en-US" w:eastAsia="zh-CN"/>
              </w:rPr>
              <w:t>1、项目应按生态环境部门的要求加强对企业的环境管理，要建立健全企业的环保监督、管理制度。</w:t>
            </w:r>
          </w:p>
          <w:p w14:paraId="29803EC6">
            <w:pPr>
              <w:pStyle w:val="17"/>
              <w:bidi w:val="0"/>
              <w:jc w:val="both"/>
              <w:rPr>
                <w:rFonts w:hint="eastAsia" w:eastAsia="宋体"/>
                <w:color w:val="auto"/>
                <w:lang w:val="en-US" w:eastAsia="zh-CN"/>
              </w:rPr>
            </w:pPr>
            <w:r>
              <w:rPr>
                <w:rFonts w:hint="eastAsia" w:eastAsia="宋体"/>
                <w:color w:val="auto"/>
                <w:lang w:val="en-US" w:eastAsia="zh-CN"/>
              </w:rPr>
              <w:t>2、项目建成后企业需根据《排污许可管理条例》及相关规范的要求重新申请排污许可证，并根据相关规定定期进行自行监测。</w:t>
            </w:r>
          </w:p>
          <w:p w14:paraId="5AE06ECA">
            <w:pPr>
              <w:pStyle w:val="17"/>
              <w:bidi w:val="0"/>
              <w:ind w:firstLine="0" w:firstLineChars="0"/>
              <w:jc w:val="both"/>
              <w:rPr>
                <w:color w:val="auto"/>
                <w:vertAlign w:val="baseline"/>
              </w:rPr>
            </w:pPr>
            <w:r>
              <w:rPr>
                <w:rFonts w:hint="eastAsia" w:eastAsia="宋体"/>
                <w:color w:val="auto"/>
                <w:lang w:val="en-US" w:eastAsia="zh-CN"/>
              </w:rPr>
              <w:t>3、环境管理措施：企业应有负责人分管厂内的环保工作，设立环保专门机构，配备专职人员负责具体工作，以保证各项污染防治设施的正常运行。经常对厂内劳动人员进行环境保护的教育和管理，使每</w:t>
            </w:r>
            <w:r>
              <w:rPr>
                <w:rFonts w:hint="eastAsia"/>
                <w:color w:val="auto"/>
                <w:lang w:val="en-US" w:eastAsia="zh-CN"/>
              </w:rPr>
              <w:t>一名</w:t>
            </w:r>
            <w:r>
              <w:rPr>
                <w:rFonts w:hint="eastAsia" w:eastAsia="宋体"/>
                <w:color w:val="auto"/>
                <w:lang w:val="en-US" w:eastAsia="zh-CN"/>
              </w:rPr>
              <w:t>员工都有环保意识及危害意识，自觉节约用水、用电。对固体废弃物能自觉纳入相应的收集系统内，不乱排、乱倒。</w:t>
            </w:r>
          </w:p>
        </w:tc>
      </w:tr>
    </w:tbl>
    <w:p w14:paraId="02190802">
      <w:pPr>
        <w:pStyle w:val="17"/>
        <w:bidi w:val="0"/>
        <w:rPr>
          <w:color w:val="auto"/>
        </w:rPr>
      </w:pPr>
    </w:p>
    <w:p w14:paraId="6075AC9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outlineLvl w:val="0"/>
        <w:rPr>
          <w:rStyle w:val="15"/>
          <w:color w:val="auto"/>
        </w:rPr>
      </w:pPr>
      <w:r>
        <w:rPr>
          <w:snapToGrid w:val="0"/>
          <w:color w:val="auto"/>
        </w:rPr>
        <w:br w:type="page"/>
      </w:r>
      <w:bookmarkStart w:id="514" w:name="_Toc11621"/>
      <w:r>
        <w:rPr>
          <w:rStyle w:val="15"/>
          <w:rFonts w:hint="eastAsia"/>
          <w:color w:val="auto"/>
        </w:rPr>
        <w:t>六、结论</w:t>
      </w:r>
      <w:bookmarkEnd w:id="514"/>
    </w:p>
    <w:tbl>
      <w:tblPr>
        <w:tblStyle w:val="1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7D25DC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5000" w:type="pct"/>
            <w:noWrap w:val="0"/>
            <w:vAlign w:val="top"/>
          </w:tcPr>
          <w:p w14:paraId="733DB242">
            <w:pPr>
              <w:bidi w:val="0"/>
              <w:jc w:val="both"/>
              <w:rPr>
                <w:color w:val="auto"/>
              </w:rPr>
            </w:pPr>
            <w:r>
              <w:rPr>
                <w:rFonts w:hint="eastAsia" w:eastAsia="宋体"/>
                <w:color w:val="auto"/>
                <w:lang w:val="en-US" w:eastAsia="zh-CN"/>
              </w:rPr>
              <w:t>经综合分析，衡阳京泰建材有限公司年处理</w:t>
            </w:r>
            <w:r>
              <w:rPr>
                <w:rFonts w:hint="eastAsia"/>
                <w:color w:val="auto"/>
                <w:lang w:val="en-US" w:eastAsia="zh-CN"/>
              </w:rPr>
              <w:t>24</w:t>
            </w:r>
            <w:r>
              <w:rPr>
                <w:rFonts w:hint="eastAsia" w:eastAsia="宋体"/>
                <w:color w:val="auto"/>
                <w:lang w:val="en-US" w:eastAsia="zh-CN"/>
              </w:rPr>
              <w:t>万吨建筑垃圾</w:t>
            </w:r>
            <w:r>
              <w:rPr>
                <w:rFonts w:hint="eastAsia"/>
                <w:color w:val="auto"/>
                <w:lang w:val="en-US" w:eastAsia="zh-CN"/>
              </w:rPr>
              <w:t>、</w:t>
            </w:r>
            <w:r>
              <w:rPr>
                <w:rFonts w:hint="eastAsia" w:eastAsia="宋体"/>
                <w:color w:val="auto"/>
                <w:lang w:val="en-US" w:eastAsia="zh-CN"/>
              </w:rPr>
              <w:t>装修垃圾</w:t>
            </w:r>
            <w:r>
              <w:rPr>
                <w:rFonts w:hint="eastAsia"/>
                <w:color w:val="auto"/>
                <w:lang w:val="en-US" w:eastAsia="zh-CN"/>
              </w:rPr>
              <w:t>和一般工业固体废物</w:t>
            </w:r>
            <w:r>
              <w:rPr>
                <w:rFonts w:hint="eastAsia" w:eastAsia="宋体"/>
                <w:color w:val="auto"/>
                <w:lang w:val="en-US" w:eastAsia="zh-CN"/>
              </w:rPr>
              <w:t>综合利用改建项目符合国家相关产业政策，符合地方总体规划要求，选址可行，总平面布置合理。在采取本报告表提出的各项环保措施与对策，落实环保“三同时”制度前提下，该项目产生的污染物可做到达标排放，对环境影响</w:t>
            </w:r>
            <w:r>
              <w:rPr>
                <w:rFonts w:hint="eastAsia"/>
                <w:color w:val="auto"/>
                <w:lang w:val="en-US" w:eastAsia="zh-CN"/>
              </w:rPr>
              <w:t>可接受</w:t>
            </w:r>
            <w:r>
              <w:rPr>
                <w:rFonts w:hint="eastAsia" w:eastAsia="宋体"/>
                <w:color w:val="auto"/>
                <w:lang w:val="en-US" w:eastAsia="zh-CN"/>
              </w:rPr>
              <w:t>，固废得到妥善处置，噪声不会出现扰民现象，项目区域环境质量基本可达功能区要求，从环境保护角度分析，该项目的建设是可行的。</w:t>
            </w:r>
          </w:p>
        </w:tc>
      </w:tr>
    </w:tbl>
    <w:p w14:paraId="68FD24EE">
      <w:pPr>
        <w:rPr>
          <w:rFonts w:ascii="宋体"/>
          <w:color w:val="auto"/>
        </w:rPr>
        <w:sectPr>
          <w:pgSz w:w="11906" w:h="16838"/>
          <w:pgMar w:top="1701" w:right="1531" w:bottom="1701" w:left="1531" w:header="851" w:footer="851" w:gutter="0"/>
          <w:pgNumType w:fmt="decimal"/>
          <w:cols w:space="720" w:num="1"/>
          <w:docGrid w:linePitch="312" w:charSpace="0"/>
        </w:sectPr>
      </w:pPr>
    </w:p>
    <w:p w14:paraId="06233CEC">
      <w:pPr>
        <w:pStyle w:val="19"/>
        <w:bidi w:val="0"/>
        <w:rPr>
          <w:color w:val="auto"/>
        </w:rPr>
      </w:pPr>
      <w:bookmarkStart w:id="515" w:name="_Toc8336"/>
      <w:r>
        <w:rPr>
          <w:rFonts w:hint="eastAsia"/>
          <w:color w:val="auto"/>
        </w:rPr>
        <w:t>附表</w:t>
      </w:r>
      <w:bookmarkEnd w:id="515"/>
    </w:p>
    <w:p w14:paraId="297903AF">
      <w:pPr>
        <w:adjustRightInd w:val="0"/>
        <w:snapToGrid w:val="0"/>
        <w:spacing w:before="0" w:beforeAutospacing="0" w:after="0" w:afterAutospacing="0" w:line="552" w:lineRule="auto"/>
        <w:jc w:val="center"/>
        <w:outlineLvl w:val="0"/>
        <w:rPr>
          <w:rFonts w:hint="eastAsia" w:ascii="方正小标宋_GBK" w:hAnsi="黑体" w:eastAsia="方正小标宋_GBK"/>
          <w:snapToGrid w:val="0"/>
          <w:color w:val="auto"/>
          <w:sz w:val="38"/>
          <w:szCs w:val="38"/>
        </w:rPr>
      </w:pPr>
      <w:bookmarkStart w:id="516" w:name="_Toc29083"/>
      <w:bookmarkStart w:id="517" w:name="_Toc4803"/>
      <w:bookmarkStart w:id="518" w:name="_Toc4828"/>
      <w:bookmarkStart w:id="519" w:name="_Toc5416"/>
      <w:bookmarkStart w:id="520" w:name="_Toc3697"/>
      <w:r>
        <w:rPr>
          <w:rFonts w:hint="eastAsia" w:ascii="方正小标宋_GBK" w:hAnsi="黑体" w:eastAsia="方正小标宋_GBK"/>
          <w:snapToGrid w:val="0"/>
          <w:color w:val="auto"/>
          <w:sz w:val="38"/>
          <w:szCs w:val="38"/>
        </w:rPr>
        <w:t>建设项目污染物排放量汇总表</w:t>
      </w:r>
      <w:bookmarkEnd w:id="516"/>
      <w:bookmarkEnd w:id="517"/>
      <w:bookmarkEnd w:id="518"/>
      <w:bookmarkEnd w:id="519"/>
      <w:bookmarkEnd w:id="520"/>
    </w:p>
    <w:tbl>
      <w:tblPr>
        <w:tblStyle w:val="12"/>
        <w:tblW w:w="4997"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489"/>
        <w:gridCol w:w="1320"/>
        <w:gridCol w:w="1598"/>
        <w:gridCol w:w="1183"/>
        <w:gridCol w:w="1598"/>
        <w:gridCol w:w="1461"/>
        <w:gridCol w:w="1658"/>
        <w:gridCol w:w="1852"/>
        <w:gridCol w:w="1325"/>
      </w:tblGrid>
      <w:tr w14:paraId="3C2FD6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53" w:type="pct"/>
            <w:tcBorders>
              <w:tl2br w:val="single" w:color="auto" w:sz="4" w:space="0"/>
            </w:tcBorders>
            <w:noWrap w:val="0"/>
            <w:tcMar>
              <w:left w:w="28" w:type="dxa"/>
              <w:right w:w="28" w:type="dxa"/>
            </w:tcMar>
            <w:vAlign w:val="center"/>
          </w:tcPr>
          <w:p w14:paraId="14C70101">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right"/>
              <w:textAlignment w:val="auto"/>
              <w:rPr>
                <w:rFonts w:hint="eastAsia" w:ascii="黑体" w:hAnsi="黑体" w:eastAsia="黑体" w:cs="宋体"/>
                <w:snapToGrid w:val="0"/>
                <w:color w:val="auto"/>
                <w:spacing w:val="-6"/>
                <w:kern w:val="21"/>
                <w:szCs w:val="21"/>
              </w:rPr>
            </w:pPr>
            <w:r>
              <w:rPr>
                <w:rFonts w:hint="eastAsia" w:ascii="黑体" w:hAnsi="黑体" w:eastAsia="黑体" w:cs="宋体"/>
                <w:snapToGrid w:val="0"/>
                <w:color w:val="auto"/>
                <w:spacing w:val="-6"/>
                <w:kern w:val="21"/>
                <w:szCs w:val="21"/>
              </w:rPr>
              <w:t>项目</w:t>
            </w:r>
          </w:p>
          <w:p w14:paraId="6A5E7110">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left"/>
              <w:textAlignment w:val="auto"/>
              <w:rPr>
                <w:rFonts w:hint="eastAsia" w:ascii="黑体" w:hAnsi="黑体" w:eastAsia="黑体" w:cs="宋体"/>
                <w:snapToGrid w:val="0"/>
                <w:color w:val="auto"/>
                <w:spacing w:val="-6"/>
                <w:kern w:val="21"/>
                <w:szCs w:val="21"/>
              </w:rPr>
            </w:pPr>
            <w:r>
              <w:rPr>
                <w:rFonts w:hint="eastAsia" w:ascii="黑体" w:hAnsi="黑体" w:eastAsia="黑体" w:cs="宋体"/>
                <w:snapToGrid w:val="0"/>
                <w:color w:val="auto"/>
                <w:spacing w:val="-6"/>
                <w:kern w:val="21"/>
                <w:szCs w:val="21"/>
              </w:rPr>
              <w:t>分类</w:t>
            </w:r>
          </w:p>
        </w:tc>
        <w:tc>
          <w:tcPr>
            <w:tcW w:w="490" w:type="pct"/>
            <w:noWrap w:val="0"/>
            <w:tcMar>
              <w:left w:w="28" w:type="dxa"/>
              <w:right w:w="28" w:type="dxa"/>
            </w:tcMar>
            <w:vAlign w:val="center"/>
          </w:tcPr>
          <w:p w14:paraId="44168B81">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ascii="黑体" w:hAnsi="黑体" w:eastAsia="黑体" w:cs="宋体"/>
                <w:snapToGrid w:val="0"/>
                <w:color w:val="auto"/>
                <w:spacing w:val="-6"/>
                <w:kern w:val="21"/>
                <w:szCs w:val="21"/>
              </w:rPr>
            </w:pPr>
            <w:r>
              <w:rPr>
                <w:rFonts w:hint="eastAsia" w:ascii="黑体" w:hAnsi="黑体" w:eastAsia="黑体" w:cs="宋体"/>
                <w:snapToGrid w:val="0"/>
                <w:color w:val="auto"/>
                <w:spacing w:val="-6"/>
                <w:kern w:val="21"/>
                <w:szCs w:val="21"/>
              </w:rPr>
              <w:t>污染物名称</w:t>
            </w:r>
          </w:p>
        </w:tc>
        <w:tc>
          <w:tcPr>
            <w:tcW w:w="593" w:type="pct"/>
            <w:noWrap w:val="0"/>
            <w:tcMar>
              <w:left w:w="28" w:type="dxa"/>
              <w:right w:w="28" w:type="dxa"/>
            </w:tcMar>
            <w:vAlign w:val="center"/>
          </w:tcPr>
          <w:p w14:paraId="71981582">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ascii="黑体" w:hAnsi="黑体" w:eastAsia="黑体"/>
                <w:snapToGrid w:val="0"/>
                <w:color w:val="auto"/>
                <w:spacing w:val="-6"/>
                <w:kern w:val="21"/>
                <w:szCs w:val="21"/>
              </w:rPr>
            </w:pPr>
            <w:r>
              <w:rPr>
                <w:rFonts w:ascii="黑体" w:hAnsi="黑体" w:eastAsia="黑体"/>
                <w:snapToGrid w:val="0"/>
                <w:color w:val="auto"/>
                <w:spacing w:val="-6"/>
                <w:kern w:val="21"/>
                <w:szCs w:val="21"/>
              </w:rPr>
              <w:t>现有工程</w:t>
            </w:r>
          </w:p>
          <w:p w14:paraId="7332B4F5">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ascii="黑体" w:hAnsi="黑体" w:eastAsia="黑体"/>
                <w:snapToGrid w:val="0"/>
                <w:color w:val="auto"/>
                <w:spacing w:val="-6"/>
                <w:kern w:val="21"/>
                <w:szCs w:val="21"/>
              </w:rPr>
            </w:pPr>
            <w:r>
              <w:rPr>
                <w:rFonts w:ascii="黑体" w:hAnsi="黑体" w:eastAsia="黑体"/>
                <w:snapToGrid w:val="0"/>
                <w:color w:val="auto"/>
                <w:spacing w:val="-6"/>
                <w:kern w:val="21"/>
                <w:szCs w:val="21"/>
              </w:rPr>
              <w:t>排放量（固</w:t>
            </w:r>
            <w:r>
              <w:rPr>
                <w:rFonts w:hint="eastAsia" w:ascii="黑体" w:hAnsi="黑体" w:eastAsia="黑体"/>
                <w:snapToGrid w:val="0"/>
                <w:color w:val="auto"/>
                <w:spacing w:val="-6"/>
                <w:kern w:val="21"/>
                <w:szCs w:val="21"/>
              </w:rPr>
              <w:t>体</w:t>
            </w:r>
            <w:r>
              <w:rPr>
                <w:rFonts w:ascii="黑体" w:hAnsi="黑体" w:eastAsia="黑体"/>
                <w:snapToGrid w:val="0"/>
                <w:color w:val="auto"/>
                <w:spacing w:val="-6"/>
                <w:kern w:val="21"/>
                <w:szCs w:val="21"/>
              </w:rPr>
              <w:t>废</w:t>
            </w:r>
            <w:r>
              <w:rPr>
                <w:rFonts w:hint="eastAsia" w:ascii="黑体" w:hAnsi="黑体" w:eastAsia="黑体"/>
                <w:snapToGrid w:val="0"/>
                <w:color w:val="auto"/>
                <w:spacing w:val="-6"/>
                <w:kern w:val="21"/>
                <w:szCs w:val="21"/>
              </w:rPr>
              <w:t>物</w:t>
            </w:r>
            <w:r>
              <w:rPr>
                <w:rFonts w:ascii="黑体" w:hAnsi="黑体" w:eastAsia="黑体"/>
                <w:snapToGrid w:val="0"/>
                <w:color w:val="auto"/>
                <w:spacing w:val="-6"/>
                <w:kern w:val="21"/>
                <w:szCs w:val="21"/>
              </w:rPr>
              <w:t>产生量）</w:t>
            </w:r>
            <w:r>
              <w:rPr>
                <w:rFonts w:ascii="黑体" w:hAnsi="黑体" w:eastAsia="黑体"/>
                <w:snapToGrid w:val="0"/>
                <w:color w:val="auto"/>
                <w:spacing w:val="-6"/>
                <w:kern w:val="21"/>
                <w:szCs w:val="21"/>
              </w:rPr>
              <w:fldChar w:fldCharType="begin"/>
            </w:r>
            <w:r>
              <w:rPr>
                <w:rFonts w:ascii="黑体" w:hAnsi="黑体" w:eastAsia="黑体"/>
                <w:snapToGrid w:val="0"/>
                <w:color w:val="auto"/>
                <w:spacing w:val="-6"/>
                <w:kern w:val="21"/>
                <w:szCs w:val="21"/>
              </w:rPr>
              <w:instrText xml:space="preserve"> = 1 \* GB3 \* MERGEFORMAT </w:instrText>
            </w:r>
            <w:r>
              <w:rPr>
                <w:rFonts w:ascii="黑体" w:hAnsi="黑体" w:eastAsia="黑体"/>
                <w:snapToGrid w:val="0"/>
                <w:color w:val="auto"/>
                <w:spacing w:val="-6"/>
                <w:kern w:val="21"/>
                <w:szCs w:val="21"/>
              </w:rPr>
              <w:fldChar w:fldCharType="separate"/>
            </w:r>
            <w:r>
              <w:rPr>
                <w:rFonts w:hint="eastAsia" w:ascii="黑体" w:hAnsi="黑体" w:eastAsia="黑体" w:cs="宋体"/>
                <w:color w:val="auto"/>
                <w:kern w:val="2"/>
                <w:szCs w:val="21"/>
              </w:rPr>
              <w:t>①</w:t>
            </w:r>
            <w:r>
              <w:rPr>
                <w:rFonts w:ascii="黑体" w:hAnsi="黑体" w:eastAsia="黑体"/>
                <w:snapToGrid w:val="0"/>
                <w:color w:val="auto"/>
                <w:spacing w:val="-6"/>
                <w:kern w:val="21"/>
                <w:szCs w:val="21"/>
              </w:rPr>
              <w:fldChar w:fldCharType="end"/>
            </w:r>
          </w:p>
        </w:tc>
        <w:tc>
          <w:tcPr>
            <w:tcW w:w="439" w:type="pct"/>
            <w:noWrap w:val="0"/>
            <w:tcMar>
              <w:left w:w="28" w:type="dxa"/>
              <w:right w:w="28" w:type="dxa"/>
            </w:tcMar>
            <w:vAlign w:val="center"/>
          </w:tcPr>
          <w:p w14:paraId="2969CE82">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ascii="黑体" w:hAnsi="黑体" w:eastAsia="黑体"/>
                <w:snapToGrid w:val="0"/>
                <w:color w:val="auto"/>
                <w:spacing w:val="-6"/>
                <w:kern w:val="21"/>
                <w:szCs w:val="21"/>
              </w:rPr>
            </w:pPr>
            <w:r>
              <w:rPr>
                <w:rFonts w:ascii="黑体" w:hAnsi="黑体" w:eastAsia="黑体"/>
                <w:snapToGrid w:val="0"/>
                <w:color w:val="auto"/>
                <w:spacing w:val="-6"/>
                <w:kern w:val="21"/>
                <w:szCs w:val="21"/>
              </w:rPr>
              <w:t>现有工程</w:t>
            </w:r>
          </w:p>
          <w:p w14:paraId="6832E5A9">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ascii="黑体" w:hAnsi="黑体" w:eastAsia="黑体"/>
                <w:snapToGrid w:val="0"/>
                <w:color w:val="auto"/>
                <w:spacing w:val="-6"/>
                <w:kern w:val="21"/>
                <w:szCs w:val="21"/>
              </w:rPr>
            </w:pPr>
            <w:r>
              <w:rPr>
                <w:rFonts w:ascii="黑体" w:hAnsi="黑体" w:eastAsia="黑体"/>
                <w:snapToGrid w:val="0"/>
                <w:color w:val="auto"/>
                <w:spacing w:val="-6"/>
                <w:kern w:val="21"/>
                <w:szCs w:val="21"/>
              </w:rPr>
              <w:t>许可排放量</w:t>
            </w:r>
          </w:p>
          <w:p w14:paraId="53FDAAA6">
            <w:pPr>
              <w:pStyle w:val="17"/>
              <w:keepNext w:val="0"/>
              <w:keepLines w:val="0"/>
              <w:pageBreakBefore w:val="0"/>
              <w:widowControl w:val="0"/>
              <w:kinsoku/>
              <w:wordWrap/>
              <w:overflowPunct/>
              <w:topLinePunct w:val="0"/>
              <w:autoSpaceDE/>
              <w:autoSpaceDN/>
              <w:bidi w:val="0"/>
              <w:adjustRightInd w:val="0"/>
              <w:snapToGrid w:val="0"/>
              <w:spacing w:beforeLines="0" w:afterLines="0"/>
              <w:ind w:firstLine="0" w:firstLineChars="0"/>
              <w:textAlignment w:val="auto"/>
              <w:rPr>
                <w:rFonts w:ascii="黑体" w:hAnsi="黑体" w:eastAsia="黑体"/>
                <w:snapToGrid w:val="0"/>
                <w:color w:val="auto"/>
                <w:spacing w:val="-6"/>
                <w:kern w:val="21"/>
                <w:szCs w:val="21"/>
              </w:rPr>
            </w:pPr>
            <w:r>
              <w:rPr>
                <w:rFonts w:ascii="黑体" w:hAnsi="黑体" w:eastAsia="黑体"/>
                <w:snapToGrid w:val="0"/>
                <w:color w:val="auto"/>
                <w:spacing w:val="-6"/>
                <w:kern w:val="21"/>
                <w:szCs w:val="21"/>
              </w:rPr>
              <w:fldChar w:fldCharType="begin"/>
            </w:r>
            <w:r>
              <w:rPr>
                <w:rFonts w:ascii="黑体" w:hAnsi="黑体" w:eastAsia="黑体"/>
                <w:snapToGrid w:val="0"/>
                <w:color w:val="auto"/>
                <w:spacing w:val="-6"/>
                <w:kern w:val="21"/>
                <w:szCs w:val="21"/>
              </w:rPr>
              <w:instrText xml:space="preserve"> = 2 \* GB3 \* MERGEFORMAT </w:instrText>
            </w:r>
            <w:r>
              <w:rPr>
                <w:rFonts w:ascii="黑体" w:hAnsi="黑体" w:eastAsia="黑体"/>
                <w:snapToGrid w:val="0"/>
                <w:color w:val="auto"/>
                <w:spacing w:val="-6"/>
                <w:kern w:val="21"/>
                <w:szCs w:val="21"/>
              </w:rPr>
              <w:fldChar w:fldCharType="separate"/>
            </w:r>
            <w:r>
              <w:rPr>
                <w:rFonts w:hint="eastAsia" w:ascii="黑体" w:hAnsi="黑体" w:eastAsia="黑体" w:cs="宋体"/>
                <w:snapToGrid w:val="0"/>
                <w:color w:val="auto"/>
                <w:spacing w:val="-6"/>
                <w:kern w:val="21"/>
                <w:szCs w:val="21"/>
              </w:rPr>
              <w:t>②</w:t>
            </w:r>
            <w:r>
              <w:rPr>
                <w:rFonts w:ascii="黑体" w:hAnsi="黑体" w:eastAsia="黑体"/>
                <w:snapToGrid w:val="0"/>
                <w:color w:val="auto"/>
                <w:spacing w:val="-6"/>
                <w:kern w:val="21"/>
                <w:szCs w:val="21"/>
              </w:rPr>
              <w:fldChar w:fldCharType="end"/>
            </w:r>
          </w:p>
        </w:tc>
        <w:tc>
          <w:tcPr>
            <w:tcW w:w="593" w:type="pct"/>
            <w:noWrap w:val="0"/>
            <w:tcMar>
              <w:left w:w="28" w:type="dxa"/>
              <w:right w:w="28" w:type="dxa"/>
            </w:tcMar>
            <w:vAlign w:val="center"/>
          </w:tcPr>
          <w:p w14:paraId="0A4BA532">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ascii="黑体" w:hAnsi="黑体" w:eastAsia="黑体"/>
                <w:snapToGrid w:val="0"/>
                <w:color w:val="auto"/>
                <w:spacing w:val="-6"/>
                <w:kern w:val="21"/>
                <w:szCs w:val="21"/>
              </w:rPr>
            </w:pPr>
            <w:r>
              <w:rPr>
                <w:rFonts w:ascii="黑体" w:hAnsi="黑体" w:eastAsia="黑体"/>
                <w:snapToGrid w:val="0"/>
                <w:color w:val="auto"/>
                <w:spacing w:val="-6"/>
                <w:kern w:val="21"/>
                <w:szCs w:val="21"/>
              </w:rPr>
              <w:t>在建工程</w:t>
            </w:r>
          </w:p>
          <w:p w14:paraId="58646052">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ascii="黑体" w:hAnsi="黑体" w:eastAsia="黑体"/>
                <w:snapToGrid w:val="0"/>
                <w:color w:val="auto"/>
                <w:spacing w:val="-6"/>
                <w:kern w:val="21"/>
                <w:szCs w:val="21"/>
              </w:rPr>
            </w:pPr>
            <w:r>
              <w:rPr>
                <w:rFonts w:ascii="黑体" w:hAnsi="黑体" w:eastAsia="黑体"/>
                <w:snapToGrid w:val="0"/>
                <w:color w:val="auto"/>
                <w:spacing w:val="-6"/>
                <w:kern w:val="21"/>
                <w:szCs w:val="21"/>
              </w:rPr>
              <w:t>排放量（固</w:t>
            </w:r>
            <w:r>
              <w:rPr>
                <w:rFonts w:hint="eastAsia" w:ascii="黑体" w:hAnsi="黑体" w:eastAsia="黑体"/>
                <w:snapToGrid w:val="0"/>
                <w:color w:val="auto"/>
                <w:spacing w:val="-6"/>
                <w:kern w:val="21"/>
                <w:szCs w:val="21"/>
              </w:rPr>
              <w:t>体</w:t>
            </w:r>
            <w:r>
              <w:rPr>
                <w:rFonts w:ascii="黑体" w:hAnsi="黑体" w:eastAsia="黑体"/>
                <w:snapToGrid w:val="0"/>
                <w:color w:val="auto"/>
                <w:spacing w:val="-6"/>
                <w:kern w:val="21"/>
                <w:szCs w:val="21"/>
              </w:rPr>
              <w:t>废</w:t>
            </w:r>
            <w:r>
              <w:rPr>
                <w:rFonts w:hint="eastAsia" w:ascii="黑体" w:hAnsi="黑体" w:eastAsia="黑体"/>
                <w:snapToGrid w:val="0"/>
                <w:color w:val="auto"/>
                <w:spacing w:val="-6"/>
                <w:kern w:val="21"/>
                <w:szCs w:val="21"/>
              </w:rPr>
              <w:t>物</w:t>
            </w:r>
            <w:r>
              <w:rPr>
                <w:rFonts w:ascii="黑体" w:hAnsi="黑体" w:eastAsia="黑体"/>
                <w:snapToGrid w:val="0"/>
                <w:color w:val="auto"/>
                <w:spacing w:val="-6"/>
                <w:kern w:val="21"/>
                <w:szCs w:val="21"/>
              </w:rPr>
              <w:t>产生量）</w:t>
            </w:r>
            <w:r>
              <w:rPr>
                <w:rFonts w:ascii="黑体" w:hAnsi="黑体" w:eastAsia="黑体"/>
                <w:snapToGrid w:val="0"/>
                <w:color w:val="auto"/>
                <w:spacing w:val="-6"/>
                <w:kern w:val="21"/>
                <w:szCs w:val="21"/>
              </w:rPr>
              <w:fldChar w:fldCharType="begin"/>
            </w:r>
            <w:r>
              <w:rPr>
                <w:rFonts w:ascii="黑体" w:hAnsi="黑体" w:eastAsia="黑体"/>
                <w:snapToGrid w:val="0"/>
                <w:color w:val="auto"/>
                <w:spacing w:val="-6"/>
                <w:kern w:val="21"/>
                <w:szCs w:val="21"/>
              </w:rPr>
              <w:instrText xml:space="preserve"> = 3 \* GB3 \* MERGEFORMAT </w:instrText>
            </w:r>
            <w:r>
              <w:rPr>
                <w:rFonts w:ascii="黑体" w:hAnsi="黑体" w:eastAsia="黑体"/>
                <w:snapToGrid w:val="0"/>
                <w:color w:val="auto"/>
                <w:spacing w:val="-6"/>
                <w:kern w:val="21"/>
                <w:szCs w:val="21"/>
              </w:rPr>
              <w:fldChar w:fldCharType="separate"/>
            </w:r>
            <w:r>
              <w:rPr>
                <w:rFonts w:hint="eastAsia" w:ascii="黑体" w:hAnsi="黑体" w:eastAsia="黑体" w:cs="宋体"/>
                <w:color w:val="auto"/>
                <w:kern w:val="2"/>
                <w:szCs w:val="21"/>
              </w:rPr>
              <w:t>③</w:t>
            </w:r>
            <w:r>
              <w:rPr>
                <w:rFonts w:ascii="黑体" w:hAnsi="黑体" w:eastAsia="黑体"/>
                <w:snapToGrid w:val="0"/>
                <w:color w:val="auto"/>
                <w:spacing w:val="-6"/>
                <w:kern w:val="21"/>
                <w:szCs w:val="21"/>
              </w:rPr>
              <w:fldChar w:fldCharType="end"/>
            </w:r>
          </w:p>
        </w:tc>
        <w:tc>
          <w:tcPr>
            <w:tcW w:w="542" w:type="pct"/>
            <w:noWrap w:val="0"/>
            <w:tcMar>
              <w:left w:w="28" w:type="dxa"/>
              <w:right w:w="28" w:type="dxa"/>
            </w:tcMar>
            <w:vAlign w:val="center"/>
          </w:tcPr>
          <w:p w14:paraId="68550010">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ascii="黑体" w:hAnsi="黑体" w:eastAsia="黑体"/>
                <w:snapToGrid w:val="0"/>
                <w:color w:val="auto"/>
                <w:spacing w:val="-6"/>
                <w:kern w:val="21"/>
                <w:szCs w:val="21"/>
              </w:rPr>
            </w:pPr>
            <w:r>
              <w:rPr>
                <w:rFonts w:ascii="黑体" w:hAnsi="黑体" w:eastAsia="黑体"/>
                <w:snapToGrid w:val="0"/>
                <w:color w:val="auto"/>
                <w:spacing w:val="-6"/>
                <w:kern w:val="21"/>
                <w:szCs w:val="21"/>
              </w:rPr>
              <w:t>本项目</w:t>
            </w:r>
          </w:p>
          <w:p w14:paraId="0995FA23">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ascii="黑体" w:hAnsi="黑体" w:eastAsia="黑体"/>
                <w:snapToGrid w:val="0"/>
                <w:color w:val="auto"/>
                <w:spacing w:val="-6"/>
                <w:kern w:val="21"/>
                <w:szCs w:val="21"/>
              </w:rPr>
            </w:pPr>
            <w:r>
              <w:rPr>
                <w:rFonts w:ascii="黑体" w:hAnsi="黑体" w:eastAsia="黑体"/>
                <w:snapToGrid w:val="0"/>
                <w:color w:val="auto"/>
                <w:spacing w:val="-6"/>
                <w:kern w:val="21"/>
                <w:szCs w:val="21"/>
              </w:rPr>
              <w:t>排放量（固</w:t>
            </w:r>
            <w:r>
              <w:rPr>
                <w:rFonts w:hint="eastAsia" w:ascii="黑体" w:hAnsi="黑体" w:eastAsia="黑体"/>
                <w:snapToGrid w:val="0"/>
                <w:color w:val="auto"/>
                <w:spacing w:val="-6"/>
                <w:kern w:val="21"/>
                <w:szCs w:val="21"/>
              </w:rPr>
              <w:t>体</w:t>
            </w:r>
            <w:r>
              <w:rPr>
                <w:rFonts w:ascii="黑体" w:hAnsi="黑体" w:eastAsia="黑体"/>
                <w:snapToGrid w:val="0"/>
                <w:color w:val="auto"/>
                <w:spacing w:val="-6"/>
                <w:kern w:val="21"/>
                <w:szCs w:val="21"/>
              </w:rPr>
              <w:t>废</w:t>
            </w:r>
            <w:r>
              <w:rPr>
                <w:rFonts w:hint="eastAsia" w:ascii="黑体" w:hAnsi="黑体" w:eastAsia="黑体"/>
                <w:snapToGrid w:val="0"/>
                <w:color w:val="auto"/>
                <w:spacing w:val="-6"/>
                <w:kern w:val="21"/>
                <w:szCs w:val="21"/>
              </w:rPr>
              <w:t>物</w:t>
            </w:r>
            <w:r>
              <w:rPr>
                <w:rFonts w:ascii="黑体" w:hAnsi="黑体" w:eastAsia="黑体"/>
                <w:snapToGrid w:val="0"/>
                <w:color w:val="auto"/>
                <w:spacing w:val="-6"/>
                <w:kern w:val="21"/>
                <w:szCs w:val="21"/>
              </w:rPr>
              <w:t>产生量）</w:t>
            </w:r>
            <w:r>
              <w:rPr>
                <w:rFonts w:ascii="黑体" w:hAnsi="黑体" w:eastAsia="黑体"/>
                <w:snapToGrid w:val="0"/>
                <w:color w:val="auto"/>
                <w:spacing w:val="-6"/>
                <w:kern w:val="21"/>
                <w:szCs w:val="21"/>
              </w:rPr>
              <w:fldChar w:fldCharType="begin"/>
            </w:r>
            <w:r>
              <w:rPr>
                <w:rFonts w:ascii="黑体" w:hAnsi="黑体" w:eastAsia="黑体"/>
                <w:snapToGrid w:val="0"/>
                <w:color w:val="auto"/>
                <w:spacing w:val="-6"/>
                <w:kern w:val="21"/>
                <w:szCs w:val="21"/>
              </w:rPr>
              <w:instrText xml:space="preserve"> = 4 \* GB3 \* MERGEFORMAT </w:instrText>
            </w:r>
            <w:r>
              <w:rPr>
                <w:rFonts w:ascii="黑体" w:hAnsi="黑体" w:eastAsia="黑体"/>
                <w:snapToGrid w:val="0"/>
                <w:color w:val="auto"/>
                <w:spacing w:val="-6"/>
                <w:kern w:val="21"/>
                <w:szCs w:val="21"/>
              </w:rPr>
              <w:fldChar w:fldCharType="separate"/>
            </w:r>
            <w:r>
              <w:rPr>
                <w:rFonts w:hint="eastAsia" w:ascii="黑体" w:hAnsi="黑体" w:eastAsia="黑体" w:cs="宋体"/>
                <w:color w:val="auto"/>
                <w:kern w:val="2"/>
                <w:szCs w:val="21"/>
              </w:rPr>
              <w:t>④</w:t>
            </w:r>
            <w:r>
              <w:rPr>
                <w:rFonts w:ascii="黑体" w:hAnsi="黑体" w:eastAsia="黑体"/>
                <w:snapToGrid w:val="0"/>
                <w:color w:val="auto"/>
                <w:spacing w:val="-6"/>
                <w:kern w:val="21"/>
                <w:szCs w:val="21"/>
              </w:rPr>
              <w:fldChar w:fldCharType="end"/>
            </w:r>
          </w:p>
        </w:tc>
        <w:tc>
          <w:tcPr>
            <w:tcW w:w="615" w:type="pct"/>
            <w:noWrap w:val="0"/>
            <w:tcMar>
              <w:left w:w="28" w:type="dxa"/>
              <w:right w:w="28" w:type="dxa"/>
            </w:tcMar>
            <w:vAlign w:val="center"/>
          </w:tcPr>
          <w:p w14:paraId="0C1F503B">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ascii="黑体" w:hAnsi="黑体" w:eastAsia="黑体"/>
                <w:snapToGrid w:val="0"/>
                <w:color w:val="auto"/>
                <w:spacing w:val="-16"/>
                <w:kern w:val="21"/>
                <w:szCs w:val="21"/>
              </w:rPr>
            </w:pPr>
            <w:r>
              <w:rPr>
                <w:rFonts w:ascii="黑体" w:hAnsi="黑体" w:eastAsia="黑体"/>
                <w:snapToGrid w:val="0"/>
                <w:color w:val="auto"/>
                <w:spacing w:val="-16"/>
                <w:kern w:val="21"/>
                <w:szCs w:val="21"/>
              </w:rPr>
              <w:t>以新带老削减量</w:t>
            </w:r>
          </w:p>
          <w:p w14:paraId="43822AED">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ascii="黑体" w:hAnsi="黑体" w:eastAsia="黑体"/>
                <w:snapToGrid w:val="0"/>
                <w:color w:val="auto"/>
                <w:spacing w:val="-16"/>
                <w:kern w:val="21"/>
                <w:szCs w:val="21"/>
              </w:rPr>
            </w:pPr>
            <w:r>
              <w:rPr>
                <w:rFonts w:ascii="黑体" w:hAnsi="黑体" w:eastAsia="黑体"/>
                <w:snapToGrid w:val="0"/>
                <w:color w:val="auto"/>
                <w:spacing w:val="-16"/>
                <w:kern w:val="21"/>
                <w:szCs w:val="21"/>
              </w:rPr>
              <w:t>（新建项目不填）</w:t>
            </w:r>
            <w:r>
              <w:rPr>
                <w:rFonts w:ascii="黑体" w:hAnsi="黑体" w:eastAsia="黑体"/>
                <w:snapToGrid w:val="0"/>
                <w:color w:val="auto"/>
                <w:spacing w:val="-16"/>
                <w:kern w:val="21"/>
                <w:szCs w:val="21"/>
              </w:rPr>
              <w:fldChar w:fldCharType="begin"/>
            </w:r>
            <w:r>
              <w:rPr>
                <w:rFonts w:ascii="黑体" w:hAnsi="黑体" w:eastAsia="黑体"/>
                <w:snapToGrid w:val="0"/>
                <w:color w:val="auto"/>
                <w:spacing w:val="-16"/>
                <w:kern w:val="21"/>
                <w:szCs w:val="21"/>
              </w:rPr>
              <w:instrText xml:space="preserve"> = 5 \* GB3 \* MERGEFORMAT </w:instrText>
            </w:r>
            <w:r>
              <w:rPr>
                <w:rFonts w:ascii="黑体" w:hAnsi="黑体" w:eastAsia="黑体"/>
                <w:snapToGrid w:val="0"/>
                <w:color w:val="auto"/>
                <w:spacing w:val="-16"/>
                <w:kern w:val="21"/>
                <w:szCs w:val="21"/>
              </w:rPr>
              <w:fldChar w:fldCharType="separate"/>
            </w:r>
            <w:r>
              <w:rPr>
                <w:rFonts w:hint="eastAsia" w:ascii="黑体" w:hAnsi="黑体" w:eastAsia="黑体" w:cs="宋体"/>
                <w:color w:val="auto"/>
                <w:kern w:val="2"/>
                <w:szCs w:val="21"/>
              </w:rPr>
              <w:t>⑤</w:t>
            </w:r>
            <w:r>
              <w:rPr>
                <w:rFonts w:ascii="黑体" w:hAnsi="黑体" w:eastAsia="黑体"/>
                <w:snapToGrid w:val="0"/>
                <w:color w:val="auto"/>
                <w:spacing w:val="-16"/>
                <w:kern w:val="21"/>
                <w:szCs w:val="21"/>
              </w:rPr>
              <w:fldChar w:fldCharType="end"/>
            </w:r>
          </w:p>
        </w:tc>
        <w:tc>
          <w:tcPr>
            <w:tcW w:w="687" w:type="pct"/>
            <w:noWrap w:val="0"/>
            <w:tcMar>
              <w:left w:w="28" w:type="dxa"/>
              <w:right w:w="28" w:type="dxa"/>
            </w:tcMar>
            <w:vAlign w:val="center"/>
          </w:tcPr>
          <w:p w14:paraId="654629CF">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ascii="黑体" w:hAnsi="黑体" w:eastAsia="黑体"/>
                <w:snapToGrid w:val="0"/>
                <w:color w:val="auto"/>
                <w:spacing w:val="-16"/>
                <w:kern w:val="21"/>
                <w:szCs w:val="21"/>
              </w:rPr>
            </w:pPr>
            <w:r>
              <w:rPr>
                <w:rFonts w:ascii="黑体" w:hAnsi="黑体" w:eastAsia="黑体"/>
                <w:snapToGrid w:val="0"/>
                <w:color w:val="auto"/>
                <w:spacing w:val="-16"/>
                <w:kern w:val="21"/>
                <w:szCs w:val="21"/>
              </w:rPr>
              <w:t>本项目建成后</w:t>
            </w:r>
          </w:p>
          <w:p w14:paraId="554B7565">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ascii="黑体" w:hAnsi="黑体" w:eastAsia="黑体"/>
                <w:snapToGrid w:val="0"/>
                <w:color w:val="auto"/>
                <w:spacing w:val="-16"/>
                <w:kern w:val="21"/>
                <w:szCs w:val="21"/>
              </w:rPr>
            </w:pPr>
            <w:r>
              <w:rPr>
                <w:rFonts w:hint="eastAsia" w:ascii="黑体" w:hAnsi="黑体" w:eastAsia="黑体"/>
                <w:snapToGrid w:val="0"/>
                <w:color w:val="auto"/>
                <w:spacing w:val="-16"/>
                <w:kern w:val="21"/>
                <w:szCs w:val="21"/>
              </w:rPr>
              <w:t>全厂</w:t>
            </w:r>
            <w:r>
              <w:rPr>
                <w:rFonts w:ascii="黑体" w:hAnsi="黑体" w:eastAsia="黑体"/>
                <w:snapToGrid w:val="0"/>
                <w:color w:val="auto"/>
                <w:spacing w:val="-16"/>
                <w:kern w:val="21"/>
                <w:szCs w:val="21"/>
              </w:rPr>
              <w:t>排放量（固</w:t>
            </w:r>
            <w:r>
              <w:rPr>
                <w:rFonts w:hint="eastAsia" w:ascii="黑体" w:hAnsi="黑体" w:eastAsia="黑体"/>
                <w:snapToGrid w:val="0"/>
                <w:color w:val="auto"/>
                <w:spacing w:val="-16"/>
                <w:kern w:val="21"/>
                <w:szCs w:val="21"/>
              </w:rPr>
              <w:t>体</w:t>
            </w:r>
            <w:r>
              <w:rPr>
                <w:rFonts w:ascii="黑体" w:hAnsi="黑体" w:eastAsia="黑体"/>
                <w:snapToGrid w:val="0"/>
                <w:color w:val="auto"/>
                <w:spacing w:val="-16"/>
                <w:kern w:val="21"/>
                <w:szCs w:val="21"/>
              </w:rPr>
              <w:t>废</w:t>
            </w:r>
            <w:r>
              <w:rPr>
                <w:rFonts w:hint="eastAsia" w:ascii="黑体" w:hAnsi="黑体" w:eastAsia="黑体"/>
                <w:snapToGrid w:val="0"/>
                <w:color w:val="auto"/>
                <w:spacing w:val="-16"/>
                <w:kern w:val="21"/>
                <w:szCs w:val="21"/>
              </w:rPr>
              <w:t>物</w:t>
            </w:r>
            <w:r>
              <w:rPr>
                <w:rFonts w:ascii="黑体" w:hAnsi="黑体" w:eastAsia="黑体"/>
                <w:snapToGrid w:val="0"/>
                <w:color w:val="auto"/>
                <w:spacing w:val="-16"/>
                <w:kern w:val="21"/>
                <w:szCs w:val="21"/>
              </w:rPr>
              <w:t>产生量）</w:t>
            </w:r>
            <w:r>
              <w:rPr>
                <w:rFonts w:ascii="黑体" w:hAnsi="黑体" w:eastAsia="黑体"/>
                <w:snapToGrid w:val="0"/>
                <w:color w:val="auto"/>
                <w:spacing w:val="-16"/>
                <w:kern w:val="21"/>
                <w:szCs w:val="21"/>
              </w:rPr>
              <w:fldChar w:fldCharType="begin"/>
            </w:r>
            <w:r>
              <w:rPr>
                <w:rFonts w:ascii="黑体" w:hAnsi="黑体" w:eastAsia="黑体"/>
                <w:snapToGrid w:val="0"/>
                <w:color w:val="auto"/>
                <w:spacing w:val="-16"/>
                <w:kern w:val="21"/>
                <w:szCs w:val="21"/>
              </w:rPr>
              <w:instrText xml:space="preserve"> = 6 \* GB3 \* MERGEFORMAT </w:instrText>
            </w:r>
            <w:r>
              <w:rPr>
                <w:rFonts w:ascii="黑体" w:hAnsi="黑体" w:eastAsia="黑体"/>
                <w:snapToGrid w:val="0"/>
                <w:color w:val="auto"/>
                <w:spacing w:val="-16"/>
                <w:kern w:val="21"/>
                <w:szCs w:val="21"/>
              </w:rPr>
              <w:fldChar w:fldCharType="separate"/>
            </w:r>
            <w:r>
              <w:rPr>
                <w:rFonts w:hint="eastAsia" w:ascii="黑体" w:hAnsi="黑体" w:eastAsia="黑体" w:cs="宋体"/>
                <w:color w:val="auto"/>
                <w:kern w:val="2"/>
                <w:szCs w:val="21"/>
              </w:rPr>
              <w:t>⑥</w:t>
            </w:r>
            <w:r>
              <w:rPr>
                <w:rFonts w:ascii="黑体" w:hAnsi="黑体" w:eastAsia="黑体"/>
                <w:snapToGrid w:val="0"/>
                <w:color w:val="auto"/>
                <w:spacing w:val="-16"/>
                <w:kern w:val="21"/>
                <w:szCs w:val="21"/>
              </w:rPr>
              <w:fldChar w:fldCharType="end"/>
            </w:r>
          </w:p>
        </w:tc>
        <w:tc>
          <w:tcPr>
            <w:tcW w:w="481" w:type="pct"/>
            <w:noWrap w:val="0"/>
            <w:tcMar>
              <w:left w:w="28" w:type="dxa"/>
              <w:right w:w="28" w:type="dxa"/>
            </w:tcMar>
            <w:vAlign w:val="center"/>
          </w:tcPr>
          <w:p w14:paraId="634E4405">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ascii="黑体" w:hAnsi="黑体" w:eastAsia="黑体"/>
                <w:snapToGrid w:val="0"/>
                <w:color w:val="auto"/>
                <w:spacing w:val="-6"/>
                <w:kern w:val="21"/>
                <w:szCs w:val="21"/>
              </w:rPr>
            </w:pPr>
            <w:r>
              <w:rPr>
                <w:rFonts w:ascii="黑体" w:hAnsi="黑体" w:eastAsia="黑体"/>
                <w:snapToGrid w:val="0"/>
                <w:color w:val="auto"/>
                <w:spacing w:val="-6"/>
                <w:kern w:val="21"/>
                <w:szCs w:val="21"/>
              </w:rPr>
              <w:t>变化量</w:t>
            </w:r>
          </w:p>
          <w:p w14:paraId="0CEFA499">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ascii="黑体" w:hAnsi="黑体" w:eastAsia="黑体"/>
                <w:snapToGrid w:val="0"/>
                <w:color w:val="auto"/>
                <w:spacing w:val="-6"/>
                <w:kern w:val="21"/>
                <w:szCs w:val="21"/>
              </w:rPr>
            </w:pPr>
            <w:r>
              <w:rPr>
                <w:rFonts w:ascii="黑体" w:hAnsi="黑体" w:eastAsia="黑体"/>
                <w:snapToGrid w:val="0"/>
                <w:color w:val="auto"/>
                <w:spacing w:val="-6"/>
                <w:kern w:val="21"/>
                <w:szCs w:val="21"/>
              </w:rPr>
              <w:fldChar w:fldCharType="begin"/>
            </w:r>
            <w:r>
              <w:rPr>
                <w:rFonts w:ascii="黑体" w:hAnsi="黑体" w:eastAsia="黑体"/>
                <w:snapToGrid w:val="0"/>
                <w:color w:val="auto"/>
                <w:spacing w:val="-6"/>
                <w:kern w:val="21"/>
                <w:szCs w:val="21"/>
              </w:rPr>
              <w:instrText xml:space="preserve"> = 7 \* GB3 \* MERGEFORMAT </w:instrText>
            </w:r>
            <w:r>
              <w:rPr>
                <w:rFonts w:ascii="黑体" w:hAnsi="黑体" w:eastAsia="黑体"/>
                <w:snapToGrid w:val="0"/>
                <w:color w:val="auto"/>
                <w:spacing w:val="-6"/>
                <w:kern w:val="21"/>
                <w:szCs w:val="21"/>
              </w:rPr>
              <w:fldChar w:fldCharType="separate"/>
            </w:r>
            <w:r>
              <w:rPr>
                <w:rFonts w:hint="eastAsia" w:ascii="黑体" w:hAnsi="黑体" w:eastAsia="黑体" w:cs="宋体"/>
                <w:color w:val="auto"/>
                <w:kern w:val="2"/>
                <w:szCs w:val="21"/>
              </w:rPr>
              <w:t>⑦</w:t>
            </w:r>
            <w:r>
              <w:rPr>
                <w:rFonts w:ascii="黑体" w:hAnsi="黑体" w:eastAsia="黑体"/>
                <w:snapToGrid w:val="0"/>
                <w:color w:val="auto"/>
                <w:spacing w:val="-6"/>
                <w:kern w:val="21"/>
                <w:szCs w:val="21"/>
              </w:rPr>
              <w:fldChar w:fldCharType="end"/>
            </w:r>
          </w:p>
        </w:tc>
      </w:tr>
      <w:tr w14:paraId="444067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53" w:type="pct"/>
            <w:vMerge w:val="restart"/>
            <w:noWrap w:val="0"/>
            <w:vAlign w:val="center"/>
          </w:tcPr>
          <w:p w14:paraId="46127D1F">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hAnsi="宋体" w:cs="宋体"/>
                <w:snapToGrid w:val="0"/>
                <w:color w:val="auto"/>
                <w:kern w:val="21"/>
                <w:szCs w:val="21"/>
              </w:rPr>
            </w:pPr>
            <w:r>
              <w:rPr>
                <w:rFonts w:hint="eastAsia" w:hAnsi="宋体" w:cs="宋体"/>
                <w:snapToGrid w:val="0"/>
                <w:color w:val="auto"/>
                <w:kern w:val="21"/>
                <w:szCs w:val="21"/>
              </w:rPr>
              <w:t>废气</w:t>
            </w:r>
          </w:p>
        </w:tc>
        <w:tc>
          <w:tcPr>
            <w:tcW w:w="490" w:type="pct"/>
            <w:noWrap w:val="0"/>
            <w:vAlign w:val="center"/>
          </w:tcPr>
          <w:p w14:paraId="385C1B13">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hAnsi="宋体" w:eastAsia="宋体" w:cs="宋体"/>
                <w:snapToGrid w:val="0"/>
                <w:color w:val="auto"/>
                <w:kern w:val="21"/>
                <w:szCs w:val="21"/>
                <w:lang w:val="en-US" w:eastAsia="zh-CN"/>
              </w:rPr>
            </w:pPr>
            <w:r>
              <w:rPr>
                <w:rFonts w:hint="eastAsia" w:hAnsi="宋体" w:cs="宋体"/>
                <w:snapToGrid w:val="0"/>
                <w:color w:val="auto"/>
                <w:kern w:val="21"/>
                <w:szCs w:val="21"/>
                <w:lang w:val="en-US" w:eastAsia="zh-CN"/>
              </w:rPr>
              <w:t>颗粒物</w:t>
            </w:r>
          </w:p>
        </w:tc>
        <w:tc>
          <w:tcPr>
            <w:tcW w:w="593" w:type="pct"/>
            <w:noWrap w:val="0"/>
            <w:vAlign w:val="center"/>
          </w:tcPr>
          <w:p w14:paraId="342A7E4D">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hAnsi="宋体" w:eastAsia="宋体" w:cs="宋体"/>
                <w:snapToGrid w:val="0"/>
                <w:color w:val="auto"/>
                <w:kern w:val="21"/>
                <w:szCs w:val="21"/>
                <w:lang w:val="en-US" w:eastAsia="zh-CN"/>
              </w:rPr>
            </w:pPr>
            <w:r>
              <w:rPr>
                <w:rFonts w:hint="eastAsia" w:hAnsi="宋体" w:cs="宋体"/>
                <w:snapToGrid w:val="0"/>
                <w:color w:val="auto"/>
                <w:kern w:val="21"/>
                <w:szCs w:val="21"/>
                <w:lang w:val="en-US" w:eastAsia="zh-CN"/>
              </w:rPr>
              <w:t>2.6425t/a</w:t>
            </w:r>
          </w:p>
        </w:tc>
        <w:tc>
          <w:tcPr>
            <w:tcW w:w="439" w:type="pct"/>
            <w:noWrap w:val="0"/>
            <w:vAlign w:val="center"/>
          </w:tcPr>
          <w:p w14:paraId="79382318">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hAnsi="宋体" w:eastAsia="宋体" w:cs="宋体"/>
                <w:snapToGrid w:val="0"/>
                <w:color w:val="auto"/>
                <w:kern w:val="21"/>
                <w:szCs w:val="21"/>
                <w:lang w:val="en-US" w:eastAsia="zh-CN"/>
              </w:rPr>
            </w:pPr>
            <w:r>
              <w:rPr>
                <w:rFonts w:hint="eastAsia" w:hAnsi="宋体" w:cs="宋体"/>
                <w:snapToGrid w:val="0"/>
                <w:color w:val="auto"/>
                <w:kern w:val="21"/>
                <w:szCs w:val="21"/>
                <w:lang w:val="en-US" w:eastAsia="zh-CN"/>
              </w:rPr>
              <w:t>/</w:t>
            </w:r>
          </w:p>
        </w:tc>
        <w:tc>
          <w:tcPr>
            <w:tcW w:w="593" w:type="pct"/>
            <w:noWrap w:val="0"/>
            <w:vAlign w:val="center"/>
          </w:tcPr>
          <w:p w14:paraId="6DA9FA54">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hAnsi="宋体" w:eastAsia="宋体" w:cs="宋体"/>
                <w:snapToGrid w:val="0"/>
                <w:color w:val="auto"/>
                <w:kern w:val="21"/>
                <w:szCs w:val="21"/>
                <w:lang w:val="en-US" w:eastAsia="zh-CN"/>
              </w:rPr>
            </w:pPr>
            <w:r>
              <w:rPr>
                <w:rFonts w:hint="eastAsia" w:hAnsi="宋体" w:cs="宋体"/>
                <w:snapToGrid w:val="0"/>
                <w:color w:val="auto"/>
                <w:kern w:val="21"/>
                <w:szCs w:val="21"/>
                <w:lang w:val="en-US" w:eastAsia="zh-CN"/>
              </w:rPr>
              <w:t>/</w:t>
            </w:r>
          </w:p>
        </w:tc>
        <w:tc>
          <w:tcPr>
            <w:tcW w:w="542" w:type="pct"/>
            <w:noWrap w:val="0"/>
            <w:vAlign w:val="center"/>
          </w:tcPr>
          <w:p w14:paraId="2EF54AE9">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hAnsi="宋体" w:eastAsia="宋体" w:cs="宋体"/>
                <w:snapToGrid w:val="0"/>
                <w:color w:val="auto"/>
                <w:kern w:val="21"/>
                <w:szCs w:val="21"/>
                <w:lang w:val="en-US" w:eastAsia="zh-CN"/>
              </w:rPr>
            </w:pPr>
            <w:r>
              <w:rPr>
                <w:rFonts w:hint="eastAsia" w:hAnsi="宋体" w:cs="宋体"/>
                <w:snapToGrid w:val="0"/>
                <w:color w:val="auto"/>
                <w:kern w:val="21"/>
                <w:szCs w:val="21"/>
                <w:lang w:val="en-US" w:eastAsia="zh-CN"/>
              </w:rPr>
              <w:t>0.4942t/a</w:t>
            </w:r>
          </w:p>
        </w:tc>
        <w:tc>
          <w:tcPr>
            <w:tcW w:w="615" w:type="pct"/>
            <w:noWrap w:val="0"/>
            <w:vAlign w:val="center"/>
          </w:tcPr>
          <w:p w14:paraId="5782C789">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hAnsi="宋体" w:eastAsia="宋体" w:cs="宋体"/>
                <w:snapToGrid w:val="0"/>
                <w:color w:val="auto"/>
                <w:kern w:val="21"/>
                <w:szCs w:val="21"/>
                <w:lang w:val="en-US" w:eastAsia="zh-CN"/>
              </w:rPr>
            </w:pPr>
            <w:r>
              <w:rPr>
                <w:rFonts w:hint="eastAsia" w:hAnsi="宋体" w:cs="宋体"/>
                <w:snapToGrid w:val="0"/>
                <w:color w:val="auto"/>
                <w:kern w:val="21"/>
                <w:szCs w:val="21"/>
                <w:lang w:val="en-US" w:eastAsia="zh-CN"/>
              </w:rPr>
              <w:t>/</w:t>
            </w:r>
          </w:p>
        </w:tc>
        <w:tc>
          <w:tcPr>
            <w:tcW w:w="687" w:type="pct"/>
            <w:noWrap w:val="0"/>
            <w:vAlign w:val="center"/>
          </w:tcPr>
          <w:p w14:paraId="7AB97969">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hAnsi="宋体" w:eastAsia="宋体" w:cs="宋体"/>
                <w:snapToGrid w:val="0"/>
                <w:color w:val="auto"/>
                <w:kern w:val="21"/>
                <w:szCs w:val="21"/>
                <w:lang w:val="en-US" w:eastAsia="zh-CN"/>
              </w:rPr>
            </w:pPr>
            <w:r>
              <w:rPr>
                <w:rFonts w:hint="eastAsia" w:hAnsi="宋体" w:cs="宋体"/>
                <w:snapToGrid w:val="0"/>
                <w:color w:val="auto"/>
                <w:kern w:val="21"/>
                <w:szCs w:val="21"/>
                <w:lang w:val="en-US" w:eastAsia="zh-CN"/>
              </w:rPr>
              <w:t>3.1367t/a</w:t>
            </w:r>
          </w:p>
        </w:tc>
        <w:tc>
          <w:tcPr>
            <w:tcW w:w="481" w:type="pct"/>
            <w:noWrap w:val="0"/>
            <w:vAlign w:val="center"/>
          </w:tcPr>
          <w:p w14:paraId="181D946D">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hAnsi="宋体" w:eastAsia="宋体" w:cs="宋体"/>
                <w:snapToGrid w:val="0"/>
                <w:color w:val="auto"/>
                <w:kern w:val="21"/>
                <w:szCs w:val="21"/>
                <w:lang w:val="en-US" w:eastAsia="zh-CN"/>
              </w:rPr>
            </w:pPr>
            <w:r>
              <w:rPr>
                <w:rFonts w:hint="eastAsia" w:hAnsi="宋体" w:cs="宋体"/>
                <w:snapToGrid w:val="0"/>
                <w:color w:val="auto"/>
                <w:kern w:val="21"/>
                <w:szCs w:val="21"/>
                <w:lang w:val="en-US" w:eastAsia="zh-CN"/>
              </w:rPr>
              <w:t>+0.4942t/a</w:t>
            </w:r>
          </w:p>
        </w:tc>
      </w:tr>
      <w:tr w14:paraId="5C3467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53" w:type="pct"/>
            <w:vMerge w:val="continue"/>
            <w:noWrap w:val="0"/>
            <w:vAlign w:val="center"/>
          </w:tcPr>
          <w:p w14:paraId="3609B270">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hAnsi="宋体" w:cs="宋体"/>
                <w:snapToGrid w:val="0"/>
                <w:color w:val="auto"/>
                <w:kern w:val="21"/>
                <w:szCs w:val="21"/>
              </w:rPr>
            </w:pPr>
          </w:p>
        </w:tc>
        <w:tc>
          <w:tcPr>
            <w:tcW w:w="490" w:type="pct"/>
            <w:noWrap w:val="0"/>
            <w:vAlign w:val="center"/>
          </w:tcPr>
          <w:p w14:paraId="5EA80604">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hAnsi="宋体" w:eastAsia="宋体" w:cs="宋体"/>
                <w:snapToGrid w:val="0"/>
                <w:color w:val="auto"/>
                <w:kern w:val="21"/>
                <w:szCs w:val="21"/>
                <w:lang w:val="en-US" w:eastAsia="zh-CN"/>
              </w:rPr>
            </w:pPr>
            <w:r>
              <w:rPr>
                <w:rFonts w:hint="eastAsia" w:hAnsi="宋体" w:cs="宋体"/>
                <w:snapToGrid w:val="0"/>
                <w:color w:val="auto"/>
                <w:kern w:val="21"/>
                <w:szCs w:val="21"/>
                <w:lang w:val="en-US" w:eastAsia="zh-CN"/>
              </w:rPr>
              <w:t>油烟</w:t>
            </w:r>
          </w:p>
        </w:tc>
        <w:tc>
          <w:tcPr>
            <w:tcW w:w="593" w:type="pct"/>
            <w:noWrap w:val="0"/>
            <w:vAlign w:val="center"/>
          </w:tcPr>
          <w:p w14:paraId="6C056BA9">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hAnsi="宋体" w:eastAsia="宋体" w:cs="宋体"/>
                <w:snapToGrid w:val="0"/>
                <w:color w:val="auto"/>
                <w:kern w:val="21"/>
                <w:szCs w:val="21"/>
                <w:lang w:val="en-US" w:eastAsia="zh-CN"/>
              </w:rPr>
            </w:pPr>
            <w:r>
              <w:rPr>
                <w:rFonts w:hint="eastAsia" w:hAnsi="宋体" w:cs="宋体"/>
                <w:snapToGrid w:val="0"/>
                <w:color w:val="auto"/>
                <w:kern w:val="21"/>
                <w:szCs w:val="21"/>
                <w:lang w:val="en-US" w:eastAsia="zh-CN"/>
              </w:rPr>
              <w:t>/</w:t>
            </w:r>
          </w:p>
        </w:tc>
        <w:tc>
          <w:tcPr>
            <w:tcW w:w="439" w:type="pct"/>
            <w:noWrap w:val="0"/>
            <w:vAlign w:val="center"/>
          </w:tcPr>
          <w:p w14:paraId="15DAF691">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hAnsi="宋体" w:eastAsia="宋体" w:cs="宋体"/>
                <w:snapToGrid w:val="0"/>
                <w:color w:val="auto"/>
                <w:kern w:val="21"/>
                <w:szCs w:val="21"/>
                <w:lang w:val="en-US" w:eastAsia="zh-CN"/>
              </w:rPr>
            </w:pPr>
            <w:r>
              <w:rPr>
                <w:rFonts w:hint="eastAsia" w:hAnsi="宋体" w:cs="宋体"/>
                <w:snapToGrid w:val="0"/>
                <w:color w:val="auto"/>
                <w:kern w:val="21"/>
                <w:szCs w:val="21"/>
                <w:lang w:val="en-US" w:eastAsia="zh-CN"/>
              </w:rPr>
              <w:t>/</w:t>
            </w:r>
          </w:p>
        </w:tc>
        <w:tc>
          <w:tcPr>
            <w:tcW w:w="593" w:type="pct"/>
            <w:noWrap w:val="0"/>
            <w:vAlign w:val="center"/>
          </w:tcPr>
          <w:p w14:paraId="0F2F557E">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hAnsi="宋体" w:eastAsia="宋体" w:cs="宋体"/>
                <w:snapToGrid w:val="0"/>
                <w:color w:val="auto"/>
                <w:kern w:val="21"/>
                <w:szCs w:val="21"/>
                <w:lang w:val="en-US" w:eastAsia="zh-CN"/>
              </w:rPr>
            </w:pPr>
            <w:r>
              <w:rPr>
                <w:rFonts w:hint="eastAsia" w:hAnsi="宋体" w:cs="宋体"/>
                <w:snapToGrid w:val="0"/>
                <w:color w:val="auto"/>
                <w:kern w:val="21"/>
                <w:szCs w:val="21"/>
                <w:lang w:val="en-US" w:eastAsia="zh-CN"/>
              </w:rPr>
              <w:t>/</w:t>
            </w:r>
          </w:p>
        </w:tc>
        <w:tc>
          <w:tcPr>
            <w:tcW w:w="542" w:type="pct"/>
            <w:noWrap w:val="0"/>
            <w:vAlign w:val="center"/>
          </w:tcPr>
          <w:p w14:paraId="73785049">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hAnsi="宋体" w:eastAsia="宋体" w:cs="宋体"/>
                <w:snapToGrid w:val="0"/>
                <w:color w:val="auto"/>
                <w:kern w:val="21"/>
                <w:szCs w:val="21"/>
                <w:lang w:val="en-US" w:eastAsia="zh-CN"/>
              </w:rPr>
            </w:pPr>
            <w:r>
              <w:rPr>
                <w:rFonts w:hint="eastAsia" w:hAnsi="宋体" w:cs="宋体"/>
                <w:snapToGrid w:val="0"/>
                <w:color w:val="auto"/>
                <w:kern w:val="21"/>
                <w:szCs w:val="21"/>
                <w:lang w:val="en-US" w:eastAsia="zh-CN"/>
              </w:rPr>
              <w:t>0.0014t/a</w:t>
            </w:r>
          </w:p>
        </w:tc>
        <w:tc>
          <w:tcPr>
            <w:tcW w:w="615" w:type="pct"/>
            <w:noWrap w:val="0"/>
            <w:vAlign w:val="center"/>
          </w:tcPr>
          <w:p w14:paraId="18296339">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hAnsi="宋体" w:eastAsia="宋体" w:cs="宋体"/>
                <w:snapToGrid w:val="0"/>
                <w:color w:val="auto"/>
                <w:kern w:val="21"/>
                <w:szCs w:val="21"/>
                <w:lang w:val="en-US" w:eastAsia="zh-CN"/>
              </w:rPr>
            </w:pPr>
            <w:r>
              <w:rPr>
                <w:rFonts w:hint="eastAsia" w:hAnsi="宋体" w:cs="宋体"/>
                <w:snapToGrid w:val="0"/>
                <w:color w:val="auto"/>
                <w:kern w:val="21"/>
                <w:szCs w:val="21"/>
                <w:lang w:val="en-US" w:eastAsia="zh-CN"/>
              </w:rPr>
              <w:t>/</w:t>
            </w:r>
          </w:p>
        </w:tc>
        <w:tc>
          <w:tcPr>
            <w:tcW w:w="687" w:type="pct"/>
            <w:noWrap w:val="0"/>
            <w:vAlign w:val="center"/>
          </w:tcPr>
          <w:p w14:paraId="1FC2699D">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hAnsi="宋体" w:eastAsia="宋体" w:cs="宋体"/>
                <w:snapToGrid w:val="0"/>
                <w:color w:val="auto"/>
                <w:kern w:val="21"/>
                <w:szCs w:val="21"/>
                <w:lang w:val="en-US" w:eastAsia="zh-CN"/>
              </w:rPr>
            </w:pPr>
            <w:r>
              <w:rPr>
                <w:rFonts w:hint="eastAsia" w:hAnsi="宋体" w:cs="宋体"/>
                <w:snapToGrid w:val="0"/>
                <w:color w:val="auto"/>
                <w:kern w:val="21"/>
                <w:szCs w:val="21"/>
                <w:lang w:val="en-US" w:eastAsia="zh-CN"/>
              </w:rPr>
              <w:t>0.0014t/a</w:t>
            </w:r>
          </w:p>
        </w:tc>
        <w:tc>
          <w:tcPr>
            <w:tcW w:w="481" w:type="pct"/>
            <w:noWrap w:val="0"/>
            <w:vAlign w:val="center"/>
          </w:tcPr>
          <w:p w14:paraId="404D5AF0">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hAnsi="宋体" w:eastAsia="宋体" w:cs="宋体"/>
                <w:snapToGrid w:val="0"/>
                <w:color w:val="auto"/>
                <w:kern w:val="21"/>
                <w:szCs w:val="21"/>
                <w:lang w:val="en-US" w:eastAsia="zh-CN"/>
              </w:rPr>
            </w:pPr>
            <w:r>
              <w:rPr>
                <w:rFonts w:hint="eastAsia" w:hAnsi="宋体" w:cs="宋体"/>
                <w:snapToGrid w:val="0"/>
                <w:color w:val="auto"/>
                <w:kern w:val="21"/>
                <w:szCs w:val="21"/>
                <w:lang w:val="en-US" w:eastAsia="zh-CN"/>
              </w:rPr>
              <w:t>+0.0014t/a</w:t>
            </w:r>
          </w:p>
        </w:tc>
      </w:tr>
      <w:tr w14:paraId="5E6E8D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53" w:type="pct"/>
            <w:vMerge w:val="continue"/>
            <w:noWrap w:val="0"/>
            <w:vAlign w:val="center"/>
          </w:tcPr>
          <w:p w14:paraId="1F7FE9FD">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hAnsi="宋体" w:cs="宋体"/>
                <w:snapToGrid w:val="0"/>
                <w:color w:val="auto"/>
                <w:kern w:val="21"/>
                <w:szCs w:val="21"/>
              </w:rPr>
            </w:pPr>
          </w:p>
        </w:tc>
        <w:tc>
          <w:tcPr>
            <w:tcW w:w="490" w:type="pct"/>
            <w:noWrap w:val="0"/>
            <w:vAlign w:val="center"/>
          </w:tcPr>
          <w:p w14:paraId="1300E930">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hAnsi="宋体" w:cs="宋体"/>
                <w:snapToGrid w:val="0"/>
                <w:color w:val="auto"/>
                <w:kern w:val="21"/>
                <w:szCs w:val="21"/>
                <w:lang w:val="en-US" w:eastAsia="zh-CN"/>
              </w:rPr>
            </w:pPr>
            <w:r>
              <w:rPr>
                <w:rFonts w:hint="eastAsia" w:hAnsi="宋体" w:cs="宋体"/>
                <w:snapToGrid w:val="0"/>
                <w:color w:val="auto"/>
                <w:kern w:val="21"/>
                <w:szCs w:val="21"/>
                <w:lang w:val="en-US" w:eastAsia="zh-CN"/>
              </w:rPr>
              <w:t>CO</w:t>
            </w:r>
          </w:p>
        </w:tc>
        <w:tc>
          <w:tcPr>
            <w:tcW w:w="593" w:type="pct"/>
            <w:noWrap w:val="0"/>
            <w:vAlign w:val="center"/>
          </w:tcPr>
          <w:p w14:paraId="7724236B">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hAnsi="宋体" w:eastAsia="宋体" w:cs="宋体"/>
                <w:snapToGrid w:val="0"/>
                <w:color w:val="auto"/>
                <w:kern w:val="21"/>
                <w:szCs w:val="21"/>
                <w:lang w:val="en-US" w:eastAsia="zh-CN"/>
              </w:rPr>
            </w:pPr>
            <w:r>
              <w:rPr>
                <w:rFonts w:hint="eastAsia" w:hAnsi="宋体" w:cs="宋体"/>
                <w:snapToGrid w:val="0"/>
                <w:color w:val="auto"/>
                <w:kern w:val="21"/>
                <w:szCs w:val="21"/>
                <w:lang w:val="en-US" w:eastAsia="zh-CN"/>
              </w:rPr>
              <w:t>少量</w:t>
            </w:r>
          </w:p>
        </w:tc>
        <w:tc>
          <w:tcPr>
            <w:tcW w:w="439" w:type="pct"/>
            <w:noWrap w:val="0"/>
            <w:vAlign w:val="center"/>
          </w:tcPr>
          <w:p w14:paraId="51812AC7">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hAnsi="宋体" w:eastAsia="宋体" w:cs="宋体"/>
                <w:snapToGrid w:val="0"/>
                <w:color w:val="auto"/>
                <w:kern w:val="21"/>
                <w:szCs w:val="21"/>
                <w:lang w:val="en-US" w:eastAsia="zh-CN"/>
              </w:rPr>
            </w:pPr>
            <w:r>
              <w:rPr>
                <w:rFonts w:hint="eastAsia" w:hAnsi="宋体" w:cs="宋体"/>
                <w:snapToGrid w:val="0"/>
                <w:color w:val="auto"/>
                <w:kern w:val="21"/>
                <w:szCs w:val="21"/>
                <w:lang w:val="en-US" w:eastAsia="zh-CN"/>
              </w:rPr>
              <w:t>/</w:t>
            </w:r>
          </w:p>
        </w:tc>
        <w:tc>
          <w:tcPr>
            <w:tcW w:w="593" w:type="pct"/>
            <w:noWrap w:val="0"/>
            <w:vAlign w:val="center"/>
          </w:tcPr>
          <w:p w14:paraId="655F099C">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hAnsi="宋体" w:eastAsia="宋体" w:cs="宋体"/>
                <w:snapToGrid w:val="0"/>
                <w:color w:val="auto"/>
                <w:kern w:val="21"/>
                <w:szCs w:val="21"/>
                <w:lang w:val="en-US" w:eastAsia="zh-CN"/>
              </w:rPr>
            </w:pPr>
            <w:r>
              <w:rPr>
                <w:rFonts w:hint="eastAsia" w:hAnsi="宋体" w:cs="宋体"/>
                <w:snapToGrid w:val="0"/>
                <w:color w:val="auto"/>
                <w:kern w:val="21"/>
                <w:szCs w:val="21"/>
                <w:lang w:val="en-US" w:eastAsia="zh-CN"/>
              </w:rPr>
              <w:t>/</w:t>
            </w:r>
          </w:p>
        </w:tc>
        <w:tc>
          <w:tcPr>
            <w:tcW w:w="542" w:type="pct"/>
            <w:noWrap w:val="0"/>
            <w:vAlign w:val="center"/>
          </w:tcPr>
          <w:p w14:paraId="69C85A1A">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hAnsi="宋体" w:eastAsia="宋体" w:cs="宋体"/>
                <w:snapToGrid w:val="0"/>
                <w:color w:val="auto"/>
                <w:kern w:val="21"/>
                <w:szCs w:val="21"/>
                <w:lang w:val="en-US" w:eastAsia="zh-CN"/>
              </w:rPr>
            </w:pPr>
            <w:r>
              <w:rPr>
                <w:rFonts w:hint="eastAsia" w:hAnsi="宋体" w:cs="宋体"/>
                <w:snapToGrid w:val="0"/>
                <w:color w:val="auto"/>
                <w:kern w:val="21"/>
                <w:szCs w:val="21"/>
                <w:lang w:val="en-US" w:eastAsia="zh-CN"/>
              </w:rPr>
              <w:t>少量</w:t>
            </w:r>
          </w:p>
        </w:tc>
        <w:tc>
          <w:tcPr>
            <w:tcW w:w="615" w:type="pct"/>
            <w:noWrap w:val="0"/>
            <w:vAlign w:val="center"/>
          </w:tcPr>
          <w:p w14:paraId="133908C0">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hAnsi="宋体" w:eastAsia="宋体" w:cs="宋体"/>
                <w:snapToGrid w:val="0"/>
                <w:color w:val="auto"/>
                <w:kern w:val="21"/>
                <w:szCs w:val="21"/>
                <w:lang w:val="en-US" w:eastAsia="zh-CN"/>
              </w:rPr>
            </w:pPr>
            <w:r>
              <w:rPr>
                <w:rFonts w:hint="eastAsia" w:hAnsi="宋体" w:cs="宋体"/>
                <w:snapToGrid w:val="0"/>
                <w:color w:val="auto"/>
                <w:kern w:val="21"/>
                <w:szCs w:val="21"/>
                <w:lang w:val="en-US" w:eastAsia="zh-CN"/>
              </w:rPr>
              <w:t>/</w:t>
            </w:r>
          </w:p>
        </w:tc>
        <w:tc>
          <w:tcPr>
            <w:tcW w:w="687" w:type="pct"/>
            <w:noWrap w:val="0"/>
            <w:vAlign w:val="center"/>
          </w:tcPr>
          <w:p w14:paraId="17C1AC0B">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hAnsi="宋体" w:eastAsia="宋体" w:cs="宋体"/>
                <w:snapToGrid w:val="0"/>
                <w:color w:val="auto"/>
                <w:kern w:val="21"/>
                <w:szCs w:val="21"/>
                <w:lang w:val="en-US" w:eastAsia="zh-CN"/>
              </w:rPr>
            </w:pPr>
            <w:r>
              <w:rPr>
                <w:rFonts w:hint="eastAsia" w:hAnsi="宋体" w:cs="宋体"/>
                <w:snapToGrid w:val="0"/>
                <w:color w:val="auto"/>
                <w:kern w:val="21"/>
                <w:szCs w:val="21"/>
                <w:lang w:val="en-US" w:eastAsia="zh-CN"/>
              </w:rPr>
              <w:t>少量</w:t>
            </w:r>
          </w:p>
        </w:tc>
        <w:tc>
          <w:tcPr>
            <w:tcW w:w="481" w:type="pct"/>
            <w:noWrap w:val="0"/>
            <w:vAlign w:val="center"/>
          </w:tcPr>
          <w:p w14:paraId="3CF62102">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hAnsi="宋体" w:eastAsia="宋体" w:cs="宋体"/>
                <w:snapToGrid w:val="0"/>
                <w:color w:val="auto"/>
                <w:kern w:val="21"/>
                <w:szCs w:val="21"/>
                <w:lang w:val="en-US" w:eastAsia="zh-CN"/>
              </w:rPr>
            </w:pPr>
            <w:r>
              <w:rPr>
                <w:rFonts w:hint="eastAsia" w:hAnsi="宋体" w:cs="宋体"/>
                <w:snapToGrid w:val="0"/>
                <w:color w:val="auto"/>
                <w:kern w:val="21"/>
                <w:szCs w:val="21"/>
                <w:lang w:val="en-US" w:eastAsia="zh-CN"/>
              </w:rPr>
              <w:t>/</w:t>
            </w:r>
          </w:p>
        </w:tc>
      </w:tr>
      <w:tr w14:paraId="0A590A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53" w:type="pct"/>
            <w:vMerge w:val="continue"/>
            <w:noWrap w:val="0"/>
            <w:vAlign w:val="center"/>
          </w:tcPr>
          <w:p w14:paraId="5427B957">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hAnsi="宋体" w:cs="宋体"/>
                <w:snapToGrid w:val="0"/>
                <w:color w:val="auto"/>
                <w:kern w:val="21"/>
                <w:szCs w:val="21"/>
              </w:rPr>
            </w:pPr>
          </w:p>
        </w:tc>
        <w:tc>
          <w:tcPr>
            <w:tcW w:w="490" w:type="pct"/>
            <w:noWrap w:val="0"/>
            <w:vAlign w:val="center"/>
          </w:tcPr>
          <w:p w14:paraId="4637424A">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hAnsi="宋体" w:cs="宋体"/>
                <w:snapToGrid w:val="0"/>
                <w:color w:val="auto"/>
                <w:kern w:val="21"/>
                <w:szCs w:val="21"/>
                <w:lang w:val="en-US" w:eastAsia="zh-CN"/>
              </w:rPr>
            </w:pPr>
            <w:r>
              <w:rPr>
                <w:rFonts w:hint="eastAsia" w:hAnsi="宋体" w:cs="宋体"/>
                <w:snapToGrid w:val="0"/>
                <w:color w:val="auto"/>
                <w:kern w:val="21"/>
                <w:szCs w:val="21"/>
                <w:lang w:val="en-US" w:eastAsia="zh-CN"/>
              </w:rPr>
              <w:t>NO</w:t>
            </w:r>
            <w:r>
              <w:rPr>
                <w:rFonts w:hint="eastAsia" w:hAnsi="宋体" w:cs="宋体"/>
                <w:snapToGrid w:val="0"/>
                <w:color w:val="auto"/>
                <w:kern w:val="21"/>
                <w:szCs w:val="21"/>
                <w:vertAlign w:val="subscript"/>
                <w:lang w:val="en-US" w:eastAsia="zh-CN"/>
              </w:rPr>
              <w:t>X</w:t>
            </w:r>
          </w:p>
        </w:tc>
        <w:tc>
          <w:tcPr>
            <w:tcW w:w="593" w:type="pct"/>
            <w:noWrap w:val="0"/>
            <w:vAlign w:val="center"/>
          </w:tcPr>
          <w:p w14:paraId="3DF3F170">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Ansi="宋体" w:cs="宋体"/>
                <w:snapToGrid w:val="0"/>
                <w:color w:val="auto"/>
                <w:kern w:val="21"/>
                <w:szCs w:val="21"/>
              </w:rPr>
            </w:pPr>
            <w:r>
              <w:rPr>
                <w:rFonts w:hint="eastAsia" w:hAnsi="宋体" w:cs="宋体"/>
                <w:snapToGrid w:val="0"/>
                <w:color w:val="auto"/>
                <w:kern w:val="21"/>
                <w:szCs w:val="21"/>
                <w:lang w:val="en-US" w:eastAsia="zh-CN"/>
              </w:rPr>
              <w:t>少量</w:t>
            </w:r>
          </w:p>
        </w:tc>
        <w:tc>
          <w:tcPr>
            <w:tcW w:w="439" w:type="pct"/>
            <w:noWrap w:val="0"/>
            <w:vAlign w:val="center"/>
          </w:tcPr>
          <w:p w14:paraId="29B2835D">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Ansi="宋体" w:cs="宋体"/>
                <w:snapToGrid w:val="0"/>
                <w:color w:val="auto"/>
                <w:kern w:val="21"/>
                <w:szCs w:val="21"/>
              </w:rPr>
            </w:pPr>
            <w:r>
              <w:rPr>
                <w:rFonts w:hint="eastAsia" w:hAnsi="宋体" w:cs="宋体"/>
                <w:snapToGrid w:val="0"/>
                <w:color w:val="auto"/>
                <w:kern w:val="21"/>
                <w:szCs w:val="21"/>
                <w:lang w:val="en-US" w:eastAsia="zh-CN"/>
              </w:rPr>
              <w:t>/</w:t>
            </w:r>
          </w:p>
        </w:tc>
        <w:tc>
          <w:tcPr>
            <w:tcW w:w="593" w:type="pct"/>
            <w:noWrap w:val="0"/>
            <w:vAlign w:val="center"/>
          </w:tcPr>
          <w:p w14:paraId="7F5C670D">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Ansi="宋体" w:cs="宋体"/>
                <w:snapToGrid w:val="0"/>
                <w:color w:val="auto"/>
                <w:kern w:val="21"/>
                <w:szCs w:val="21"/>
              </w:rPr>
            </w:pPr>
            <w:r>
              <w:rPr>
                <w:rFonts w:hint="eastAsia" w:hAnsi="宋体" w:cs="宋体"/>
                <w:snapToGrid w:val="0"/>
                <w:color w:val="auto"/>
                <w:kern w:val="21"/>
                <w:szCs w:val="21"/>
                <w:lang w:val="en-US" w:eastAsia="zh-CN"/>
              </w:rPr>
              <w:t>/</w:t>
            </w:r>
          </w:p>
        </w:tc>
        <w:tc>
          <w:tcPr>
            <w:tcW w:w="542" w:type="pct"/>
            <w:noWrap w:val="0"/>
            <w:vAlign w:val="center"/>
          </w:tcPr>
          <w:p w14:paraId="1B3EEE61">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Ansi="宋体" w:cs="宋体"/>
                <w:snapToGrid w:val="0"/>
                <w:color w:val="auto"/>
                <w:kern w:val="21"/>
                <w:szCs w:val="21"/>
              </w:rPr>
            </w:pPr>
            <w:r>
              <w:rPr>
                <w:rFonts w:hint="eastAsia" w:hAnsi="宋体" w:cs="宋体"/>
                <w:snapToGrid w:val="0"/>
                <w:color w:val="auto"/>
                <w:kern w:val="21"/>
                <w:szCs w:val="21"/>
                <w:lang w:val="en-US" w:eastAsia="zh-CN"/>
              </w:rPr>
              <w:t>少量</w:t>
            </w:r>
          </w:p>
        </w:tc>
        <w:tc>
          <w:tcPr>
            <w:tcW w:w="615" w:type="pct"/>
            <w:noWrap w:val="0"/>
            <w:vAlign w:val="center"/>
          </w:tcPr>
          <w:p w14:paraId="2B92F423">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Ansi="宋体" w:cs="宋体"/>
                <w:snapToGrid w:val="0"/>
                <w:color w:val="auto"/>
                <w:kern w:val="21"/>
                <w:szCs w:val="21"/>
              </w:rPr>
            </w:pPr>
            <w:r>
              <w:rPr>
                <w:rFonts w:hint="eastAsia" w:hAnsi="宋体" w:cs="宋体"/>
                <w:snapToGrid w:val="0"/>
                <w:color w:val="auto"/>
                <w:kern w:val="21"/>
                <w:szCs w:val="21"/>
                <w:lang w:val="en-US" w:eastAsia="zh-CN"/>
              </w:rPr>
              <w:t>/</w:t>
            </w:r>
          </w:p>
        </w:tc>
        <w:tc>
          <w:tcPr>
            <w:tcW w:w="687" w:type="pct"/>
            <w:noWrap w:val="0"/>
            <w:vAlign w:val="center"/>
          </w:tcPr>
          <w:p w14:paraId="6742740B">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Ansi="宋体" w:cs="宋体"/>
                <w:snapToGrid w:val="0"/>
                <w:color w:val="auto"/>
                <w:kern w:val="21"/>
                <w:szCs w:val="21"/>
              </w:rPr>
            </w:pPr>
            <w:r>
              <w:rPr>
                <w:rFonts w:hint="eastAsia" w:hAnsi="宋体" w:cs="宋体"/>
                <w:snapToGrid w:val="0"/>
                <w:color w:val="auto"/>
                <w:kern w:val="21"/>
                <w:szCs w:val="21"/>
                <w:lang w:val="en-US" w:eastAsia="zh-CN"/>
              </w:rPr>
              <w:t>少量</w:t>
            </w:r>
          </w:p>
        </w:tc>
        <w:tc>
          <w:tcPr>
            <w:tcW w:w="481" w:type="pct"/>
            <w:noWrap w:val="0"/>
            <w:vAlign w:val="center"/>
          </w:tcPr>
          <w:p w14:paraId="16EB522B">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Ansi="宋体" w:cs="宋体"/>
                <w:snapToGrid w:val="0"/>
                <w:color w:val="auto"/>
                <w:kern w:val="21"/>
                <w:szCs w:val="21"/>
              </w:rPr>
            </w:pPr>
            <w:r>
              <w:rPr>
                <w:rFonts w:hint="eastAsia" w:hAnsi="宋体" w:cs="宋体"/>
                <w:snapToGrid w:val="0"/>
                <w:color w:val="auto"/>
                <w:kern w:val="21"/>
                <w:szCs w:val="21"/>
                <w:lang w:val="en-US" w:eastAsia="zh-CN"/>
              </w:rPr>
              <w:t>/</w:t>
            </w:r>
          </w:p>
        </w:tc>
      </w:tr>
      <w:tr w14:paraId="538941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53" w:type="pct"/>
            <w:vMerge w:val="continue"/>
            <w:noWrap w:val="0"/>
            <w:vAlign w:val="center"/>
          </w:tcPr>
          <w:p w14:paraId="2B9902F3">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hAnsi="宋体" w:cs="宋体"/>
                <w:snapToGrid w:val="0"/>
                <w:color w:val="auto"/>
                <w:kern w:val="21"/>
                <w:szCs w:val="21"/>
              </w:rPr>
            </w:pPr>
          </w:p>
        </w:tc>
        <w:tc>
          <w:tcPr>
            <w:tcW w:w="490" w:type="pct"/>
            <w:noWrap w:val="0"/>
            <w:vAlign w:val="center"/>
          </w:tcPr>
          <w:p w14:paraId="7621133E">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hAnsi="宋体" w:cs="宋体"/>
                <w:snapToGrid w:val="0"/>
                <w:color w:val="auto"/>
                <w:kern w:val="21"/>
                <w:szCs w:val="21"/>
                <w:lang w:val="en-US" w:eastAsia="zh-CN"/>
              </w:rPr>
            </w:pPr>
            <w:r>
              <w:rPr>
                <w:rFonts w:hint="eastAsia" w:hAnsi="宋体" w:cs="宋体"/>
                <w:snapToGrid w:val="0"/>
                <w:color w:val="auto"/>
                <w:kern w:val="21"/>
                <w:szCs w:val="21"/>
                <w:lang w:val="en-US" w:eastAsia="zh-CN"/>
              </w:rPr>
              <w:t>THC</w:t>
            </w:r>
          </w:p>
        </w:tc>
        <w:tc>
          <w:tcPr>
            <w:tcW w:w="593" w:type="pct"/>
            <w:noWrap w:val="0"/>
            <w:vAlign w:val="center"/>
          </w:tcPr>
          <w:p w14:paraId="596A0BC1">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Ansi="宋体" w:cs="宋体"/>
                <w:snapToGrid w:val="0"/>
                <w:color w:val="auto"/>
                <w:kern w:val="21"/>
                <w:szCs w:val="21"/>
              </w:rPr>
            </w:pPr>
            <w:r>
              <w:rPr>
                <w:rFonts w:hint="eastAsia" w:hAnsi="宋体" w:cs="宋体"/>
                <w:snapToGrid w:val="0"/>
                <w:color w:val="auto"/>
                <w:kern w:val="21"/>
                <w:szCs w:val="21"/>
                <w:lang w:val="en-US" w:eastAsia="zh-CN"/>
              </w:rPr>
              <w:t>少量</w:t>
            </w:r>
          </w:p>
        </w:tc>
        <w:tc>
          <w:tcPr>
            <w:tcW w:w="439" w:type="pct"/>
            <w:noWrap w:val="0"/>
            <w:vAlign w:val="center"/>
          </w:tcPr>
          <w:p w14:paraId="336D7C9F">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Ansi="宋体" w:cs="宋体"/>
                <w:snapToGrid w:val="0"/>
                <w:color w:val="auto"/>
                <w:kern w:val="21"/>
                <w:szCs w:val="21"/>
              </w:rPr>
            </w:pPr>
            <w:r>
              <w:rPr>
                <w:rFonts w:hint="eastAsia" w:hAnsi="宋体" w:cs="宋体"/>
                <w:snapToGrid w:val="0"/>
                <w:color w:val="auto"/>
                <w:kern w:val="21"/>
                <w:szCs w:val="21"/>
                <w:lang w:val="en-US" w:eastAsia="zh-CN"/>
              </w:rPr>
              <w:t>/</w:t>
            </w:r>
          </w:p>
        </w:tc>
        <w:tc>
          <w:tcPr>
            <w:tcW w:w="593" w:type="pct"/>
            <w:noWrap w:val="0"/>
            <w:vAlign w:val="center"/>
          </w:tcPr>
          <w:p w14:paraId="3501DC9C">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Ansi="宋体" w:cs="宋体"/>
                <w:snapToGrid w:val="0"/>
                <w:color w:val="auto"/>
                <w:kern w:val="21"/>
                <w:szCs w:val="21"/>
              </w:rPr>
            </w:pPr>
            <w:r>
              <w:rPr>
                <w:rFonts w:hint="eastAsia" w:hAnsi="宋体" w:cs="宋体"/>
                <w:snapToGrid w:val="0"/>
                <w:color w:val="auto"/>
                <w:kern w:val="21"/>
                <w:szCs w:val="21"/>
                <w:lang w:val="en-US" w:eastAsia="zh-CN"/>
              </w:rPr>
              <w:t>/</w:t>
            </w:r>
          </w:p>
        </w:tc>
        <w:tc>
          <w:tcPr>
            <w:tcW w:w="542" w:type="pct"/>
            <w:noWrap w:val="0"/>
            <w:vAlign w:val="center"/>
          </w:tcPr>
          <w:p w14:paraId="25C91BBF">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Ansi="宋体" w:cs="宋体"/>
                <w:snapToGrid w:val="0"/>
                <w:color w:val="auto"/>
                <w:kern w:val="21"/>
                <w:szCs w:val="21"/>
              </w:rPr>
            </w:pPr>
            <w:r>
              <w:rPr>
                <w:rFonts w:hint="eastAsia" w:hAnsi="宋体" w:cs="宋体"/>
                <w:snapToGrid w:val="0"/>
                <w:color w:val="auto"/>
                <w:kern w:val="21"/>
                <w:szCs w:val="21"/>
                <w:lang w:val="en-US" w:eastAsia="zh-CN"/>
              </w:rPr>
              <w:t>少量</w:t>
            </w:r>
          </w:p>
        </w:tc>
        <w:tc>
          <w:tcPr>
            <w:tcW w:w="615" w:type="pct"/>
            <w:noWrap w:val="0"/>
            <w:vAlign w:val="center"/>
          </w:tcPr>
          <w:p w14:paraId="01D5F82D">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Ansi="宋体" w:cs="宋体"/>
                <w:snapToGrid w:val="0"/>
                <w:color w:val="auto"/>
                <w:kern w:val="21"/>
                <w:szCs w:val="21"/>
              </w:rPr>
            </w:pPr>
            <w:r>
              <w:rPr>
                <w:rFonts w:hint="eastAsia" w:hAnsi="宋体" w:cs="宋体"/>
                <w:snapToGrid w:val="0"/>
                <w:color w:val="auto"/>
                <w:kern w:val="21"/>
                <w:szCs w:val="21"/>
                <w:lang w:val="en-US" w:eastAsia="zh-CN"/>
              </w:rPr>
              <w:t>/</w:t>
            </w:r>
          </w:p>
        </w:tc>
        <w:tc>
          <w:tcPr>
            <w:tcW w:w="687" w:type="pct"/>
            <w:noWrap w:val="0"/>
            <w:vAlign w:val="center"/>
          </w:tcPr>
          <w:p w14:paraId="6A4372AB">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Ansi="宋体" w:cs="宋体"/>
                <w:snapToGrid w:val="0"/>
                <w:color w:val="auto"/>
                <w:kern w:val="21"/>
                <w:szCs w:val="21"/>
              </w:rPr>
            </w:pPr>
            <w:r>
              <w:rPr>
                <w:rFonts w:hint="eastAsia" w:hAnsi="宋体" w:cs="宋体"/>
                <w:snapToGrid w:val="0"/>
                <w:color w:val="auto"/>
                <w:kern w:val="21"/>
                <w:szCs w:val="21"/>
                <w:lang w:val="en-US" w:eastAsia="zh-CN"/>
              </w:rPr>
              <w:t>少量</w:t>
            </w:r>
          </w:p>
        </w:tc>
        <w:tc>
          <w:tcPr>
            <w:tcW w:w="481" w:type="pct"/>
            <w:noWrap w:val="0"/>
            <w:vAlign w:val="center"/>
          </w:tcPr>
          <w:p w14:paraId="498E6117">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Ansi="宋体" w:cs="宋体"/>
                <w:snapToGrid w:val="0"/>
                <w:color w:val="auto"/>
                <w:kern w:val="21"/>
                <w:szCs w:val="21"/>
              </w:rPr>
            </w:pPr>
            <w:r>
              <w:rPr>
                <w:rFonts w:hint="eastAsia" w:hAnsi="宋体" w:cs="宋体"/>
                <w:snapToGrid w:val="0"/>
                <w:color w:val="auto"/>
                <w:kern w:val="21"/>
                <w:szCs w:val="21"/>
                <w:lang w:val="en-US" w:eastAsia="zh-CN"/>
              </w:rPr>
              <w:t>/</w:t>
            </w:r>
          </w:p>
        </w:tc>
      </w:tr>
      <w:tr w14:paraId="6E4D76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3" w:type="pct"/>
            <w:vMerge w:val="restart"/>
            <w:noWrap w:val="0"/>
            <w:vAlign w:val="center"/>
          </w:tcPr>
          <w:p w14:paraId="5040B528">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hAnsi="宋体" w:cs="宋体"/>
                <w:snapToGrid w:val="0"/>
                <w:color w:val="auto"/>
                <w:kern w:val="21"/>
                <w:szCs w:val="21"/>
              </w:rPr>
            </w:pPr>
            <w:r>
              <w:rPr>
                <w:rFonts w:hint="eastAsia" w:hAnsi="宋体" w:cs="宋体"/>
                <w:snapToGrid w:val="0"/>
                <w:color w:val="auto"/>
                <w:kern w:val="21"/>
                <w:szCs w:val="21"/>
              </w:rPr>
              <w:t>废水</w:t>
            </w:r>
          </w:p>
        </w:tc>
        <w:tc>
          <w:tcPr>
            <w:tcW w:w="490" w:type="pct"/>
            <w:vMerge w:val="restart"/>
            <w:noWrap w:val="0"/>
            <w:vAlign w:val="center"/>
          </w:tcPr>
          <w:p w14:paraId="480534E3">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hAnsi="宋体" w:eastAsia="宋体" w:cs="宋体"/>
                <w:snapToGrid w:val="0"/>
                <w:color w:val="auto"/>
                <w:kern w:val="21"/>
                <w:szCs w:val="21"/>
                <w:lang w:val="en-US" w:eastAsia="zh-CN"/>
              </w:rPr>
            </w:pPr>
            <w:r>
              <w:rPr>
                <w:rFonts w:hint="eastAsia" w:hAnsi="宋体" w:cs="宋体"/>
                <w:snapToGrid w:val="0"/>
                <w:color w:val="auto"/>
                <w:kern w:val="21"/>
                <w:szCs w:val="21"/>
                <w:lang w:val="en-US" w:eastAsia="zh-CN"/>
              </w:rPr>
              <w:t>/</w:t>
            </w:r>
          </w:p>
        </w:tc>
        <w:tc>
          <w:tcPr>
            <w:tcW w:w="593" w:type="pct"/>
            <w:vMerge w:val="restart"/>
            <w:noWrap w:val="0"/>
            <w:vAlign w:val="center"/>
          </w:tcPr>
          <w:p w14:paraId="0D31DCA5">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hAnsi="宋体" w:eastAsia="宋体" w:cs="宋体"/>
                <w:snapToGrid w:val="0"/>
                <w:color w:val="auto"/>
                <w:kern w:val="21"/>
                <w:szCs w:val="21"/>
                <w:lang w:val="en-US" w:eastAsia="zh-CN"/>
              </w:rPr>
            </w:pPr>
            <w:r>
              <w:rPr>
                <w:rFonts w:hint="eastAsia" w:hAnsi="宋体" w:cs="宋体"/>
                <w:snapToGrid w:val="0"/>
                <w:color w:val="auto"/>
                <w:kern w:val="21"/>
                <w:szCs w:val="21"/>
                <w:lang w:val="en-US" w:eastAsia="zh-CN"/>
              </w:rPr>
              <w:t>/</w:t>
            </w:r>
          </w:p>
        </w:tc>
        <w:tc>
          <w:tcPr>
            <w:tcW w:w="439" w:type="pct"/>
            <w:vMerge w:val="restart"/>
            <w:noWrap w:val="0"/>
            <w:vAlign w:val="center"/>
          </w:tcPr>
          <w:p w14:paraId="4DF4F94E">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hAnsi="宋体" w:eastAsia="宋体" w:cs="宋体"/>
                <w:snapToGrid w:val="0"/>
                <w:color w:val="auto"/>
                <w:kern w:val="21"/>
                <w:szCs w:val="21"/>
                <w:lang w:val="en-US" w:eastAsia="zh-CN"/>
              </w:rPr>
            </w:pPr>
            <w:r>
              <w:rPr>
                <w:rFonts w:hint="eastAsia" w:hAnsi="宋体" w:cs="宋体"/>
                <w:snapToGrid w:val="0"/>
                <w:color w:val="auto"/>
                <w:kern w:val="21"/>
                <w:szCs w:val="21"/>
                <w:lang w:val="en-US" w:eastAsia="zh-CN"/>
              </w:rPr>
              <w:t>/</w:t>
            </w:r>
          </w:p>
        </w:tc>
        <w:tc>
          <w:tcPr>
            <w:tcW w:w="593" w:type="pct"/>
            <w:vMerge w:val="restart"/>
            <w:noWrap w:val="0"/>
            <w:vAlign w:val="center"/>
          </w:tcPr>
          <w:p w14:paraId="7C210902">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hAnsi="宋体" w:eastAsia="宋体" w:cs="宋体"/>
                <w:snapToGrid w:val="0"/>
                <w:color w:val="auto"/>
                <w:kern w:val="21"/>
                <w:szCs w:val="21"/>
                <w:lang w:val="en-US" w:eastAsia="zh-CN"/>
              </w:rPr>
            </w:pPr>
            <w:r>
              <w:rPr>
                <w:rFonts w:hint="eastAsia" w:hAnsi="宋体" w:cs="宋体"/>
                <w:snapToGrid w:val="0"/>
                <w:color w:val="auto"/>
                <w:kern w:val="21"/>
                <w:szCs w:val="21"/>
                <w:lang w:val="en-US" w:eastAsia="zh-CN"/>
              </w:rPr>
              <w:t>/</w:t>
            </w:r>
          </w:p>
        </w:tc>
        <w:tc>
          <w:tcPr>
            <w:tcW w:w="542" w:type="pct"/>
            <w:vMerge w:val="restart"/>
            <w:noWrap w:val="0"/>
            <w:vAlign w:val="center"/>
          </w:tcPr>
          <w:p w14:paraId="63CC9FF8">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hAnsi="宋体" w:eastAsia="宋体" w:cs="宋体"/>
                <w:snapToGrid w:val="0"/>
                <w:color w:val="auto"/>
                <w:kern w:val="21"/>
                <w:szCs w:val="21"/>
                <w:lang w:val="en-US" w:eastAsia="zh-CN"/>
              </w:rPr>
            </w:pPr>
            <w:r>
              <w:rPr>
                <w:rFonts w:hint="eastAsia" w:hAnsi="宋体" w:cs="宋体"/>
                <w:snapToGrid w:val="0"/>
                <w:color w:val="auto"/>
                <w:kern w:val="21"/>
                <w:szCs w:val="21"/>
                <w:lang w:val="en-US" w:eastAsia="zh-CN"/>
              </w:rPr>
              <w:t>/</w:t>
            </w:r>
          </w:p>
        </w:tc>
        <w:tc>
          <w:tcPr>
            <w:tcW w:w="615" w:type="pct"/>
            <w:vMerge w:val="restart"/>
            <w:noWrap w:val="0"/>
            <w:vAlign w:val="center"/>
          </w:tcPr>
          <w:p w14:paraId="3FE66169">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hAnsi="宋体" w:eastAsia="宋体" w:cs="宋体"/>
                <w:snapToGrid w:val="0"/>
                <w:color w:val="auto"/>
                <w:kern w:val="21"/>
                <w:szCs w:val="21"/>
                <w:lang w:val="en-US" w:eastAsia="zh-CN"/>
              </w:rPr>
            </w:pPr>
            <w:r>
              <w:rPr>
                <w:rFonts w:hint="eastAsia" w:hAnsi="宋体" w:cs="宋体"/>
                <w:snapToGrid w:val="0"/>
                <w:color w:val="auto"/>
                <w:kern w:val="21"/>
                <w:szCs w:val="21"/>
                <w:lang w:val="en-US" w:eastAsia="zh-CN"/>
              </w:rPr>
              <w:t>/</w:t>
            </w:r>
          </w:p>
        </w:tc>
        <w:tc>
          <w:tcPr>
            <w:tcW w:w="687" w:type="pct"/>
            <w:vMerge w:val="restart"/>
            <w:noWrap w:val="0"/>
            <w:vAlign w:val="center"/>
          </w:tcPr>
          <w:p w14:paraId="6CA28D8D">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hAnsi="宋体" w:eastAsia="宋体" w:cs="宋体"/>
                <w:snapToGrid w:val="0"/>
                <w:color w:val="auto"/>
                <w:kern w:val="21"/>
                <w:szCs w:val="21"/>
                <w:lang w:val="en-US" w:eastAsia="zh-CN"/>
              </w:rPr>
            </w:pPr>
            <w:r>
              <w:rPr>
                <w:rFonts w:hint="eastAsia" w:hAnsi="宋体" w:cs="宋体"/>
                <w:snapToGrid w:val="0"/>
                <w:color w:val="auto"/>
                <w:kern w:val="21"/>
                <w:szCs w:val="21"/>
                <w:lang w:val="en-US" w:eastAsia="zh-CN"/>
              </w:rPr>
              <w:t>/</w:t>
            </w:r>
          </w:p>
        </w:tc>
        <w:tc>
          <w:tcPr>
            <w:tcW w:w="481" w:type="pct"/>
            <w:vMerge w:val="restart"/>
            <w:noWrap w:val="0"/>
            <w:vAlign w:val="center"/>
          </w:tcPr>
          <w:p w14:paraId="113B6632">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hAnsi="宋体" w:eastAsia="宋体" w:cs="宋体"/>
                <w:snapToGrid w:val="0"/>
                <w:color w:val="auto"/>
                <w:kern w:val="21"/>
                <w:szCs w:val="21"/>
                <w:lang w:val="en-US" w:eastAsia="zh-CN"/>
              </w:rPr>
            </w:pPr>
            <w:r>
              <w:rPr>
                <w:rFonts w:hint="eastAsia" w:hAnsi="宋体" w:cs="宋体"/>
                <w:snapToGrid w:val="0"/>
                <w:color w:val="auto"/>
                <w:kern w:val="21"/>
                <w:szCs w:val="21"/>
                <w:lang w:val="en-US" w:eastAsia="zh-CN"/>
              </w:rPr>
              <w:t>/</w:t>
            </w:r>
          </w:p>
        </w:tc>
      </w:tr>
      <w:tr w14:paraId="1B8B95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3" w:type="pct"/>
            <w:vMerge w:val="continue"/>
            <w:noWrap w:val="0"/>
            <w:vAlign w:val="center"/>
          </w:tcPr>
          <w:p w14:paraId="48B10165">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hAnsi="宋体" w:cs="宋体"/>
                <w:snapToGrid w:val="0"/>
                <w:color w:val="auto"/>
                <w:kern w:val="21"/>
                <w:szCs w:val="21"/>
              </w:rPr>
            </w:pPr>
          </w:p>
        </w:tc>
        <w:tc>
          <w:tcPr>
            <w:tcW w:w="490" w:type="pct"/>
            <w:vMerge w:val="continue"/>
            <w:noWrap w:val="0"/>
            <w:vAlign w:val="center"/>
          </w:tcPr>
          <w:p w14:paraId="1B2C0D5F">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hAnsi="宋体" w:cs="宋体"/>
                <w:snapToGrid w:val="0"/>
                <w:color w:val="auto"/>
                <w:kern w:val="21"/>
                <w:szCs w:val="21"/>
              </w:rPr>
            </w:pPr>
          </w:p>
        </w:tc>
        <w:tc>
          <w:tcPr>
            <w:tcW w:w="593" w:type="pct"/>
            <w:vMerge w:val="continue"/>
            <w:noWrap w:val="0"/>
            <w:vAlign w:val="center"/>
          </w:tcPr>
          <w:p w14:paraId="407B73EF">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Ansi="宋体" w:cs="宋体"/>
                <w:snapToGrid w:val="0"/>
                <w:color w:val="auto"/>
                <w:kern w:val="21"/>
                <w:szCs w:val="21"/>
              </w:rPr>
            </w:pPr>
          </w:p>
        </w:tc>
        <w:tc>
          <w:tcPr>
            <w:tcW w:w="439" w:type="pct"/>
            <w:vMerge w:val="continue"/>
            <w:noWrap w:val="0"/>
            <w:vAlign w:val="center"/>
          </w:tcPr>
          <w:p w14:paraId="72A8739F">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Ansi="宋体" w:cs="宋体"/>
                <w:snapToGrid w:val="0"/>
                <w:color w:val="auto"/>
                <w:kern w:val="21"/>
                <w:szCs w:val="21"/>
              </w:rPr>
            </w:pPr>
          </w:p>
        </w:tc>
        <w:tc>
          <w:tcPr>
            <w:tcW w:w="593" w:type="pct"/>
            <w:vMerge w:val="continue"/>
            <w:noWrap w:val="0"/>
            <w:vAlign w:val="center"/>
          </w:tcPr>
          <w:p w14:paraId="05C0437D">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Ansi="宋体" w:cs="宋体"/>
                <w:snapToGrid w:val="0"/>
                <w:color w:val="auto"/>
                <w:kern w:val="21"/>
                <w:szCs w:val="21"/>
              </w:rPr>
            </w:pPr>
          </w:p>
        </w:tc>
        <w:tc>
          <w:tcPr>
            <w:tcW w:w="542" w:type="pct"/>
            <w:vMerge w:val="continue"/>
            <w:noWrap w:val="0"/>
            <w:vAlign w:val="center"/>
          </w:tcPr>
          <w:p w14:paraId="0121AF45">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Ansi="宋体" w:cs="宋体"/>
                <w:snapToGrid w:val="0"/>
                <w:color w:val="auto"/>
                <w:kern w:val="21"/>
                <w:szCs w:val="21"/>
              </w:rPr>
            </w:pPr>
          </w:p>
        </w:tc>
        <w:tc>
          <w:tcPr>
            <w:tcW w:w="615" w:type="pct"/>
            <w:vMerge w:val="continue"/>
            <w:noWrap w:val="0"/>
            <w:vAlign w:val="center"/>
          </w:tcPr>
          <w:p w14:paraId="2F8B7D12">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Ansi="宋体" w:cs="宋体"/>
                <w:snapToGrid w:val="0"/>
                <w:color w:val="auto"/>
                <w:kern w:val="21"/>
                <w:szCs w:val="21"/>
              </w:rPr>
            </w:pPr>
          </w:p>
        </w:tc>
        <w:tc>
          <w:tcPr>
            <w:tcW w:w="687" w:type="pct"/>
            <w:vMerge w:val="continue"/>
            <w:noWrap w:val="0"/>
            <w:vAlign w:val="center"/>
          </w:tcPr>
          <w:p w14:paraId="125F7A07">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Ansi="宋体" w:cs="宋体"/>
                <w:snapToGrid w:val="0"/>
                <w:color w:val="auto"/>
                <w:kern w:val="21"/>
                <w:szCs w:val="21"/>
              </w:rPr>
            </w:pPr>
          </w:p>
        </w:tc>
        <w:tc>
          <w:tcPr>
            <w:tcW w:w="481" w:type="pct"/>
            <w:vMerge w:val="continue"/>
            <w:noWrap w:val="0"/>
            <w:vAlign w:val="center"/>
          </w:tcPr>
          <w:p w14:paraId="7D2AAC66">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Ansi="宋体" w:cs="宋体"/>
                <w:snapToGrid w:val="0"/>
                <w:color w:val="auto"/>
                <w:kern w:val="21"/>
                <w:szCs w:val="21"/>
              </w:rPr>
            </w:pPr>
          </w:p>
        </w:tc>
      </w:tr>
      <w:tr w14:paraId="68B68F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53" w:type="pct"/>
            <w:vMerge w:val="restart"/>
            <w:noWrap w:val="0"/>
            <w:vAlign w:val="center"/>
          </w:tcPr>
          <w:p w14:paraId="45B825D4">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Ansi="宋体" w:cs="宋体"/>
                <w:snapToGrid w:val="0"/>
                <w:color w:val="auto"/>
                <w:kern w:val="21"/>
                <w:szCs w:val="21"/>
              </w:rPr>
            </w:pPr>
            <w:r>
              <w:rPr>
                <w:rFonts w:hint="eastAsia" w:hAnsi="宋体" w:cs="宋体"/>
                <w:snapToGrid w:val="0"/>
                <w:color w:val="auto"/>
                <w:kern w:val="21"/>
                <w:szCs w:val="21"/>
              </w:rPr>
              <w:t>一般工业</w:t>
            </w:r>
          </w:p>
          <w:p w14:paraId="32B13C56">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hAnsi="宋体" w:cs="宋体"/>
                <w:snapToGrid w:val="0"/>
                <w:color w:val="auto"/>
                <w:kern w:val="21"/>
                <w:szCs w:val="21"/>
              </w:rPr>
            </w:pPr>
            <w:r>
              <w:rPr>
                <w:rFonts w:hint="eastAsia" w:hAnsi="宋体" w:cs="宋体"/>
                <w:snapToGrid w:val="0"/>
                <w:color w:val="auto"/>
                <w:kern w:val="21"/>
                <w:szCs w:val="21"/>
              </w:rPr>
              <w:t>固体废物</w:t>
            </w:r>
          </w:p>
        </w:tc>
        <w:tc>
          <w:tcPr>
            <w:tcW w:w="490" w:type="pct"/>
            <w:noWrap w:val="0"/>
            <w:vAlign w:val="center"/>
          </w:tcPr>
          <w:p w14:paraId="091608D4">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hAnsi="宋体" w:eastAsia="宋体" w:cs="宋体"/>
                <w:snapToGrid w:val="0"/>
                <w:color w:val="auto"/>
                <w:kern w:val="21"/>
                <w:szCs w:val="21"/>
                <w:lang w:val="en-US" w:eastAsia="zh-CN"/>
              </w:rPr>
            </w:pPr>
            <w:r>
              <w:rPr>
                <w:rFonts w:hint="eastAsia" w:hAnsi="宋体" w:cs="宋体"/>
                <w:snapToGrid w:val="0"/>
                <w:color w:val="auto"/>
                <w:kern w:val="21"/>
                <w:szCs w:val="21"/>
                <w:lang w:val="en-US" w:eastAsia="zh-CN"/>
              </w:rPr>
              <w:t>初期雨水池沉渣</w:t>
            </w:r>
          </w:p>
        </w:tc>
        <w:tc>
          <w:tcPr>
            <w:tcW w:w="593" w:type="pct"/>
            <w:noWrap w:val="0"/>
            <w:vAlign w:val="center"/>
          </w:tcPr>
          <w:p w14:paraId="2F304293">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hAnsi="宋体" w:eastAsia="宋体" w:cs="宋体"/>
                <w:snapToGrid w:val="0"/>
                <w:color w:val="auto"/>
                <w:kern w:val="21"/>
                <w:szCs w:val="21"/>
                <w:lang w:val="en-US" w:eastAsia="zh-CN"/>
              </w:rPr>
            </w:pPr>
            <w:r>
              <w:rPr>
                <w:rFonts w:hint="eastAsia" w:hAnsi="宋体" w:cs="宋体"/>
                <w:snapToGrid w:val="0"/>
                <w:color w:val="auto"/>
                <w:kern w:val="21"/>
                <w:szCs w:val="21"/>
                <w:lang w:val="en-US" w:eastAsia="zh-CN"/>
              </w:rPr>
              <w:t>2.145t/a</w:t>
            </w:r>
          </w:p>
        </w:tc>
        <w:tc>
          <w:tcPr>
            <w:tcW w:w="439" w:type="pct"/>
            <w:noWrap w:val="0"/>
            <w:vAlign w:val="center"/>
          </w:tcPr>
          <w:p w14:paraId="42642EEA">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hAnsi="宋体" w:eastAsia="宋体" w:cs="宋体"/>
                <w:snapToGrid w:val="0"/>
                <w:color w:val="auto"/>
                <w:kern w:val="21"/>
                <w:szCs w:val="21"/>
                <w:lang w:val="en-US" w:eastAsia="zh-CN"/>
              </w:rPr>
            </w:pPr>
            <w:r>
              <w:rPr>
                <w:rFonts w:hint="eastAsia" w:hAnsi="宋体" w:cs="宋体"/>
                <w:snapToGrid w:val="0"/>
                <w:color w:val="auto"/>
                <w:kern w:val="21"/>
                <w:szCs w:val="21"/>
                <w:lang w:val="en-US" w:eastAsia="zh-CN"/>
              </w:rPr>
              <w:t>/</w:t>
            </w:r>
          </w:p>
        </w:tc>
        <w:tc>
          <w:tcPr>
            <w:tcW w:w="593" w:type="pct"/>
            <w:noWrap w:val="0"/>
            <w:vAlign w:val="center"/>
          </w:tcPr>
          <w:p w14:paraId="3330BE9D">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hAnsi="宋体" w:eastAsia="宋体" w:cs="宋体"/>
                <w:snapToGrid w:val="0"/>
                <w:color w:val="auto"/>
                <w:kern w:val="21"/>
                <w:szCs w:val="21"/>
                <w:lang w:val="en-US" w:eastAsia="zh-CN"/>
              </w:rPr>
            </w:pPr>
            <w:r>
              <w:rPr>
                <w:rFonts w:hint="eastAsia" w:hAnsi="宋体" w:cs="宋体"/>
                <w:snapToGrid w:val="0"/>
                <w:color w:val="auto"/>
                <w:kern w:val="21"/>
                <w:szCs w:val="21"/>
                <w:lang w:val="en-US" w:eastAsia="zh-CN"/>
              </w:rPr>
              <w:t>/</w:t>
            </w:r>
          </w:p>
        </w:tc>
        <w:tc>
          <w:tcPr>
            <w:tcW w:w="542" w:type="pct"/>
            <w:noWrap w:val="0"/>
            <w:vAlign w:val="center"/>
          </w:tcPr>
          <w:p w14:paraId="4DDE47C7">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hAnsi="宋体" w:eastAsia="宋体" w:cs="宋体"/>
                <w:snapToGrid w:val="0"/>
                <w:color w:val="auto"/>
                <w:kern w:val="21"/>
                <w:szCs w:val="21"/>
                <w:lang w:val="en-US" w:eastAsia="zh-CN"/>
              </w:rPr>
            </w:pPr>
            <w:r>
              <w:rPr>
                <w:rFonts w:hint="eastAsia" w:hAnsi="宋体" w:cs="宋体"/>
                <w:snapToGrid w:val="0"/>
                <w:color w:val="auto"/>
                <w:kern w:val="21"/>
                <w:szCs w:val="21"/>
                <w:lang w:val="en-US" w:eastAsia="zh-CN"/>
              </w:rPr>
              <w:t>/</w:t>
            </w:r>
          </w:p>
        </w:tc>
        <w:tc>
          <w:tcPr>
            <w:tcW w:w="615" w:type="pct"/>
            <w:noWrap w:val="0"/>
            <w:vAlign w:val="center"/>
          </w:tcPr>
          <w:p w14:paraId="0D859AF6">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hAnsi="宋体" w:eastAsia="宋体" w:cs="宋体"/>
                <w:snapToGrid w:val="0"/>
                <w:color w:val="auto"/>
                <w:kern w:val="21"/>
                <w:szCs w:val="21"/>
                <w:lang w:val="en-US" w:eastAsia="zh-CN"/>
              </w:rPr>
            </w:pPr>
            <w:r>
              <w:rPr>
                <w:rFonts w:hint="eastAsia" w:hAnsi="宋体" w:cs="宋体"/>
                <w:snapToGrid w:val="0"/>
                <w:color w:val="auto"/>
                <w:kern w:val="21"/>
                <w:szCs w:val="21"/>
                <w:lang w:val="en-US" w:eastAsia="zh-CN"/>
              </w:rPr>
              <w:t>/</w:t>
            </w:r>
          </w:p>
        </w:tc>
        <w:tc>
          <w:tcPr>
            <w:tcW w:w="687" w:type="pct"/>
            <w:noWrap w:val="0"/>
            <w:vAlign w:val="center"/>
          </w:tcPr>
          <w:p w14:paraId="479A8611">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hAnsi="宋体" w:eastAsia="宋体" w:cs="宋体"/>
                <w:snapToGrid w:val="0"/>
                <w:color w:val="auto"/>
                <w:kern w:val="21"/>
                <w:szCs w:val="21"/>
                <w:lang w:val="en-US" w:eastAsia="zh-CN"/>
              </w:rPr>
            </w:pPr>
            <w:r>
              <w:rPr>
                <w:rFonts w:hint="eastAsia" w:hAnsi="宋体" w:cs="宋体"/>
                <w:snapToGrid w:val="0"/>
                <w:color w:val="auto"/>
                <w:kern w:val="21"/>
                <w:szCs w:val="21"/>
                <w:lang w:val="en-US" w:eastAsia="zh-CN"/>
              </w:rPr>
              <w:t>2.145t/a</w:t>
            </w:r>
          </w:p>
        </w:tc>
        <w:tc>
          <w:tcPr>
            <w:tcW w:w="481" w:type="pct"/>
            <w:noWrap w:val="0"/>
            <w:vAlign w:val="center"/>
          </w:tcPr>
          <w:p w14:paraId="3913A083">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hAnsi="宋体" w:eastAsia="宋体" w:cs="宋体"/>
                <w:snapToGrid w:val="0"/>
                <w:color w:val="auto"/>
                <w:kern w:val="21"/>
                <w:szCs w:val="21"/>
                <w:lang w:val="en-US" w:eastAsia="zh-CN"/>
              </w:rPr>
            </w:pPr>
            <w:r>
              <w:rPr>
                <w:rFonts w:hint="eastAsia" w:hAnsi="宋体" w:cs="宋体"/>
                <w:snapToGrid w:val="0"/>
                <w:color w:val="auto"/>
                <w:kern w:val="21"/>
                <w:szCs w:val="21"/>
                <w:lang w:val="en-US" w:eastAsia="zh-CN"/>
              </w:rPr>
              <w:t>/</w:t>
            </w:r>
          </w:p>
        </w:tc>
      </w:tr>
      <w:tr w14:paraId="77E7C9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53" w:type="pct"/>
            <w:vMerge w:val="continue"/>
            <w:noWrap w:val="0"/>
            <w:vAlign w:val="center"/>
          </w:tcPr>
          <w:p w14:paraId="0ED56D7B">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Ansi="宋体" w:cs="宋体"/>
                <w:snapToGrid w:val="0"/>
                <w:color w:val="auto"/>
                <w:kern w:val="21"/>
                <w:szCs w:val="21"/>
              </w:rPr>
            </w:pPr>
          </w:p>
        </w:tc>
        <w:tc>
          <w:tcPr>
            <w:tcW w:w="490" w:type="pct"/>
            <w:noWrap w:val="0"/>
            <w:vAlign w:val="center"/>
          </w:tcPr>
          <w:p w14:paraId="3E5D46FA">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hAnsi="宋体" w:eastAsia="宋体" w:cs="宋体"/>
                <w:snapToGrid w:val="0"/>
                <w:color w:val="auto"/>
                <w:kern w:val="21"/>
                <w:szCs w:val="21"/>
                <w:lang w:val="en-US" w:eastAsia="zh-CN"/>
              </w:rPr>
            </w:pPr>
            <w:r>
              <w:rPr>
                <w:rFonts w:hint="eastAsia" w:hAnsi="宋体" w:cs="宋体"/>
                <w:snapToGrid w:val="0"/>
                <w:color w:val="auto"/>
                <w:kern w:val="21"/>
                <w:szCs w:val="21"/>
                <w:lang w:val="en-US" w:eastAsia="zh-CN"/>
              </w:rPr>
              <w:t>除尘器粉尘</w:t>
            </w:r>
          </w:p>
        </w:tc>
        <w:tc>
          <w:tcPr>
            <w:tcW w:w="593" w:type="pct"/>
            <w:noWrap w:val="0"/>
            <w:vAlign w:val="center"/>
          </w:tcPr>
          <w:p w14:paraId="783A1658">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hAnsi="宋体" w:eastAsia="宋体" w:cs="宋体"/>
                <w:snapToGrid w:val="0"/>
                <w:color w:val="auto"/>
                <w:kern w:val="21"/>
                <w:szCs w:val="21"/>
                <w:lang w:val="en-US" w:eastAsia="zh-CN"/>
              </w:rPr>
            </w:pPr>
            <w:r>
              <w:rPr>
                <w:rFonts w:hint="eastAsia" w:hAnsi="宋体" w:cs="宋体"/>
                <w:snapToGrid w:val="0"/>
                <w:color w:val="auto"/>
                <w:kern w:val="21"/>
                <w:szCs w:val="21"/>
                <w:lang w:val="en-US" w:eastAsia="zh-CN"/>
              </w:rPr>
              <w:t>179.7637t/a</w:t>
            </w:r>
          </w:p>
        </w:tc>
        <w:tc>
          <w:tcPr>
            <w:tcW w:w="439" w:type="pct"/>
            <w:noWrap w:val="0"/>
            <w:vAlign w:val="center"/>
          </w:tcPr>
          <w:p w14:paraId="50705DB2">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hAnsi="宋体" w:eastAsia="宋体" w:cs="宋体"/>
                <w:snapToGrid w:val="0"/>
                <w:color w:val="auto"/>
                <w:kern w:val="21"/>
                <w:szCs w:val="21"/>
                <w:lang w:val="en-US" w:eastAsia="zh-CN"/>
              </w:rPr>
            </w:pPr>
            <w:r>
              <w:rPr>
                <w:rFonts w:hint="eastAsia" w:hAnsi="宋体" w:cs="宋体"/>
                <w:snapToGrid w:val="0"/>
                <w:color w:val="auto"/>
                <w:kern w:val="21"/>
                <w:szCs w:val="21"/>
                <w:lang w:val="en-US" w:eastAsia="zh-CN"/>
              </w:rPr>
              <w:t>/</w:t>
            </w:r>
          </w:p>
        </w:tc>
        <w:tc>
          <w:tcPr>
            <w:tcW w:w="593" w:type="pct"/>
            <w:noWrap w:val="0"/>
            <w:vAlign w:val="center"/>
          </w:tcPr>
          <w:p w14:paraId="3AB0279C">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hAnsi="宋体" w:eastAsia="宋体" w:cs="宋体"/>
                <w:snapToGrid w:val="0"/>
                <w:color w:val="auto"/>
                <w:kern w:val="21"/>
                <w:szCs w:val="21"/>
                <w:lang w:val="en-US" w:eastAsia="zh-CN"/>
              </w:rPr>
            </w:pPr>
            <w:r>
              <w:rPr>
                <w:rFonts w:hint="eastAsia" w:hAnsi="宋体" w:cs="宋体"/>
                <w:snapToGrid w:val="0"/>
                <w:color w:val="auto"/>
                <w:kern w:val="21"/>
                <w:szCs w:val="21"/>
                <w:lang w:val="en-US" w:eastAsia="zh-CN"/>
              </w:rPr>
              <w:t>/</w:t>
            </w:r>
          </w:p>
        </w:tc>
        <w:tc>
          <w:tcPr>
            <w:tcW w:w="542" w:type="pct"/>
            <w:noWrap w:val="0"/>
            <w:vAlign w:val="center"/>
          </w:tcPr>
          <w:p w14:paraId="523F165C">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hAnsi="宋体" w:eastAsia="宋体" w:cs="宋体"/>
                <w:snapToGrid w:val="0"/>
                <w:color w:val="auto"/>
                <w:kern w:val="21"/>
                <w:szCs w:val="21"/>
                <w:lang w:val="en-US" w:eastAsia="zh-CN"/>
              </w:rPr>
            </w:pPr>
            <w:r>
              <w:rPr>
                <w:rFonts w:hint="eastAsia" w:hAnsi="宋体" w:cs="宋体"/>
                <w:snapToGrid w:val="0"/>
                <w:color w:val="auto"/>
                <w:kern w:val="21"/>
                <w:szCs w:val="21"/>
                <w:lang w:val="en-US" w:eastAsia="zh-CN"/>
              </w:rPr>
              <w:t>112.2901t/a</w:t>
            </w:r>
          </w:p>
        </w:tc>
        <w:tc>
          <w:tcPr>
            <w:tcW w:w="615" w:type="pct"/>
            <w:noWrap w:val="0"/>
            <w:vAlign w:val="center"/>
          </w:tcPr>
          <w:p w14:paraId="11029473">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hAnsi="宋体" w:eastAsia="宋体" w:cs="宋体"/>
                <w:snapToGrid w:val="0"/>
                <w:color w:val="auto"/>
                <w:kern w:val="21"/>
                <w:szCs w:val="21"/>
                <w:lang w:val="en-US" w:eastAsia="zh-CN"/>
              </w:rPr>
            </w:pPr>
            <w:r>
              <w:rPr>
                <w:rFonts w:hint="eastAsia" w:hAnsi="宋体" w:cs="宋体"/>
                <w:snapToGrid w:val="0"/>
                <w:color w:val="auto"/>
                <w:kern w:val="21"/>
                <w:szCs w:val="21"/>
                <w:lang w:val="en-US" w:eastAsia="zh-CN"/>
              </w:rPr>
              <w:t>/</w:t>
            </w:r>
          </w:p>
        </w:tc>
        <w:tc>
          <w:tcPr>
            <w:tcW w:w="687" w:type="pct"/>
            <w:noWrap w:val="0"/>
            <w:vAlign w:val="center"/>
          </w:tcPr>
          <w:p w14:paraId="2E8D0740">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hAnsi="宋体" w:eastAsia="宋体" w:cs="宋体"/>
                <w:snapToGrid w:val="0"/>
                <w:color w:val="auto"/>
                <w:kern w:val="21"/>
                <w:szCs w:val="21"/>
                <w:lang w:val="en-US" w:eastAsia="zh-CN"/>
              </w:rPr>
            </w:pPr>
            <w:r>
              <w:rPr>
                <w:rFonts w:hint="eastAsia" w:hAnsi="宋体" w:cs="宋体"/>
                <w:snapToGrid w:val="0"/>
                <w:color w:val="auto"/>
                <w:kern w:val="21"/>
                <w:szCs w:val="21"/>
                <w:lang w:val="en-US" w:eastAsia="zh-CN"/>
              </w:rPr>
              <w:t>292.0538t/a</w:t>
            </w:r>
          </w:p>
        </w:tc>
        <w:tc>
          <w:tcPr>
            <w:tcW w:w="481" w:type="pct"/>
            <w:noWrap w:val="0"/>
            <w:vAlign w:val="center"/>
          </w:tcPr>
          <w:p w14:paraId="58A8A8AD">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hAnsi="宋体" w:eastAsia="宋体" w:cs="宋体"/>
                <w:snapToGrid w:val="0"/>
                <w:color w:val="auto"/>
                <w:kern w:val="21"/>
                <w:szCs w:val="21"/>
                <w:lang w:val="en-US" w:eastAsia="zh-CN"/>
              </w:rPr>
            </w:pPr>
            <w:r>
              <w:rPr>
                <w:rFonts w:hint="eastAsia" w:hAnsi="宋体" w:cs="宋体"/>
                <w:snapToGrid w:val="0"/>
                <w:color w:val="auto"/>
                <w:kern w:val="21"/>
                <w:szCs w:val="21"/>
                <w:lang w:val="en-US" w:eastAsia="zh-CN"/>
              </w:rPr>
              <w:t>+112.2901t/a</w:t>
            </w:r>
          </w:p>
        </w:tc>
      </w:tr>
      <w:tr w14:paraId="632285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53" w:type="pct"/>
            <w:vMerge w:val="continue"/>
            <w:noWrap w:val="0"/>
            <w:vAlign w:val="center"/>
          </w:tcPr>
          <w:p w14:paraId="7F48145A">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Ansi="宋体" w:cs="宋体"/>
                <w:snapToGrid w:val="0"/>
                <w:color w:val="auto"/>
                <w:kern w:val="21"/>
                <w:szCs w:val="21"/>
              </w:rPr>
            </w:pPr>
          </w:p>
        </w:tc>
        <w:tc>
          <w:tcPr>
            <w:tcW w:w="490" w:type="pct"/>
            <w:noWrap w:val="0"/>
            <w:vAlign w:val="center"/>
          </w:tcPr>
          <w:p w14:paraId="5F299F97">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hAnsi="宋体" w:cs="宋体"/>
                <w:snapToGrid w:val="0"/>
                <w:color w:val="auto"/>
                <w:kern w:val="21"/>
                <w:szCs w:val="21"/>
                <w:lang w:val="en-US" w:eastAsia="zh-CN"/>
              </w:rPr>
            </w:pPr>
            <w:r>
              <w:rPr>
                <w:rFonts w:hint="eastAsia" w:hAnsi="宋体" w:cs="宋体"/>
                <w:snapToGrid w:val="0"/>
                <w:color w:val="auto"/>
                <w:kern w:val="21"/>
                <w:szCs w:val="21"/>
                <w:lang w:val="en-US" w:eastAsia="zh-CN"/>
              </w:rPr>
              <w:t>除尘器废布袋</w:t>
            </w:r>
          </w:p>
        </w:tc>
        <w:tc>
          <w:tcPr>
            <w:tcW w:w="593" w:type="pct"/>
            <w:noWrap w:val="0"/>
            <w:vAlign w:val="center"/>
          </w:tcPr>
          <w:p w14:paraId="7D041878">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hAnsi="宋体" w:eastAsia="宋体" w:cs="宋体"/>
                <w:snapToGrid w:val="0"/>
                <w:color w:val="auto"/>
                <w:kern w:val="21"/>
                <w:szCs w:val="21"/>
                <w:lang w:val="en-US" w:eastAsia="zh-CN"/>
              </w:rPr>
            </w:pPr>
            <w:r>
              <w:rPr>
                <w:rFonts w:hint="eastAsia" w:hAnsi="宋体" w:cs="宋体"/>
                <w:snapToGrid w:val="0"/>
                <w:color w:val="auto"/>
                <w:kern w:val="21"/>
                <w:szCs w:val="21"/>
                <w:lang w:val="en-US" w:eastAsia="zh-CN"/>
              </w:rPr>
              <w:t>0.3t/a</w:t>
            </w:r>
          </w:p>
        </w:tc>
        <w:tc>
          <w:tcPr>
            <w:tcW w:w="439" w:type="pct"/>
            <w:noWrap w:val="0"/>
            <w:vAlign w:val="center"/>
          </w:tcPr>
          <w:p w14:paraId="65C85342">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hAnsi="宋体" w:eastAsia="宋体" w:cs="宋体"/>
                <w:snapToGrid w:val="0"/>
                <w:color w:val="auto"/>
                <w:kern w:val="21"/>
                <w:szCs w:val="21"/>
                <w:lang w:val="en-US" w:eastAsia="zh-CN"/>
              </w:rPr>
            </w:pPr>
            <w:r>
              <w:rPr>
                <w:rFonts w:hint="eastAsia" w:hAnsi="宋体" w:cs="宋体"/>
                <w:snapToGrid w:val="0"/>
                <w:color w:val="auto"/>
                <w:kern w:val="21"/>
                <w:szCs w:val="21"/>
                <w:lang w:val="en-US" w:eastAsia="zh-CN"/>
              </w:rPr>
              <w:t>/</w:t>
            </w:r>
          </w:p>
        </w:tc>
        <w:tc>
          <w:tcPr>
            <w:tcW w:w="593" w:type="pct"/>
            <w:noWrap w:val="0"/>
            <w:vAlign w:val="center"/>
          </w:tcPr>
          <w:p w14:paraId="3A1F3C7A">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hAnsi="宋体" w:eastAsia="宋体" w:cs="宋体"/>
                <w:snapToGrid w:val="0"/>
                <w:color w:val="auto"/>
                <w:kern w:val="21"/>
                <w:szCs w:val="21"/>
                <w:lang w:val="en-US" w:eastAsia="zh-CN"/>
              </w:rPr>
            </w:pPr>
            <w:r>
              <w:rPr>
                <w:rFonts w:hint="eastAsia" w:hAnsi="宋体" w:cs="宋体"/>
                <w:snapToGrid w:val="0"/>
                <w:color w:val="auto"/>
                <w:kern w:val="21"/>
                <w:szCs w:val="21"/>
                <w:lang w:val="en-US" w:eastAsia="zh-CN"/>
              </w:rPr>
              <w:t>/</w:t>
            </w:r>
          </w:p>
        </w:tc>
        <w:tc>
          <w:tcPr>
            <w:tcW w:w="542" w:type="pct"/>
            <w:noWrap w:val="0"/>
            <w:vAlign w:val="center"/>
          </w:tcPr>
          <w:p w14:paraId="2AD2D1C5">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hAnsi="宋体" w:eastAsia="宋体" w:cs="宋体"/>
                <w:snapToGrid w:val="0"/>
                <w:color w:val="auto"/>
                <w:kern w:val="21"/>
                <w:szCs w:val="21"/>
                <w:lang w:val="en-US" w:eastAsia="zh-CN"/>
              </w:rPr>
            </w:pPr>
            <w:r>
              <w:rPr>
                <w:rFonts w:hint="eastAsia" w:hAnsi="宋体" w:cs="宋体"/>
                <w:snapToGrid w:val="0"/>
                <w:color w:val="auto"/>
                <w:kern w:val="21"/>
                <w:szCs w:val="21"/>
                <w:lang w:val="en-US" w:eastAsia="zh-CN"/>
              </w:rPr>
              <w:t>0.6t/a</w:t>
            </w:r>
          </w:p>
        </w:tc>
        <w:tc>
          <w:tcPr>
            <w:tcW w:w="615" w:type="pct"/>
            <w:noWrap w:val="0"/>
            <w:vAlign w:val="center"/>
          </w:tcPr>
          <w:p w14:paraId="123D1798">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hAnsi="宋体" w:eastAsia="宋体" w:cs="宋体"/>
                <w:snapToGrid w:val="0"/>
                <w:color w:val="auto"/>
                <w:kern w:val="21"/>
                <w:szCs w:val="21"/>
                <w:lang w:val="en-US" w:eastAsia="zh-CN"/>
              </w:rPr>
            </w:pPr>
            <w:r>
              <w:rPr>
                <w:rFonts w:hint="eastAsia" w:hAnsi="宋体" w:cs="宋体"/>
                <w:snapToGrid w:val="0"/>
                <w:color w:val="auto"/>
                <w:kern w:val="21"/>
                <w:szCs w:val="21"/>
                <w:lang w:val="en-US" w:eastAsia="zh-CN"/>
              </w:rPr>
              <w:t>/</w:t>
            </w:r>
          </w:p>
        </w:tc>
        <w:tc>
          <w:tcPr>
            <w:tcW w:w="687" w:type="pct"/>
            <w:noWrap w:val="0"/>
            <w:vAlign w:val="center"/>
          </w:tcPr>
          <w:p w14:paraId="0EFDEF8A">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hAnsi="宋体" w:eastAsia="宋体" w:cs="宋体"/>
                <w:snapToGrid w:val="0"/>
                <w:color w:val="auto"/>
                <w:kern w:val="21"/>
                <w:szCs w:val="21"/>
                <w:lang w:val="en-US" w:eastAsia="zh-CN"/>
              </w:rPr>
            </w:pPr>
            <w:r>
              <w:rPr>
                <w:rFonts w:hint="eastAsia" w:hAnsi="宋体" w:cs="宋体"/>
                <w:snapToGrid w:val="0"/>
                <w:color w:val="auto"/>
                <w:kern w:val="21"/>
                <w:szCs w:val="21"/>
                <w:lang w:val="en-US" w:eastAsia="zh-CN"/>
              </w:rPr>
              <w:t>0.9t/a</w:t>
            </w:r>
          </w:p>
        </w:tc>
        <w:tc>
          <w:tcPr>
            <w:tcW w:w="481" w:type="pct"/>
            <w:noWrap w:val="0"/>
            <w:vAlign w:val="center"/>
          </w:tcPr>
          <w:p w14:paraId="0EC93E76">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hAnsi="宋体" w:eastAsia="宋体" w:cs="宋体"/>
                <w:snapToGrid w:val="0"/>
                <w:color w:val="auto"/>
                <w:kern w:val="21"/>
                <w:szCs w:val="21"/>
                <w:lang w:val="en-US" w:eastAsia="zh-CN"/>
              </w:rPr>
            </w:pPr>
            <w:r>
              <w:rPr>
                <w:rFonts w:hint="eastAsia" w:hAnsi="宋体" w:cs="宋体"/>
                <w:snapToGrid w:val="0"/>
                <w:color w:val="auto"/>
                <w:kern w:val="21"/>
                <w:szCs w:val="21"/>
                <w:lang w:val="en-US" w:eastAsia="zh-CN"/>
              </w:rPr>
              <w:t>+0.6t/a</w:t>
            </w:r>
          </w:p>
        </w:tc>
      </w:tr>
      <w:tr w14:paraId="34B805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53" w:type="pct"/>
            <w:vMerge w:val="continue"/>
            <w:noWrap w:val="0"/>
            <w:vAlign w:val="center"/>
          </w:tcPr>
          <w:p w14:paraId="1D75DE80">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Ansi="宋体" w:cs="宋体"/>
                <w:snapToGrid w:val="0"/>
                <w:color w:val="auto"/>
                <w:kern w:val="21"/>
                <w:szCs w:val="21"/>
              </w:rPr>
            </w:pPr>
          </w:p>
        </w:tc>
        <w:tc>
          <w:tcPr>
            <w:tcW w:w="490" w:type="pct"/>
            <w:noWrap w:val="0"/>
            <w:vAlign w:val="center"/>
          </w:tcPr>
          <w:p w14:paraId="14A0AF89">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hAnsi="宋体" w:cs="宋体"/>
                <w:snapToGrid w:val="0"/>
                <w:color w:val="auto"/>
                <w:kern w:val="21"/>
                <w:szCs w:val="21"/>
                <w:lang w:val="en-US" w:eastAsia="zh-CN"/>
              </w:rPr>
            </w:pPr>
            <w:r>
              <w:rPr>
                <w:rFonts w:hint="eastAsia" w:hAnsi="宋体" w:cs="宋体"/>
                <w:snapToGrid w:val="0"/>
                <w:color w:val="auto"/>
                <w:kern w:val="21"/>
                <w:szCs w:val="21"/>
                <w:lang w:val="en-US" w:eastAsia="zh-CN"/>
              </w:rPr>
              <w:t>钢筋、木块、废塑料等</w:t>
            </w:r>
          </w:p>
        </w:tc>
        <w:tc>
          <w:tcPr>
            <w:tcW w:w="593" w:type="pct"/>
            <w:noWrap w:val="0"/>
            <w:vAlign w:val="center"/>
          </w:tcPr>
          <w:p w14:paraId="01D67040">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hAnsi="宋体" w:cs="宋体"/>
                <w:snapToGrid w:val="0"/>
                <w:color w:val="auto"/>
                <w:kern w:val="21"/>
                <w:szCs w:val="21"/>
                <w:lang w:val="en-US" w:eastAsia="zh-CN"/>
              </w:rPr>
            </w:pPr>
            <w:r>
              <w:rPr>
                <w:rFonts w:hint="eastAsia" w:hAnsi="宋体" w:cs="宋体"/>
                <w:snapToGrid w:val="0"/>
                <w:color w:val="auto"/>
                <w:kern w:val="21"/>
                <w:szCs w:val="21"/>
                <w:lang w:val="en-US" w:eastAsia="zh-CN"/>
              </w:rPr>
              <w:t>2400t/a</w:t>
            </w:r>
          </w:p>
        </w:tc>
        <w:tc>
          <w:tcPr>
            <w:tcW w:w="439" w:type="pct"/>
            <w:noWrap w:val="0"/>
            <w:vAlign w:val="center"/>
          </w:tcPr>
          <w:p w14:paraId="26D252F3">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hAnsi="宋体" w:cs="宋体"/>
                <w:snapToGrid w:val="0"/>
                <w:color w:val="auto"/>
                <w:kern w:val="21"/>
                <w:szCs w:val="21"/>
                <w:lang w:val="en-US" w:eastAsia="zh-CN"/>
              </w:rPr>
            </w:pPr>
            <w:r>
              <w:rPr>
                <w:rFonts w:hint="eastAsia" w:hAnsi="宋体" w:cs="宋体"/>
                <w:snapToGrid w:val="0"/>
                <w:color w:val="auto"/>
                <w:kern w:val="21"/>
                <w:szCs w:val="21"/>
                <w:lang w:val="en-US" w:eastAsia="zh-CN"/>
              </w:rPr>
              <w:t>/</w:t>
            </w:r>
          </w:p>
        </w:tc>
        <w:tc>
          <w:tcPr>
            <w:tcW w:w="593" w:type="pct"/>
            <w:noWrap w:val="0"/>
            <w:vAlign w:val="center"/>
          </w:tcPr>
          <w:p w14:paraId="16273F6E">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hAnsi="宋体" w:cs="宋体"/>
                <w:snapToGrid w:val="0"/>
                <w:color w:val="auto"/>
                <w:kern w:val="21"/>
                <w:szCs w:val="21"/>
                <w:lang w:val="en-US" w:eastAsia="zh-CN"/>
              </w:rPr>
            </w:pPr>
            <w:r>
              <w:rPr>
                <w:rFonts w:hint="eastAsia" w:hAnsi="宋体" w:cs="宋体"/>
                <w:snapToGrid w:val="0"/>
                <w:color w:val="auto"/>
                <w:kern w:val="21"/>
                <w:szCs w:val="21"/>
                <w:lang w:val="en-US" w:eastAsia="zh-CN"/>
              </w:rPr>
              <w:t>/</w:t>
            </w:r>
          </w:p>
        </w:tc>
        <w:tc>
          <w:tcPr>
            <w:tcW w:w="542" w:type="pct"/>
            <w:noWrap w:val="0"/>
            <w:vAlign w:val="center"/>
          </w:tcPr>
          <w:p w14:paraId="79BC531F">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hAnsi="宋体" w:cs="宋体"/>
                <w:snapToGrid w:val="0"/>
                <w:color w:val="auto"/>
                <w:kern w:val="21"/>
                <w:szCs w:val="21"/>
                <w:lang w:val="en-US" w:eastAsia="zh-CN"/>
              </w:rPr>
            </w:pPr>
            <w:r>
              <w:rPr>
                <w:rFonts w:hint="eastAsia" w:hAnsi="宋体" w:cs="宋体"/>
                <w:snapToGrid w:val="0"/>
                <w:color w:val="auto"/>
                <w:kern w:val="21"/>
                <w:szCs w:val="21"/>
                <w:lang w:val="en-US" w:eastAsia="zh-CN"/>
              </w:rPr>
              <w:t>/</w:t>
            </w:r>
          </w:p>
        </w:tc>
        <w:tc>
          <w:tcPr>
            <w:tcW w:w="615" w:type="pct"/>
            <w:noWrap w:val="0"/>
            <w:vAlign w:val="center"/>
          </w:tcPr>
          <w:p w14:paraId="28BEEEA7">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hAnsi="宋体" w:cs="宋体"/>
                <w:snapToGrid w:val="0"/>
                <w:color w:val="auto"/>
                <w:kern w:val="21"/>
                <w:szCs w:val="21"/>
                <w:lang w:val="en-US" w:eastAsia="zh-CN"/>
              </w:rPr>
            </w:pPr>
            <w:r>
              <w:rPr>
                <w:rFonts w:hint="eastAsia" w:hAnsi="宋体" w:cs="宋体"/>
                <w:snapToGrid w:val="0"/>
                <w:color w:val="auto"/>
                <w:kern w:val="21"/>
                <w:szCs w:val="21"/>
                <w:lang w:val="en-US" w:eastAsia="zh-CN"/>
              </w:rPr>
              <w:t>/</w:t>
            </w:r>
          </w:p>
        </w:tc>
        <w:tc>
          <w:tcPr>
            <w:tcW w:w="687" w:type="pct"/>
            <w:noWrap w:val="0"/>
            <w:vAlign w:val="center"/>
          </w:tcPr>
          <w:p w14:paraId="13B6A785">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hAnsi="宋体" w:cs="宋体"/>
                <w:snapToGrid w:val="0"/>
                <w:color w:val="auto"/>
                <w:kern w:val="21"/>
                <w:szCs w:val="21"/>
                <w:lang w:val="en-US" w:eastAsia="zh-CN"/>
              </w:rPr>
            </w:pPr>
            <w:r>
              <w:rPr>
                <w:rFonts w:hint="eastAsia" w:hAnsi="宋体" w:cs="宋体"/>
                <w:snapToGrid w:val="0"/>
                <w:color w:val="auto"/>
                <w:kern w:val="21"/>
                <w:szCs w:val="21"/>
                <w:lang w:val="en-US" w:eastAsia="zh-CN"/>
              </w:rPr>
              <w:t>2400t/a</w:t>
            </w:r>
          </w:p>
        </w:tc>
        <w:tc>
          <w:tcPr>
            <w:tcW w:w="481" w:type="pct"/>
            <w:noWrap w:val="0"/>
            <w:vAlign w:val="center"/>
          </w:tcPr>
          <w:p w14:paraId="354436DC">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hAnsi="宋体" w:cs="宋体"/>
                <w:snapToGrid w:val="0"/>
                <w:color w:val="auto"/>
                <w:kern w:val="21"/>
                <w:szCs w:val="21"/>
                <w:lang w:val="en-US" w:eastAsia="zh-CN"/>
              </w:rPr>
            </w:pPr>
            <w:r>
              <w:rPr>
                <w:rFonts w:hint="eastAsia" w:hAnsi="宋体" w:cs="宋体"/>
                <w:snapToGrid w:val="0"/>
                <w:color w:val="auto"/>
                <w:kern w:val="21"/>
                <w:szCs w:val="21"/>
                <w:lang w:val="en-US" w:eastAsia="zh-CN"/>
              </w:rPr>
              <w:t>/</w:t>
            </w:r>
          </w:p>
        </w:tc>
      </w:tr>
      <w:tr w14:paraId="319669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53" w:type="pct"/>
            <w:vMerge w:val="continue"/>
            <w:noWrap w:val="0"/>
            <w:vAlign w:val="center"/>
          </w:tcPr>
          <w:p w14:paraId="6E1D0117">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Ansi="宋体" w:cs="宋体"/>
                <w:snapToGrid w:val="0"/>
                <w:color w:val="auto"/>
                <w:kern w:val="21"/>
                <w:szCs w:val="21"/>
              </w:rPr>
            </w:pPr>
          </w:p>
        </w:tc>
        <w:tc>
          <w:tcPr>
            <w:tcW w:w="490" w:type="pct"/>
            <w:noWrap w:val="0"/>
            <w:vAlign w:val="center"/>
          </w:tcPr>
          <w:p w14:paraId="35920747">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hAnsi="宋体" w:cs="宋体"/>
                <w:snapToGrid w:val="0"/>
                <w:color w:val="auto"/>
                <w:kern w:val="21"/>
                <w:szCs w:val="21"/>
                <w:lang w:val="en-US" w:eastAsia="zh-CN"/>
              </w:rPr>
            </w:pPr>
            <w:r>
              <w:rPr>
                <w:rFonts w:hint="eastAsia" w:hAnsi="宋体" w:cs="宋体"/>
                <w:snapToGrid w:val="0"/>
                <w:color w:val="auto"/>
                <w:kern w:val="21"/>
                <w:szCs w:val="21"/>
                <w:lang w:val="en-US" w:eastAsia="zh-CN"/>
              </w:rPr>
              <w:t>成型养护固废</w:t>
            </w:r>
          </w:p>
        </w:tc>
        <w:tc>
          <w:tcPr>
            <w:tcW w:w="593" w:type="pct"/>
            <w:noWrap w:val="0"/>
            <w:vAlign w:val="center"/>
          </w:tcPr>
          <w:p w14:paraId="3CFD3B54">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hAnsi="宋体" w:cs="宋体"/>
                <w:snapToGrid w:val="0"/>
                <w:color w:val="auto"/>
                <w:kern w:val="21"/>
                <w:szCs w:val="21"/>
                <w:lang w:val="en-US" w:eastAsia="zh-CN"/>
              </w:rPr>
            </w:pPr>
            <w:r>
              <w:rPr>
                <w:rFonts w:hint="eastAsia" w:hAnsi="宋体" w:cs="宋体"/>
                <w:snapToGrid w:val="0"/>
                <w:color w:val="auto"/>
                <w:kern w:val="21"/>
                <w:szCs w:val="21"/>
                <w:lang w:val="en-US" w:eastAsia="zh-CN"/>
              </w:rPr>
              <w:t>/</w:t>
            </w:r>
          </w:p>
        </w:tc>
        <w:tc>
          <w:tcPr>
            <w:tcW w:w="439" w:type="pct"/>
            <w:noWrap w:val="0"/>
            <w:vAlign w:val="center"/>
          </w:tcPr>
          <w:p w14:paraId="60371C19">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hAnsi="宋体" w:cs="宋体"/>
                <w:snapToGrid w:val="0"/>
                <w:color w:val="auto"/>
                <w:kern w:val="21"/>
                <w:szCs w:val="21"/>
                <w:lang w:val="en-US" w:eastAsia="zh-CN"/>
              </w:rPr>
            </w:pPr>
            <w:r>
              <w:rPr>
                <w:rFonts w:hint="eastAsia" w:hAnsi="宋体" w:cs="宋体"/>
                <w:snapToGrid w:val="0"/>
                <w:color w:val="auto"/>
                <w:kern w:val="21"/>
                <w:szCs w:val="21"/>
                <w:lang w:val="en-US" w:eastAsia="zh-CN"/>
              </w:rPr>
              <w:t>/</w:t>
            </w:r>
          </w:p>
        </w:tc>
        <w:tc>
          <w:tcPr>
            <w:tcW w:w="593" w:type="pct"/>
            <w:noWrap w:val="0"/>
            <w:vAlign w:val="center"/>
          </w:tcPr>
          <w:p w14:paraId="08262ABC">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hAnsi="宋体" w:cs="宋体"/>
                <w:snapToGrid w:val="0"/>
                <w:color w:val="auto"/>
                <w:kern w:val="21"/>
                <w:szCs w:val="21"/>
                <w:lang w:val="en-US" w:eastAsia="zh-CN"/>
              </w:rPr>
            </w:pPr>
            <w:r>
              <w:rPr>
                <w:rFonts w:hint="eastAsia" w:hAnsi="宋体" w:cs="宋体"/>
                <w:snapToGrid w:val="0"/>
                <w:color w:val="auto"/>
                <w:kern w:val="21"/>
                <w:szCs w:val="21"/>
                <w:lang w:val="en-US" w:eastAsia="zh-CN"/>
              </w:rPr>
              <w:t>/</w:t>
            </w:r>
          </w:p>
        </w:tc>
        <w:tc>
          <w:tcPr>
            <w:tcW w:w="542" w:type="pct"/>
            <w:noWrap w:val="0"/>
            <w:vAlign w:val="center"/>
          </w:tcPr>
          <w:p w14:paraId="64EC6697">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hAnsi="宋体" w:cs="宋体"/>
                <w:snapToGrid w:val="0"/>
                <w:color w:val="auto"/>
                <w:kern w:val="21"/>
                <w:szCs w:val="21"/>
                <w:lang w:val="en-US" w:eastAsia="zh-CN"/>
              </w:rPr>
            </w:pPr>
            <w:r>
              <w:rPr>
                <w:rFonts w:hint="eastAsia" w:hAnsi="宋体" w:cs="宋体"/>
                <w:snapToGrid w:val="0"/>
                <w:color w:val="auto"/>
                <w:kern w:val="21"/>
                <w:szCs w:val="21"/>
                <w:lang w:val="en-US" w:eastAsia="zh-CN"/>
              </w:rPr>
              <w:t>16.5375t/a</w:t>
            </w:r>
          </w:p>
        </w:tc>
        <w:tc>
          <w:tcPr>
            <w:tcW w:w="615" w:type="pct"/>
            <w:noWrap w:val="0"/>
            <w:vAlign w:val="center"/>
          </w:tcPr>
          <w:p w14:paraId="3FD9648A">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hAnsi="宋体" w:cs="宋体"/>
                <w:snapToGrid w:val="0"/>
                <w:color w:val="auto"/>
                <w:kern w:val="21"/>
                <w:szCs w:val="21"/>
                <w:lang w:val="en-US" w:eastAsia="zh-CN"/>
              </w:rPr>
            </w:pPr>
            <w:r>
              <w:rPr>
                <w:rFonts w:hint="eastAsia" w:hAnsi="宋体" w:cs="宋体"/>
                <w:snapToGrid w:val="0"/>
                <w:color w:val="auto"/>
                <w:kern w:val="21"/>
                <w:szCs w:val="21"/>
                <w:lang w:val="en-US" w:eastAsia="zh-CN"/>
              </w:rPr>
              <w:t>/</w:t>
            </w:r>
          </w:p>
        </w:tc>
        <w:tc>
          <w:tcPr>
            <w:tcW w:w="687" w:type="pct"/>
            <w:noWrap w:val="0"/>
            <w:vAlign w:val="center"/>
          </w:tcPr>
          <w:p w14:paraId="59F59ABD">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hAnsi="宋体" w:cs="宋体"/>
                <w:snapToGrid w:val="0"/>
                <w:color w:val="auto"/>
                <w:kern w:val="21"/>
                <w:szCs w:val="21"/>
                <w:lang w:val="en-US" w:eastAsia="zh-CN"/>
              </w:rPr>
            </w:pPr>
            <w:r>
              <w:rPr>
                <w:rFonts w:hint="eastAsia" w:hAnsi="宋体" w:cs="宋体"/>
                <w:snapToGrid w:val="0"/>
                <w:color w:val="auto"/>
                <w:kern w:val="21"/>
                <w:szCs w:val="21"/>
                <w:lang w:val="en-US" w:eastAsia="zh-CN"/>
              </w:rPr>
              <w:t>16.5375t/a</w:t>
            </w:r>
          </w:p>
        </w:tc>
        <w:tc>
          <w:tcPr>
            <w:tcW w:w="481" w:type="pct"/>
            <w:noWrap w:val="0"/>
            <w:vAlign w:val="center"/>
          </w:tcPr>
          <w:p w14:paraId="74C40CFA">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hAnsi="宋体" w:cs="宋体"/>
                <w:snapToGrid w:val="0"/>
                <w:color w:val="auto"/>
                <w:kern w:val="21"/>
                <w:szCs w:val="21"/>
                <w:lang w:val="en-US" w:eastAsia="zh-CN"/>
              </w:rPr>
            </w:pPr>
            <w:r>
              <w:rPr>
                <w:rFonts w:hint="eastAsia" w:hAnsi="宋体" w:cs="宋体"/>
                <w:snapToGrid w:val="0"/>
                <w:color w:val="auto"/>
                <w:kern w:val="21"/>
                <w:szCs w:val="21"/>
                <w:lang w:val="en-US" w:eastAsia="zh-CN"/>
              </w:rPr>
              <w:t>+16.5375t/a</w:t>
            </w:r>
          </w:p>
        </w:tc>
      </w:tr>
      <w:tr w14:paraId="56A3F6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53" w:type="pct"/>
            <w:vMerge w:val="restart"/>
            <w:noWrap w:val="0"/>
            <w:vAlign w:val="center"/>
          </w:tcPr>
          <w:p w14:paraId="5149ADAD">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hAnsi="宋体" w:cs="宋体"/>
                <w:snapToGrid w:val="0"/>
                <w:color w:val="auto"/>
                <w:kern w:val="21"/>
                <w:szCs w:val="21"/>
              </w:rPr>
            </w:pPr>
            <w:r>
              <w:rPr>
                <w:rFonts w:hint="eastAsia" w:hAnsi="宋体" w:cs="宋体"/>
                <w:snapToGrid w:val="0"/>
                <w:color w:val="auto"/>
                <w:kern w:val="21"/>
                <w:szCs w:val="21"/>
              </w:rPr>
              <w:t>危险废物</w:t>
            </w:r>
          </w:p>
        </w:tc>
        <w:tc>
          <w:tcPr>
            <w:tcW w:w="490" w:type="pct"/>
            <w:noWrap w:val="0"/>
            <w:vAlign w:val="center"/>
          </w:tcPr>
          <w:p w14:paraId="36FCEC09">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hAnsi="宋体" w:eastAsia="宋体" w:cs="宋体"/>
                <w:snapToGrid w:val="0"/>
                <w:color w:val="auto"/>
                <w:kern w:val="21"/>
                <w:szCs w:val="21"/>
                <w:lang w:val="en-US" w:eastAsia="zh-CN"/>
              </w:rPr>
            </w:pPr>
            <w:r>
              <w:rPr>
                <w:rFonts w:hint="eastAsia" w:hAnsi="宋体" w:cs="宋体"/>
                <w:snapToGrid w:val="0"/>
                <w:color w:val="auto"/>
                <w:kern w:val="21"/>
                <w:szCs w:val="21"/>
                <w:lang w:val="en-US" w:eastAsia="zh-CN"/>
              </w:rPr>
              <w:t>隔油渣</w:t>
            </w:r>
          </w:p>
        </w:tc>
        <w:tc>
          <w:tcPr>
            <w:tcW w:w="593" w:type="pct"/>
            <w:noWrap w:val="0"/>
            <w:vAlign w:val="center"/>
          </w:tcPr>
          <w:p w14:paraId="4D25C4CF">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hAnsi="宋体" w:eastAsia="宋体" w:cs="宋体"/>
                <w:snapToGrid w:val="0"/>
                <w:color w:val="auto"/>
                <w:kern w:val="21"/>
                <w:szCs w:val="21"/>
                <w:lang w:val="en-US" w:eastAsia="zh-CN"/>
              </w:rPr>
            </w:pPr>
            <w:r>
              <w:rPr>
                <w:rFonts w:hint="eastAsia" w:hAnsi="宋体" w:cs="宋体"/>
                <w:snapToGrid w:val="0"/>
                <w:color w:val="auto"/>
                <w:kern w:val="21"/>
                <w:szCs w:val="21"/>
                <w:lang w:val="en-US" w:eastAsia="zh-CN"/>
              </w:rPr>
              <w:t>0.2t/a</w:t>
            </w:r>
          </w:p>
        </w:tc>
        <w:tc>
          <w:tcPr>
            <w:tcW w:w="439" w:type="pct"/>
            <w:noWrap w:val="0"/>
            <w:vAlign w:val="center"/>
          </w:tcPr>
          <w:p w14:paraId="6D29A9DB">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hAnsi="宋体" w:eastAsia="宋体" w:cs="宋体"/>
                <w:snapToGrid w:val="0"/>
                <w:color w:val="auto"/>
                <w:kern w:val="21"/>
                <w:szCs w:val="21"/>
                <w:lang w:val="en-US" w:eastAsia="zh-CN"/>
              </w:rPr>
            </w:pPr>
            <w:r>
              <w:rPr>
                <w:rFonts w:hint="eastAsia" w:hAnsi="宋体" w:cs="宋体"/>
                <w:snapToGrid w:val="0"/>
                <w:color w:val="auto"/>
                <w:kern w:val="21"/>
                <w:szCs w:val="21"/>
                <w:lang w:val="en-US" w:eastAsia="zh-CN"/>
              </w:rPr>
              <w:t>/</w:t>
            </w:r>
          </w:p>
        </w:tc>
        <w:tc>
          <w:tcPr>
            <w:tcW w:w="593" w:type="pct"/>
            <w:noWrap w:val="0"/>
            <w:vAlign w:val="center"/>
          </w:tcPr>
          <w:p w14:paraId="29C6B3E8">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hAnsi="宋体" w:eastAsia="宋体" w:cs="宋体"/>
                <w:snapToGrid w:val="0"/>
                <w:color w:val="auto"/>
                <w:kern w:val="21"/>
                <w:szCs w:val="21"/>
                <w:lang w:val="en-US" w:eastAsia="zh-CN"/>
              </w:rPr>
            </w:pPr>
            <w:r>
              <w:rPr>
                <w:rFonts w:hint="eastAsia" w:hAnsi="宋体" w:cs="宋体"/>
                <w:snapToGrid w:val="0"/>
                <w:color w:val="auto"/>
                <w:kern w:val="21"/>
                <w:szCs w:val="21"/>
                <w:lang w:val="en-US" w:eastAsia="zh-CN"/>
              </w:rPr>
              <w:t>/</w:t>
            </w:r>
          </w:p>
        </w:tc>
        <w:tc>
          <w:tcPr>
            <w:tcW w:w="542" w:type="pct"/>
            <w:noWrap w:val="0"/>
            <w:vAlign w:val="center"/>
          </w:tcPr>
          <w:p w14:paraId="4CC6A080">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hAnsi="宋体" w:eastAsia="宋体" w:cs="宋体"/>
                <w:snapToGrid w:val="0"/>
                <w:color w:val="auto"/>
                <w:kern w:val="21"/>
                <w:szCs w:val="21"/>
                <w:lang w:val="en-US" w:eastAsia="zh-CN"/>
              </w:rPr>
            </w:pPr>
            <w:r>
              <w:rPr>
                <w:rFonts w:hint="eastAsia" w:hAnsi="宋体" w:cs="宋体"/>
                <w:snapToGrid w:val="0"/>
                <w:color w:val="auto"/>
                <w:kern w:val="21"/>
                <w:szCs w:val="21"/>
                <w:lang w:val="en-US" w:eastAsia="zh-CN"/>
              </w:rPr>
              <w:t>/</w:t>
            </w:r>
          </w:p>
        </w:tc>
        <w:tc>
          <w:tcPr>
            <w:tcW w:w="615" w:type="pct"/>
            <w:noWrap w:val="0"/>
            <w:vAlign w:val="center"/>
          </w:tcPr>
          <w:p w14:paraId="122998D0">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hAnsi="宋体" w:eastAsia="宋体" w:cs="宋体"/>
                <w:snapToGrid w:val="0"/>
                <w:color w:val="auto"/>
                <w:kern w:val="21"/>
                <w:szCs w:val="21"/>
                <w:lang w:val="en-US" w:eastAsia="zh-CN"/>
              </w:rPr>
            </w:pPr>
            <w:r>
              <w:rPr>
                <w:rFonts w:hint="eastAsia" w:hAnsi="宋体" w:cs="宋体"/>
                <w:snapToGrid w:val="0"/>
                <w:color w:val="auto"/>
                <w:kern w:val="21"/>
                <w:szCs w:val="21"/>
                <w:lang w:val="en-US" w:eastAsia="zh-CN"/>
              </w:rPr>
              <w:t>/</w:t>
            </w:r>
          </w:p>
        </w:tc>
        <w:tc>
          <w:tcPr>
            <w:tcW w:w="687" w:type="pct"/>
            <w:noWrap w:val="0"/>
            <w:vAlign w:val="center"/>
          </w:tcPr>
          <w:p w14:paraId="7D06AF91">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hAnsi="宋体" w:eastAsia="宋体" w:cs="宋体"/>
                <w:snapToGrid w:val="0"/>
                <w:color w:val="auto"/>
                <w:kern w:val="21"/>
                <w:szCs w:val="21"/>
                <w:lang w:val="en-US" w:eastAsia="zh-CN"/>
              </w:rPr>
            </w:pPr>
            <w:r>
              <w:rPr>
                <w:rFonts w:hint="eastAsia" w:hAnsi="宋体" w:cs="宋体"/>
                <w:snapToGrid w:val="0"/>
                <w:color w:val="auto"/>
                <w:kern w:val="21"/>
                <w:szCs w:val="21"/>
                <w:lang w:val="en-US" w:eastAsia="zh-CN"/>
              </w:rPr>
              <w:t>0.2t/a</w:t>
            </w:r>
          </w:p>
        </w:tc>
        <w:tc>
          <w:tcPr>
            <w:tcW w:w="481" w:type="pct"/>
            <w:noWrap w:val="0"/>
            <w:vAlign w:val="center"/>
          </w:tcPr>
          <w:p w14:paraId="6DB5EF2B">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hAnsi="宋体" w:eastAsia="宋体" w:cs="宋体"/>
                <w:snapToGrid w:val="0"/>
                <w:color w:val="auto"/>
                <w:kern w:val="21"/>
                <w:szCs w:val="21"/>
                <w:lang w:val="en-US" w:eastAsia="zh-CN"/>
              </w:rPr>
            </w:pPr>
            <w:r>
              <w:rPr>
                <w:rFonts w:hint="eastAsia" w:hAnsi="宋体" w:cs="宋体"/>
                <w:snapToGrid w:val="0"/>
                <w:color w:val="auto"/>
                <w:kern w:val="21"/>
                <w:szCs w:val="21"/>
                <w:lang w:val="en-US" w:eastAsia="zh-CN"/>
              </w:rPr>
              <w:t>/</w:t>
            </w:r>
          </w:p>
        </w:tc>
      </w:tr>
      <w:tr w14:paraId="2DBF07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53" w:type="pct"/>
            <w:vMerge w:val="continue"/>
            <w:noWrap w:val="0"/>
            <w:vAlign w:val="center"/>
          </w:tcPr>
          <w:p w14:paraId="393B7868">
            <w:pPr>
              <w:pStyle w:val="17"/>
              <w:spacing w:beforeLines="0" w:afterLines="0" w:line="240" w:lineRule="auto"/>
              <w:rPr>
                <w:rFonts w:hAnsi="宋体" w:cs="宋体"/>
                <w:snapToGrid w:val="0"/>
                <w:color w:val="auto"/>
                <w:kern w:val="21"/>
                <w:szCs w:val="21"/>
              </w:rPr>
            </w:pPr>
          </w:p>
        </w:tc>
        <w:tc>
          <w:tcPr>
            <w:tcW w:w="490" w:type="pct"/>
            <w:noWrap w:val="0"/>
            <w:vAlign w:val="center"/>
          </w:tcPr>
          <w:p w14:paraId="23EB15C3">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hAnsi="宋体" w:eastAsia="宋体" w:cs="宋体"/>
                <w:snapToGrid w:val="0"/>
                <w:color w:val="auto"/>
                <w:kern w:val="21"/>
                <w:szCs w:val="21"/>
                <w:lang w:val="en-US" w:eastAsia="zh-CN"/>
              </w:rPr>
            </w:pPr>
            <w:r>
              <w:rPr>
                <w:rFonts w:hint="eastAsia" w:hAnsi="宋体" w:cs="宋体"/>
                <w:snapToGrid w:val="0"/>
                <w:color w:val="auto"/>
                <w:kern w:val="21"/>
                <w:szCs w:val="21"/>
                <w:lang w:val="en-US" w:eastAsia="zh-CN"/>
              </w:rPr>
              <w:t>废机油及油桶</w:t>
            </w:r>
          </w:p>
        </w:tc>
        <w:tc>
          <w:tcPr>
            <w:tcW w:w="593" w:type="pct"/>
            <w:noWrap w:val="0"/>
            <w:vAlign w:val="center"/>
          </w:tcPr>
          <w:p w14:paraId="4F06D493">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hAnsi="宋体" w:eastAsia="宋体" w:cs="宋体"/>
                <w:snapToGrid w:val="0"/>
                <w:color w:val="auto"/>
                <w:kern w:val="21"/>
                <w:szCs w:val="21"/>
                <w:lang w:val="en-US" w:eastAsia="zh-CN"/>
              </w:rPr>
            </w:pPr>
            <w:r>
              <w:rPr>
                <w:rFonts w:hint="eastAsia" w:hAnsi="宋体" w:cs="宋体"/>
                <w:snapToGrid w:val="0"/>
                <w:color w:val="auto"/>
                <w:kern w:val="21"/>
                <w:szCs w:val="21"/>
                <w:lang w:val="en-US" w:eastAsia="zh-CN"/>
              </w:rPr>
              <w:t>/</w:t>
            </w:r>
          </w:p>
        </w:tc>
        <w:tc>
          <w:tcPr>
            <w:tcW w:w="439" w:type="pct"/>
            <w:noWrap w:val="0"/>
            <w:vAlign w:val="center"/>
          </w:tcPr>
          <w:p w14:paraId="5C09A656">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hAnsi="宋体" w:eastAsia="宋体" w:cs="宋体"/>
                <w:snapToGrid w:val="0"/>
                <w:color w:val="auto"/>
                <w:kern w:val="21"/>
                <w:szCs w:val="21"/>
                <w:lang w:val="en-US" w:eastAsia="zh-CN"/>
              </w:rPr>
            </w:pPr>
            <w:r>
              <w:rPr>
                <w:rFonts w:hint="eastAsia" w:hAnsi="宋体" w:cs="宋体"/>
                <w:snapToGrid w:val="0"/>
                <w:color w:val="auto"/>
                <w:kern w:val="21"/>
                <w:szCs w:val="21"/>
                <w:lang w:val="en-US" w:eastAsia="zh-CN"/>
              </w:rPr>
              <w:t>/</w:t>
            </w:r>
          </w:p>
        </w:tc>
        <w:tc>
          <w:tcPr>
            <w:tcW w:w="593" w:type="pct"/>
            <w:noWrap w:val="0"/>
            <w:vAlign w:val="center"/>
          </w:tcPr>
          <w:p w14:paraId="796A37B0">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hAnsi="宋体" w:eastAsia="宋体" w:cs="宋体"/>
                <w:snapToGrid w:val="0"/>
                <w:color w:val="auto"/>
                <w:kern w:val="21"/>
                <w:szCs w:val="21"/>
                <w:lang w:val="en-US" w:eastAsia="zh-CN"/>
              </w:rPr>
            </w:pPr>
            <w:r>
              <w:rPr>
                <w:rFonts w:hint="eastAsia" w:hAnsi="宋体" w:cs="宋体"/>
                <w:snapToGrid w:val="0"/>
                <w:color w:val="auto"/>
                <w:kern w:val="21"/>
                <w:szCs w:val="21"/>
                <w:lang w:val="en-US" w:eastAsia="zh-CN"/>
              </w:rPr>
              <w:t>/</w:t>
            </w:r>
          </w:p>
        </w:tc>
        <w:tc>
          <w:tcPr>
            <w:tcW w:w="542" w:type="pct"/>
            <w:noWrap w:val="0"/>
            <w:vAlign w:val="center"/>
          </w:tcPr>
          <w:p w14:paraId="4AF425E6">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hAnsi="宋体" w:eastAsia="宋体" w:cs="宋体"/>
                <w:snapToGrid w:val="0"/>
                <w:color w:val="auto"/>
                <w:kern w:val="21"/>
                <w:szCs w:val="21"/>
                <w:lang w:val="en-US" w:eastAsia="zh-CN"/>
              </w:rPr>
            </w:pPr>
            <w:r>
              <w:rPr>
                <w:rFonts w:hint="eastAsia" w:hAnsi="宋体" w:cs="宋体"/>
                <w:snapToGrid w:val="0"/>
                <w:color w:val="auto"/>
                <w:kern w:val="21"/>
                <w:szCs w:val="21"/>
                <w:lang w:val="en-US" w:eastAsia="zh-CN"/>
              </w:rPr>
              <w:t>0.5t/a</w:t>
            </w:r>
          </w:p>
        </w:tc>
        <w:tc>
          <w:tcPr>
            <w:tcW w:w="615" w:type="pct"/>
            <w:noWrap w:val="0"/>
            <w:vAlign w:val="center"/>
          </w:tcPr>
          <w:p w14:paraId="5D58EFAB">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hAnsi="宋体" w:eastAsia="宋体" w:cs="宋体"/>
                <w:snapToGrid w:val="0"/>
                <w:color w:val="auto"/>
                <w:kern w:val="21"/>
                <w:szCs w:val="21"/>
                <w:lang w:val="en-US" w:eastAsia="zh-CN"/>
              </w:rPr>
            </w:pPr>
            <w:r>
              <w:rPr>
                <w:rFonts w:hint="eastAsia" w:hAnsi="宋体" w:cs="宋体"/>
                <w:snapToGrid w:val="0"/>
                <w:color w:val="auto"/>
                <w:kern w:val="21"/>
                <w:szCs w:val="21"/>
                <w:lang w:val="en-US" w:eastAsia="zh-CN"/>
              </w:rPr>
              <w:t>/</w:t>
            </w:r>
          </w:p>
        </w:tc>
        <w:tc>
          <w:tcPr>
            <w:tcW w:w="687" w:type="pct"/>
            <w:noWrap w:val="0"/>
            <w:vAlign w:val="center"/>
          </w:tcPr>
          <w:p w14:paraId="55D6CFEE">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hAnsi="宋体" w:eastAsia="宋体" w:cs="宋体"/>
                <w:snapToGrid w:val="0"/>
                <w:color w:val="auto"/>
                <w:kern w:val="21"/>
                <w:szCs w:val="21"/>
                <w:lang w:val="en-US" w:eastAsia="zh-CN"/>
              </w:rPr>
            </w:pPr>
            <w:r>
              <w:rPr>
                <w:rFonts w:hint="eastAsia" w:hAnsi="宋体" w:cs="宋体"/>
                <w:snapToGrid w:val="0"/>
                <w:color w:val="auto"/>
                <w:kern w:val="21"/>
                <w:szCs w:val="21"/>
                <w:lang w:val="en-US" w:eastAsia="zh-CN"/>
              </w:rPr>
              <w:t>0.5t/a</w:t>
            </w:r>
          </w:p>
        </w:tc>
        <w:tc>
          <w:tcPr>
            <w:tcW w:w="481" w:type="pct"/>
            <w:noWrap w:val="0"/>
            <w:vAlign w:val="center"/>
          </w:tcPr>
          <w:p w14:paraId="44D5D863">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hAnsi="宋体" w:eastAsia="宋体" w:cs="宋体"/>
                <w:snapToGrid w:val="0"/>
                <w:color w:val="auto"/>
                <w:kern w:val="21"/>
                <w:szCs w:val="21"/>
                <w:lang w:val="en-US" w:eastAsia="zh-CN"/>
              </w:rPr>
            </w:pPr>
            <w:r>
              <w:rPr>
                <w:rFonts w:hint="eastAsia" w:hAnsi="宋体" w:cs="宋体"/>
                <w:snapToGrid w:val="0"/>
                <w:color w:val="auto"/>
                <w:kern w:val="21"/>
                <w:szCs w:val="21"/>
                <w:lang w:val="en-US" w:eastAsia="zh-CN"/>
              </w:rPr>
              <w:t>+0.5t/a</w:t>
            </w:r>
          </w:p>
        </w:tc>
      </w:tr>
      <w:tr w14:paraId="490779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43" w:type="pct"/>
            <w:gridSpan w:val="2"/>
            <w:noWrap w:val="0"/>
            <w:vAlign w:val="center"/>
          </w:tcPr>
          <w:p w14:paraId="387930FD">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hAnsi="宋体" w:cs="宋体"/>
                <w:snapToGrid w:val="0"/>
                <w:color w:val="auto"/>
                <w:kern w:val="21"/>
                <w:szCs w:val="21"/>
                <w:lang w:val="en-US" w:eastAsia="zh-CN"/>
              </w:rPr>
            </w:pPr>
            <w:r>
              <w:rPr>
                <w:rFonts w:hint="eastAsia" w:hAnsi="宋体" w:cs="宋体"/>
                <w:snapToGrid w:val="0"/>
                <w:color w:val="auto"/>
                <w:kern w:val="21"/>
                <w:szCs w:val="21"/>
                <w:lang w:val="en-US" w:eastAsia="zh-CN"/>
              </w:rPr>
              <w:t>生活垃圾</w:t>
            </w:r>
          </w:p>
        </w:tc>
        <w:tc>
          <w:tcPr>
            <w:tcW w:w="593" w:type="pct"/>
            <w:noWrap w:val="0"/>
            <w:vAlign w:val="center"/>
          </w:tcPr>
          <w:p w14:paraId="2DA128F6">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hAnsi="宋体" w:cs="宋体"/>
                <w:snapToGrid w:val="0"/>
                <w:color w:val="auto"/>
                <w:kern w:val="21"/>
                <w:szCs w:val="21"/>
                <w:lang w:val="en-US" w:eastAsia="zh-CN"/>
              </w:rPr>
            </w:pPr>
            <w:r>
              <w:rPr>
                <w:rFonts w:hint="eastAsia" w:hAnsi="宋体" w:cs="宋体"/>
                <w:snapToGrid w:val="0"/>
                <w:color w:val="auto"/>
                <w:kern w:val="21"/>
                <w:szCs w:val="21"/>
                <w:lang w:val="en-US" w:eastAsia="zh-CN"/>
              </w:rPr>
              <w:t>1.2t/a</w:t>
            </w:r>
          </w:p>
        </w:tc>
        <w:tc>
          <w:tcPr>
            <w:tcW w:w="439" w:type="pct"/>
            <w:noWrap w:val="0"/>
            <w:vAlign w:val="center"/>
          </w:tcPr>
          <w:p w14:paraId="59841A6B">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hAnsi="宋体" w:cs="宋体"/>
                <w:snapToGrid w:val="0"/>
                <w:color w:val="auto"/>
                <w:kern w:val="21"/>
                <w:szCs w:val="21"/>
                <w:lang w:val="en-US" w:eastAsia="zh-CN"/>
              </w:rPr>
            </w:pPr>
            <w:r>
              <w:rPr>
                <w:rFonts w:hint="eastAsia" w:hAnsi="宋体" w:cs="宋体"/>
                <w:snapToGrid w:val="0"/>
                <w:color w:val="auto"/>
                <w:kern w:val="21"/>
                <w:szCs w:val="21"/>
                <w:lang w:val="en-US" w:eastAsia="zh-CN"/>
              </w:rPr>
              <w:t>/</w:t>
            </w:r>
          </w:p>
        </w:tc>
        <w:tc>
          <w:tcPr>
            <w:tcW w:w="593" w:type="pct"/>
            <w:noWrap w:val="0"/>
            <w:vAlign w:val="center"/>
          </w:tcPr>
          <w:p w14:paraId="136B1C4C">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hAnsi="宋体" w:cs="宋体"/>
                <w:snapToGrid w:val="0"/>
                <w:color w:val="auto"/>
                <w:kern w:val="21"/>
                <w:szCs w:val="21"/>
                <w:lang w:val="en-US" w:eastAsia="zh-CN"/>
              </w:rPr>
            </w:pPr>
            <w:r>
              <w:rPr>
                <w:rFonts w:hint="eastAsia" w:hAnsi="宋体" w:cs="宋体"/>
                <w:snapToGrid w:val="0"/>
                <w:color w:val="auto"/>
                <w:kern w:val="21"/>
                <w:szCs w:val="21"/>
                <w:lang w:val="en-US" w:eastAsia="zh-CN"/>
              </w:rPr>
              <w:t>/</w:t>
            </w:r>
          </w:p>
        </w:tc>
        <w:tc>
          <w:tcPr>
            <w:tcW w:w="542" w:type="pct"/>
            <w:noWrap w:val="0"/>
            <w:vAlign w:val="center"/>
          </w:tcPr>
          <w:p w14:paraId="069E5D69">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hAnsi="宋体" w:cs="宋体"/>
                <w:snapToGrid w:val="0"/>
                <w:color w:val="auto"/>
                <w:kern w:val="21"/>
                <w:szCs w:val="21"/>
                <w:lang w:val="en-US" w:eastAsia="zh-CN"/>
              </w:rPr>
            </w:pPr>
            <w:r>
              <w:rPr>
                <w:rFonts w:hint="eastAsia" w:hAnsi="宋体" w:cs="宋体"/>
                <w:snapToGrid w:val="0"/>
                <w:color w:val="auto"/>
                <w:kern w:val="21"/>
                <w:szCs w:val="21"/>
                <w:lang w:val="en-US" w:eastAsia="zh-CN"/>
              </w:rPr>
              <w:t>5.55t/a</w:t>
            </w:r>
          </w:p>
        </w:tc>
        <w:tc>
          <w:tcPr>
            <w:tcW w:w="615" w:type="pct"/>
            <w:noWrap w:val="0"/>
            <w:vAlign w:val="center"/>
          </w:tcPr>
          <w:p w14:paraId="462A583F">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hAnsi="宋体" w:cs="宋体"/>
                <w:snapToGrid w:val="0"/>
                <w:color w:val="auto"/>
                <w:kern w:val="21"/>
                <w:szCs w:val="21"/>
                <w:lang w:val="en-US" w:eastAsia="zh-CN"/>
              </w:rPr>
            </w:pPr>
            <w:r>
              <w:rPr>
                <w:rFonts w:hint="eastAsia" w:hAnsi="宋体" w:cs="宋体"/>
                <w:snapToGrid w:val="0"/>
                <w:color w:val="auto"/>
                <w:kern w:val="21"/>
                <w:szCs w:val="21"/>
                <w:lang w:val="en-US" w:eastAsia="zh-CN"/>
              </w:rPr>
              <w:t>/</w:t>
            </w:r>
          </w:p>
        </w:tc>
        <w:tc>
          <w:tcPr>
            <w:tcW w:w="687" w:type="pct"/>
            <w:noWrap w:val="0"/>
            <w:vAlign w:val="center"/>
          </w:tcPr>
          <w:p w14:paraId="51D7F960">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hAnsi="宋体" w:cs="宋体"/>
                <w:snapToGrid w:val="0"/>
                <w:color w:val="auto"/>
                <w:kern w:val="21"/>
                <w:szCs w:val="21"/>
                <w:lang w:val="en-US" w:eastAsia="zh-CN"/>
              </w:rPr>
            </w:pPr>
            <w:r>
              <w:rPr>
                <w:rFonts w:hint="eastAsia" w:hAnsi="宋体" w:cs="宋体"/>
                <w:snapToGrid w:val="0"/>
                <w:color w:val="auto"/>
                <w:kern w:val="21"/>
                <w:szCs w:val="21"/>
                <w:lang w:val="en-US" w:eastAsia="zh-CN"/>
              </w:rPr>
              <w:t>6.75t/a</w:t>
            </w:r>
          </w:p>
        </w:tc>
        <w:tc>
          <w:tcPr>
            <w:tcW w:w="481" w:type="pct"/>
            <w:noWrap w:val="0"/>
            <w:vAlign w:val="center"/>
          </w:tcPr>
          <w:p w14:paraId="4844FF55">
            <w:pPr>
              <w:pStyle w:val="17"/>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hAnsi="宋体" w:cs="宋体"/>
                <w:snapToGrid w:val="0"/>
                <w:color w:val="auto"/>
                <w:kern w:val="21"/>
                <w:szCs w:val="21"/>
                <w:lang w:val="en-US" w:eastAsia="zh-CN"/>
              </w:rPr>
            </w:pPr>
            <w:r>
              <w:rPr>
                <w:rFonts w:hint="eastAsia" w:hAnsi="宋体" w:cs="宋体"/>
                <w:snapToGrid w:val="0"/>
                <w:color w:val="auto"/>
                <w:kern w:val="21"/>
                <w:szCs w:val="21"/>
                <w:lang w:val="en-US" w:eastAsia="zh-CN"/>
              </w:rPr>
              <w:t>+5.55t/a</w:t>
            </w:r>
          </w:p>
        </w:tc>
      </w:tr>
    </w:tbl>
    <w:p w14:paraId="77EC8DCD">
      <w:pPr>
        <w:pStyle w:val="17"/>
        <w:spacing w:before="192" w:beforeLines="80" w:after="24"/>
        <w:jc w:val="left"/>
        <w:rPr>
          <w:rFonts w:hint="eastAsia" w:hAnsi="宋体"/>
          <w:snapToGrid w:val="0"/>
          <w:color w:val="auto"/>
          <w:spacing w:val="-6"/>
          <w:kern w:val="21"/>
          <w:szCs w:val="21"/>
        </w:rPr>
      </w:pPr>
      <w:r>
        <w:rPr>
          <w:rFonts w:hAnsi="宋体"/>
          <w:snapToGrid w:val="0"/>
          <w:color w:val="auto"/>
          <w:kern w:val="21"/>
          <w:szCs w:val="21"/>
        </w:rPr>
        <w:t>注：</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6 \* GB3 \* MERGEFORMAT </w:instrText>
      </w:r>
      <w:r>
        <w:rPr>
          <w:rFonts w:hAnsi="宋体"/>
          <w:snapToGrid w:val="0"/>
          <w:color w:val="auto"/>
          <w:spacing w:val="-16"/>
          <w:kern w:val="21"/>
          <w:szCs w:val="21"/>
        </w:rPr>
        <w:fldChar w:fldCharType="separate"/>
      </w:r>
      <w:r>
        <w:rPr>
          <w:rFonts w:hint="eastAsia" w:hAnsi="宋体"/>
          <w:color w:val="auto"/>
          <w:szCs w:val="21"/>
        </w:rPr>
        <w:t>⑥</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1 \* GB3 \* MERGEFORMAT </w:instrText>
      </w:r>
      <w:r>
        <w:rPr>
          <w:rFonts w:hAnsi="宋体"/>
          <w:snapToGrid w:val="0"/>
          <w:color w:val="auto"/>
          <w:spacing w:val="-6"/>
          <w:kern w:val="21"/>
          <w:szCs w:val="21"/>
        </w:rPr>
        <w:fldChar w:fldCharType="separate"/>
      </w:r>
      <w:r>
        <w:rPr>
          <w:rFonts w:hint="eastAsia" w:hAnsi="宋体"/>
          <w:color w:val="auto"/>
          <w:szCs w:val="21"/>
        </w:rPr>
        <w:t>①</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3 \* GB3 \* MERGEFORMAT </w:instrText>
      </w:r>
      <w:r>
        <w:rPr>
          <w:rFonts w:hAnsi="宋体"/>
          <w:snapToGrid w:val="0"/>
          <w:color w:val="auto"/>
          <w:spacing w:val="-6"/>
          <w:kern w:val="21"/>
          <w:szCs w:val="21"/>
        </w:rPr>
        <w:fldChar w:fldCharType="separate"/>
      </w:r>
      <w:r>
        <w:rPr>
          <w:rFonts w:hint="eastAsia" w:hAnsi="宋体"/>
          <w:color w:val="auto"/>
          <w:szCs w:val="21"/>
        </w:rPr>
        <w:t>③</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4 \* GB3 \* MERGEFORMAT </w:instrText>
      </w:r>
      <w:r>
        <w:rPr>
          <w:rFonts w:hAnsi="宋体"/>
          <w:snapToGrid w:val="0"/>
          <w:color w:val="auto"/>
          <w:spacing w:val="-6"/>
          <w:kern w:val="21"/>
          <w:szCs w:val="21"/>
        </w:rPr>
        <w:fldChar w:fldCharType="separate"/>
      </w:r>
      <w:r>
        <w:rPr>
          <w:rFonts w:hint="eastAsia" w:hAnsi="宋体"/>
          <w:color w:val="auto"/>
          <w:szCs w:val="21"/>
        </w:rPr>
        <w:t>④</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5 \* GB3 \* MERGEFORMAT </w:instrText>
      </w:r>
      <w:r>
        <w:rPr>
          <w:rFonts w:hAnsi="宋体"/>
          <w:snapToGrid w:val="0"/>
          <w:color w:val="auto"/>
          <w:spacing w:val="-16"/>
          <w:kern w:val="21"/>
          <w:szCs w:val="21"/>
        </w:rPr>
        <w:fldChar w:fldCharType="separate"/>
      </w:r>
      <w:r>
        <w:rPr>
          <w:rFonts w:hint="eastAsia" w:hAnsi="宋体"/>
          <w:color w:val="auto"/>
          <w:szCs w:val="21"/>
        </w:rPr>
        <w:t>⑤</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7 \* GB3 \* MERGEFORMAT </w:instrText>
      </w:r>
      <w:r>
        <w:rPr>
          <w:rFonts w:hAnsi="宋体"/>
          <w:snapToGrid w:val="0"/>
          <w:color w:val="auto"/>
          <w:spacing w:val="-6"/>
          <w:kern w:val="21"/>
          <w:szCs w:val="21"/>
        </w:rPr>
        <w:fldChar w:fldCharType="separate"/>
      </w:r>
      <w:r>
        <w:rPr>
          <w:rFonts w:hint="eastAsia" w:hAnsi="宋体"/>
          <w:color w:val="auto"/>
          <w:szCs w:val="21"/>
        </w:rPr>
        <w:t>⑦</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6 \* GB3 \* MERGEFORMAT </w:instrText>
      </w:r>
      <w:r>
        <w:rPr>
          <w:rFonts w:hAnsi="宋体"/>
          <w:snapToGrid w:val="0"/>
          <w:color w:val="auto"/>
          <w:spacing w:val="-16"/>
          <w:kern w:val="21"/>
          <w:szCs w:val="21"/>
        </w:rPr>
        <w:fldChar w:fldCharType="separate"/>
      </w:r>
      <w:r>
        <w:rPr>
          <w:rFonts w:hint="eastAsia" w:hAnsi="宋体"/>
          <w:color w:val="auto"/>
          <w:szCs w:val="21"/>
        </w:rPr>
        <w:t>⑥</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1 \* GB3 \* MERGEFORMAT </w:instrText>
      </w:r>
      <w:r>
        <w:rPr>
          <w:rFonts w:hAnsi="宋体"/>
          <w:snapToGrid w:val="0"/>
          <w:color w:val="auto"/>
          <w:spacing w:val="-6"/>
          <w:kern w:val="21"/>
          <w:szCs w:val="21"/>
        </w:rPr>
        <w:fldChar w:fldCharType="separate"/>
      </w:r>
      <w:r>
        <w:rPr>
          <w:rFonts w:hint="eastAsia" w:hAnsi="宋体"/>
          <w:color w:val="auto"/>
          <w:szCs w:val="21"/>
        </w:rPr>
        <w:t>①</w:t>
      </w:r>
      <w:r>
        <w:rPr>
          <w:rFonts w:hAnsi="宋体"/>
          <w:snapToGrid w:val="0"/>
          <w:color w:val="auto"/>
          <w:spacing w:val="-6"/>
          <w:kern w:val="21"/>
          <w:szCs w:val="21"/>
        </w:rPr>
        <w:fldChar w:fldCharType="end"/>
      </w:r>
    </w:p>
    <w:p w14:paraId="0DC126BE">
      <w:pPr>
        <w:pStyle w:val="17"/>
        <w:rPr>
          <w:rFonts w:hint="default"/>
          <w:color w:val="auto"/>
          <w:lang w:val="en-US" w:eastAsia="zh-CN"/>
        </w:rPr>
      </w:pPr>
    </w:p>
    <w:sectPr>
      <w:footerReference r:id="rId7" w:type="default"/>
      <w:pgSz w:w="16838" w:h="11906" w:orient="landscape"/>
      <w:pgMar w:top="1531" w:right="1701" w:bottom="1531" w:left="1701" w:header="851" w:footer="851" w:gutter="0"/>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9255E">
    <w:pPr>
      <w:tabs>
        <w:tab w:val="center" w:pos="4153"/>
        <w:tab w:val="right" w:pos="8306"/>
      </w:tabs>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6A28">
    <w:pPr>
      <w:keepNext w:val="0"/>
      <w:keepLines w:val="0"/>
      <w:pageBreakBefore w:val="0"/>
      <w:widowControl w:val="0"/>
      <w:tabs>
        <w:tab w:val="center" w:pos="4153"/>
        <w:tab w:val="right" w:pos="8306"/>
      </w:tabs>
      <w:kinsoku/>
      <w:wordWrap/>
      <w:overflowPunct/>
      <w:topLinePunct w:val="0"/>
      <w:bidi w:val="0"/>
      <w:adjustRightInd w:val="0"/>
      <w:snapToGrid w:val="0"/>
      <w:ind w:right="363" w:firstLine="0" w:firstLineChars="0"/>
      <w:jc w:val="center"/>
      <w:textAlignment w:val="auto"/>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695CA4">
                          <w:pPr>
                            <w:keepNext w:val="0"/>
                            <w:keepLines w:val="0"/>
                            <w:pageBreakBefore w:val="0"/>
                            <w:widowControl w:val="0"/>
                            <w:tabs>
                              <w:tab w:val="center" w:pos="4153"/>
                              <w:tab w:val="right" w:pos="8306"/>
                            </w:tabs>
                            <w:kinsoku/>
                            <w:wordWrap/>
                            <w:overflowPunct/>
                            <w:topLinePunct w:val="0"/>
                            <w:bidi w:val="0"/>
                            <w:adjustRightInd w:val="0"/>
                            <w:snapToGrid w:val="0"/>
                            <w:ind w:firstLine="0" w:firstLineChars="0"/>
                            <w:textAlignment w:val="auto"/>
                            <w:rPr>
                              <w:rFonts w:ascii="宋体" w:hAnsi="宋体"/>
                              <w:sz w:val="28"/>
                              <w:szCs w:val="28"/>
                            </w:rPr>
                          </w:pPr>
                          <w:r>
                            <w:rPr>
                              <w:rFonts w:hint="eastAsia" w:ascii="宋体" w:hAnsi="宋体"/>
                              <w:sz w:val="28"/>
                              <w:szCs w:val="28"/>
                            </w:rPr>
                            <w:t>—</w:t>
                          </w:r>
                          <w:r>
                            <w:rPr>
                              <w:rFonts w:hint="eastAsia" w:ascii="宋体" w:hAnsi="宋体"/>
                              <w:sz w:val="20"/>
                            </w:rPr>
                            <w:t xml:space="preserve">  </w:t>
                          </w:r>
                          <w:r>
                            <w:rPr>
                              <w:rFonts w:ascii="宋体" w:hAnsi="宋体"/>
                              <w:sz w:val="26"/>
                              <w:szCs w:val="26"/>
                            </w:rPr>
                            <w:fldChar w:fldCharType="begin"/>
                          </w:r>
                          <w:r>
                            <w:rPr>
                              <w:rFonts w:ascii="宋体" w:hAnsi="宋体"/>
                              <w:sz w:val="26"/>
                              <w:szCs w:val="26"/>
                            </w:rPr>
                            <w:instrText xml:space="preserve">PAGE  </w:instrText>
                          </w:r>
                          <w:r>
                            <w:rPr>
                              <w:rFonts w:ascii="宋体" w:hAnsi="宋体"/>
                              <w:sz w:val="26"/>
                              <w:szCs w:val="26"/>
                            </w:rPr>
                            <w:fldChar w:fldCharType="separate"/>
                          </w:r>
                          <w:r>
                            <w:rPr>
                              <w:rFonts w:ascii="宋体" w:hAnsi="宋体"/>
                              <w:sz w:val="26"/>
                              <w:szCs w:val="26"/>
                            </w:rPr>
                            <w:t>9</w:t>
                          </w:r>
                          <w:r>
                            <w:rPr>
                              <w:rFonts w:ascii="宋体" w:hAnsi="宋体"/>
                              <w:sz w:val="26"/>
                              <w:szCs w:val="26"/>
                            </w:rPr>
                            <w:fldChar w:fldCharType="end"/>
                          </w:r>
                          <w:r>
                            <w:rPr>
                              <w:rFonts w:hint="eastAsia" w:ascii="宋体" w:hAnsi="宋体"/>
                              <w:sz w:val="20"/>
                            </w:rPr>
                            <w:t xml:space="preserve">  </w:t>
                          </w:r>
                          <w:r>
                            <w:rPr>
                              <w:rFonts w:hint="eastAsia" w:ascii="宋体" w:hAnsi="宋体"/>
                              <w:sz w:val="28"/>
                              <w:szCs w:val="28"/>
                            </w:rPr>
                            <w:t>—</w:t>
                          </w:r>
                        </w:p>
                      </w:txbxContent>
                    </wps:txbx>
                    <wps:bodyPr vert="horz" wrap="none" lIns="0" tIns="0" rIns="0" bIns="0" anchor="t" anchorCtr="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DwZ1fbgAQAAwQMAAA4AAAAA&#10;AAAAAQAgAAAAHgEAAGRycy9lMm9Eb2MueG1sUEsFBgAAAAAGAAYAWQEAAHAFAAAAAA==&#10;">
              <v:fill on="f" focussize="0,0"/>
              <v:stroke on="f"/>
              <v:imagedata o:title=""/>
              <o:lock v:ext="edit" aspectratio="f"/>
              <v:textbox inset="0mm,0mm,0mm,0mm" style="mso-fit-shape-to-text:t;">
                <w:txbxContent>
                  <w:p w14:paraId="31695CA4">
                    <w:pPr>
                      <w:keepNext w:val="0"/>
                      <w:keepLines w:val="0"/>
                      <w:pageBreakBefore w:val="0"/>
                      <w:widowControl w:val="0"/>
                      <w:tabs>
                        <w:tab w:val="center" w:pos="4153"/>
                        <w:tab w:val="right" w:pos="8306"/>
                      </w:tabs>
                      <w:kinsoku/>
                      <w:wordWrap/>
                      <w:overflowPunct/>
                      <w:topLinePunct w:val="0"/>
                      <w:bidi w:val="0"/>
                      <w:adjustRightInd w:val="0"/>
                      <w:snapToGrid w:val="0"/>
                      <w:ind w:firstLine="0" w:firstLineChars="0"/>
                      <w:textAlignment w:val="auto"/>
                      <w:rPr>
                        <w:rFonts w:ascii="宋体" w:hAnsi="宋体"/>
                        <w:sz w:val="28"/>
                        <w:szCs w:val="28"/>
                      </w:rPr>
                    </w:pPr>
                    <w:r>
                      <w:rPr>
                        <w:rFonts w:hint="eastAsia" w:ascii="宋体" w:hAnsi="宋体"/>
                        <w:sz w:val="28"/>
                        <w:szCs w:val="28"/>
                      </w:rPr>
                      <w:t>—</w:t>
                    </w:r>
                    <w:r>
                      <w:rPr>
                        <w:rFonts w:hint="eastAsia" w:ascii="宋体" w:hAnsi="宋体"/>
                        <w:sz w:val="20"/>
                      </w:rPr>
                      <w:t xml:space="preserve">  </w:t>
                    </w:r>
                    <w:r>
                      <w:rPr>
                        <w:rFonts w:ascii="宋体" w:hAnsi="宋体"/>
                        <w:sz w:val="26"/>
                        <w:szCs w:val="26"/>
                      </w:rPr>
                      <w:fldChar w:fldCharType="begin"/>
                    </w:r>
                    <w:r>
                      <w:rPr>
                        <w:rFonts w:ascii="宋体" w:hAnsi="宋体"/>
                        <w:sz w:val="26"/>
                        <w:szCs w:val="26"/>
                      </w:rPr>
                      <w:instrText xml:space="preserve">PAGE  </w:instrText>
                    </w:r>
                    <w:r>
                      <w:rPr>
                        <w:rFonts w:ascii="宋体" w:hAnsi="宋体"/>
                        <w:sz w:val="26"/>
                        <w:szCs w:val="26"/>
                      </w:rPr>
                      <w:fldChar w:fldCharType="separate"/>
                    </w:r>
                    <w:r>
                      <w:rPr>
                        <w:rFonts w:ascii="宋体" w:hAnsi="宋体"/>
                        <w:sz w:val="26"/>
                        <w:szCs w:val="26"/>
                      </w:rPr>
                      <w:t>9</w:t>
                    </w:r>
                    <w:r>
                      <w:rPr>
                        <w:rFonts w:ascii="宋体" w:hAnsi="宋体"/>
                        <w:sz w:val="26"/>
                        <w:szCs w:val="26"/>
                      </w:rPr>
                      <w:fldChar w:fldCharType="end"/>
                    </w:r>
                    <w:r>
                      <w:rPr>
                        <w:rFonts w:hint="eastAsia" w:ascii="宋体" w:hAnsi="宋体"/>
                        <w:sz w:val="20"/>
                      </w:rPr>
                      <w:t xml:space="preserve">  </w:t>
                    </w:r>
                    <w:r>
                      <w:rPr>
                        <w:rFonts w:hint="eastAsia" w:ascii="宋体" w:hAnsi="宋体"/>
                        <w:sz w:val="28"/>
                        <w:szCs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66328">
    <w:pPr>
      <w:tabs>
        <w:tab w:val="center" w:pos="4153"/>
        <w:tab w:val="right" w:pos="8306"/>
      </w:tabs>
      <w:ind w:right="360" w:firstLine="360"/>
      <w:jc w:val="cente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0E6E38">
                          <w:pPr>
                            <w:tabs>
                              <w:tab w:val="center" w:pos="4153"/>
                              <w:tab w:val="right" w:pos="8306"/>
                            </w:tabs>
                            <w:rPr>
                              <w:rFonts w:ascii="宋体" w:hAnsi="宋体"/>
                              <w:sz w:val="28"/>
                              <w:szCs w:val="28"/>
                            </w:rPr>
                          </w:pPr>
                          <w:r>
                            <w:rPr>
                              <w:rFonts w:hint="eastAsia" w:ascii="宋体" w:hAnsi="宋体"/>
                              <w:sz w:val="28"/>
                              <w:szCs w:val="28"/>
                            </w:rPr>
                            <w:t>—</w:t>
                          </w:r>
                          <w:r>
                            <w:rPr>
                              <w:rFonts w:hint="eastAsia" w:ascii="宋体" w:hAnsi="宋体"/>
                              <w:sz w:val="20"/>
                            </w:rPr>
                            <w:t xml:space="preserve">  </w:t>
                          </w:r>
                          <w:r>
                            <w:rPr>
                              <w:rFonts w:ascii="宋体" w:hAnsi="宋体"/>
                              <w:sz w:val="26"/>
                              <w:szCs w:val="26"/>
                            </w:rPr>
                            <w:fldChar w:fldCharType="begin"/>
                          </w:r>
                          <w:r>
                            <w:rPr>
                              <w:rFonts w:ascii="宋体" w:hAnsi="宋体"/>
                              <w:sz w:val="26"/>
                              <w:szCs w:val="26"/>
                            </w:rPr>
                            <w:instrText xml:space="preserve">PAGE  </w:instrText>
                          </w:r>
                          <w:r>
                            <w:rPr>
                              <w:rFonts w:ascii="宋体" w:hAnsi="宋体"/>
                              <w:sz w:val="26"/>
                              <w:szCs w:val="26"/>
                            </w:rPr>
                            <w:fldChar w:fldCharType="separate"/>
                          </w:r>
                          <w:r>
                            <w:rPr>
                              <w:rFonts w:ascii="宋体" w:hAnsi="宋体"/>
                              <w:sz w:val="26"/>
                              <w:szCs w:val="26"/>
                            </w:rPr>
                            <w:t>11</w:t>
                          </w:r>
                          <w:r>
                            <w:rPr>
                              <w:rFonts w:ascii="宋体" w:hAnsi="宋体"/>
                              <w:sz w:val="26"/>
                              <w:szCs w:val="26"/>
                            </w:rPr>
                            <w:fldChar w:fldCharType="end"/>
                          </w:r>
                          <w:r>
                            <w:rPr>
                              <w:rFonts w:hint="eastAsia" w:ascii="宋体" w:hAnsi="宋体"/>
                              <w:sz w:val="20"/>
                            </w:rPr>
                            <w:t xml:space="preserve">  </w:t>
                          </w:r>
                          <w:r>
                            <w:rPr>
                              <w:rFonts w:hint="eastAsia" w:ascii="宋体" w:hAnsi="宋体"/>
                              <w:sz w:val="28"/>
                              <w:szCs w:val="28"/>
                            </w:rPr>
                            <w:t>—</w:t>
                          </w:r>
                        </w:p>
                      </w:txbxContent>
                    </wps:txbx>
                    <wps:bodyPr vert="horz" wrap="none" lIns="0" tIns="0" rIns="0" bIns="0" anchor="t" anchorCtr="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FuOXDDgAQAAwQMAAA4AAAAA&#10;AAAAAQAgAAAAHgEAAGRycy9lMm9Eb2MueG1sUEsFBgAAAAAGAAYAWQEAAHAFAAAAAA==&#10;">
              <v:fill on="f" focussize="0,0"/>
              <v:stroke on="f"/>
              <v:imagedata o:title=""/>
              <o:lock v:ext="edit" aspectratio="f"/>
              <v:textbox inset="0mm,0mm,0mm,0mm" style="mso-fit-shape-to-text:t;">
                <w:txbxContent>
                  <w:p w14:paraId="660E6E38">
                    <w:pPr>
                      <w:tabs>
                        <w:tab w:val="center" w:pos="4153"/>
                        <w:tab w:val="right" w:pos="8306"/>
                      </w:tabs>
                      <w:rPr>
                        <w:rFonts w:ascii="宋体" w:hAnsi="宋体"/>
                        <w:sz w:val="28"/>
                        <w:szCs w:val="28"/>
                      </w:rPr>
                    </w:pPr>
                    <w:r>
                      <w:rPr>
                        <w:rFonts w:hint="eastAsia" w:ascii="宋体" w:hAnsi="宋体"/>
                        <w:sz w:val="28"/>
                        <w:szCs w:val="28"/>
                      </w:rPr>
                      <w:t>—</w:t>
                    </w:r>
                    <w:r>
                      <w:rPr>
                        <w:rFonts w:hint="eastAsia" w:ascii="宋体" w:hAnsi="宋体"/>
                        <w:sz w:val="20"/>
                      </w:rPr>
                      <w:t xml:space="preserve">  </w:t>
                    </w:r>
                    <w:r>
                      <w:rPr>
                        <w:rFonts w:ascii="宋体" w:hAnsi="宋体"/>
                        <w:sz w:val="26"/>
                        <w:szCs w:val="26"/>
                      </w:rPr>
                      <w:fldChar w:fldCharType="begin"/>
                    </w:r>
                    <w:r>
                      <w:rPr>
                        <w:rFonts w:ascii="宋体" w:hAnsi="宋体"/>
                        <w:sz w:val="26"/>
                        <w:szCs w:val="26"/>
                      </w:rPr>
                      <w:instrText xml:space="preserve">PAGE  </w:instrText>
                    </w:r>
                    <w:r>
                      <w:rPr>
                        <w:rFonts w:ascii="宋体" w:hAnsi="宋体"/>
                        <w:sz w:val="26"/>
                        <w:szCs w:val="26"/>
                      </w:rPr>
                      <w:fldChar w:fldCharType="separate"/>
                    </w:r>
                    <w:r>
                      <w:rPr>
                        <w:rFonts w:ascii="宋体" w:hAnsi="宋体"/>
                        <w:sz w:val="26"/>
                        <w:szCs w:val="26"/>
                      </w:rPr>
                      <w:t>11</w:t>
                    </w:r>
                    <w:r>
                      <w:rPr>
                        <w:rFonts w:ascii="宋体" w:hAnsi="宋体"/>
                        <w:sz w:val="26"/>
                        <w:szCs w:val="26"/>
                      </w:rPr>
                      <w:fldChar w:fldCharType="end"/>
                    </w:r>
                    <w:r>
                      <w:rPr>
                        <w:rFonts w:hint="eastAsia" w:ascii="宋体" w:hAnsi="宋体"/>
                        <w:sz w:val="20"/>
                      </w:rPr>
                      <w:t xml:space="preserve">  </w:t>
                    </w:r>
                    <w:r>
                      <w:rPr>
                        <w:rFonts w:hint="eastAsia" w:ascii="宋体" w:hAnsi="宋体"/>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kYmVmNzcyZGNmYmM0MTU3MjkzMDFiMDc4YjhlMzMifQ=="/>
  </w:docVars>
  <w:rsids>
    <w:rsidRoot w:val="00A14947"/>
    <w:rsid w:val="000060B3"/>
    <w:rsid w:val="0004364B"/>
    <w:rsid w:val="00061B1F"/>
    <w:rsid w:val="000733C4"/>
    <w:rsid w:val="00074783"/>
    <w:rsid w:val="0008070B"/>
    <w:rsid w:val="000810AC"/>
    <w:rsid w:val="00081A02"/>
    <w:rsid w:val="00082231"/>
    <w:rsid w:val="00092D38"/>
    <w:rsid w:val="0009377B"/>
    <w:rsid w:val="000A20C9"/>
    <w:rsid w:val="000B058F"/>
    <w:rsid w:val="000B4467"/>
    <w:rsid w:val="000B4DB9"/>
    <w:rsid w:val="000C09AC"/>
    <w:rsid w:val="000C767F"/>
    <w:rsid w:val="000D5A44"/>
    <w:rsid w:val="000E3ED2"/>
    <w:rsid w:val="00131F42"/>
    <w:rsid w:val="001357F1"/>
    <w:rsid w:val="00140FA8"/>
    <w:rsid w:val="00142FEB"/>
    <w:rsid w:val="00143A2D"/>
    <w:rsid w:val="00145A41"/>
    <w:rsid w:val="00151675"/>
    <w:rsid w:val="00157435"/>
    <w:rsid w:val="0017504D"/>
    <w:rsid w:val="0017671A"/>
    <w:rsid w:val="00177422"/>
    <w:rsid w:val="00184590"/>
    <w:rsid w:val="001870D1"/>
    <w:rsid w:val="0018781E"/>
    <w:rsid w:val="0019262D"/>
    <w:rsid w:val="001A1B35"/>
    <w:rsid w:val="001A48A2"/>
    <w:rsid w:val="001A6F61"/>
    <w:rsid w:val="001B72B8"/>
    <w:rsid w:val="001C69B3"/>
    <w:rsid w:val="001D5595"/>
    <w:rsid w:val="001D7874"/>
    <w:rsid w:val="001D7F22"/>
    <w:rsid w:val="001F0F17"/>
    <w:rsid w:val="001F3347"/>
    <w:rsid w:val="001F69E4"/>
    <w:rsid w:val="002125B4"/>
    <w:rsid w:val="002155B8"/>
    <w:rsid w:val="00224839"/>
    <w:rsid w:val="002249B2"/>
    <w:rsid w:val="00226574"/>
    <w:rsid w:val="002278EC"/>
    <w:rsid w:val="0023280E"/>
    <w:rsid w:val="002377D1"/>
    <w:rsid w:val="002506BC"/>
    <w:rsid w:val="00254345"/>
    <w:rsid w:val="00264557"/>
    <w:rsid w:val="002805AB"/>
    <w:rsid w:val="00284204"/>
    <w:rsid w:val="00291773"/>
    <w:rsid w:val="002A168C"/>
    <w:rsid w:val="002A3DC7"/>
    <w:rsid w:val="002B49E2"/>
    <w:rsid w:val="002B7B00"/>
    <w:rsid w:val="002B7C44"/>
    <w:rsid w:val="002C2B17"/>
    <w:rsid w:val="002D3DD0"/>
    <w:rsid w:val="002E1F3A"/>
    <w:rsid w:val="002E298A"/>
    <w:rsid w:val="00301978"/>
    <w:rsid w:val="0030332C"/>
    <w:rsid w:val="003051C2"/>
    <w:rsid w:val="00312296"/>
    <w:rsid w:val="00314F0E"/>
    <w:rsid w:val="00321D8E"/>
    <w:rsid w:val="00325928"/>
    <w:rsid w:val="00332863"/>
    <w:rsid w:val="0033684D"/>
    <w:rsid w:val="00337B42"/>
    <w:rsid w:val="00341B42"/>
    <w:rsid w:val="0034348F"/>
    <w:rsid w:val="00356653"/>
    <w:rsid w:val="0035743F"/>
    <w:rsid w:val="00357BE2"/>
    <w:rsid w:val="0036170C"/>
    <w:rsid w:val="00366E0F"/>
    <w:rsid w:val="00381A72"/>
    <w:rsid w:val="00384676"/>
    <w:rsid w:val="00390857"/>
    <w:rsid w:val="003A4BF3"/>
    <w:rsid w:val="003B420D"/>
    <w:rsid w:val="003C6C16"/>
    <w:rsid w:val="003D794D"/>
    <w:rsid w:val="003E3058"/>
    <w:rsid w:val="003E76A9"/>
    <w:rsid w:val="003F0809"/>
    <w:rsid w:val="003F6A8C"/>
    <w:rsid w:val="003F755C"/>
    <w:rsid w:val="00406F01"/>
    <w:rsid w:val="00416D50"/>
    <w:rsid w:val="00416FD5"/>
    <w:rsid w:val="00417772"/>
    <w:rsid w:val="00420E6A"/>
    <w:rsid w:val="00425A9E"/>
    <w:rsid w:val="00426D6B"/>
    <w:rsid w:val="00431E6C"/>
    <w:rsid w:val="00433CE7"/>
    <w:rsid w:val="00452738"/>
    <w:rsid w:val="00456091"/>
    <w:rsid w:val="00466321"/>
    <w:rsid w:val="00484B9B"/>
    <w:rsid w:val="004855F6"/>
    <w:rsid w:val="0048661E"/>
    <w:rsid w:val="00494670"/>
    <w:rsid w:val="004A3823"/>
    <w:rsid w:val="004E6946"/>
    <w:rsid w:val="004F1AD8"/>
    <w:rsid w:val="005039CB"/>
    <w:rsid w:val="0050558F"/>
    <w:rsid w:val="00506286"/>
    <w:rsid w:val="00510813"/>
    <w:rsid w:val="00511990"/>
    <w:rsid w:val="00511DE0"/>
    <w:rsid w:val="00514870"/>
    <w:rsid w:val="00514B9B"/>
    <w:rsid w:val="00517F02"/>
    <w:rsid w:val="00524303"/>
    <w:rsid w:val="005258A2"/>
    <w:rsid w:val="005401AE"/>
    <w:rsid w:val="00542E07"/>
    <w:rsid w:val="00545424"/>
    <w:rsid w:val="00554A7B"/>
    <w:rsid w:val="0055572C"/>
    <w:rsid w:val="0056106A"/>
    <w:rsid w:val="005720AE"/>
    <w:rsid w:val="00594D77"/>
    <w:rsid w:val="005969E4"/>
    <w:rsid w:val="005A06B7"/>
    <w:rsid w:val="005A1759"/>
    <w:rsid w:val="005A68A7"/>
    <w:rsid w:val="005D36AB"/>
    <w:rsid w:val="00617CC3"/>
    <w:rsid w:val="006377A6"/>
    <w:rsid w:val="00637A3D"/>
    <w:rsid w:val="006411EF"/>
    <w:rsid w:val="006748B8"/>
    <w:rsid w:val="006775C3"/>
    <w:rsid w:val="0069290A"/>
    <w:rsid w:val="0069775A"/>
    <w:rsid w:val="00697813"/>
    <w:rsid w:val="006A3EE8"/>
    <w:rsid w:val="006A72BF"/>
    <w:rsid w:val="006B03F2"/>
    <w:rsid w:val="006B37DC"/>
    <w:rsid w:val="006B4F68"/>
    <w:rsid w:val="006C0592"/>
    <w:rsid w:val="006C272E"/>
    <w:rsid w:val="006C5479"/>
    <w:rsid w:val="006D13B5"/>
    <w:rsid w:val="006E12FF"/>
    <w:rsid w:val="006E607E"/>
    <w:rsid w:val="00706C5D"/>
    <w:rsid w:val="00732922"/>
    <w:rsid w:val="0075162E"/>
    <w:rsid w:val="00754034"/>
    <w:rsid w:val="00756556"/>
    <w:rsid w:val="007618C4"/>
    <w:rsid w:val="00767980"/>
    <w:rsid w:val="00770B19"/>
    <w:rsid w:val="0077463F"/>
    <w:rsid w:val="007836EA"/>
    <w:rsid w:val="00784CDA"/>
    <w:rsid w:val="007906C4"/>
    <w:rsid w:val="007940EA"/>
    <w:rsid w:val="007967E8"/>
    <w:rsid w:val="007A2170"/>
    <w:rsid w:val="007A22BF"/>
    <w:rsid w:val="007A3323"/>
    <w:rsid w:val="007B72B8"/>
    <w:rsid w:val="007B7A58"/>
    <w:rsid w:val="007C21B5"/>
    <w:rsid w:val="007E4BD2"/>
    <w:rsid w:val="00801393"/>
    <w:rsid w:val="00802F88"/>
    <w:rsid w:val="0081293E"/>
    <w:rsid w:val="00815465"/>
    <w:rsid w:val="00817E9A"/>
    <w:rsid w:val="008306BD"/>
    <w:rsid w:val="00831A80"/>
    <w:rsid w:val="00833743"/>
    <w:rsid w:val="008340A4"/>
    <w:rsid w:val="0087135F"/>
    <w:rsid w:val="00872D94"/>
    <w:rsid w:val="00880364"/>
    <w:rsid w:val="00891592"/>
    <w:rsid w:val="00891E9E"/>
    <w:rsid w:val="008A2F68"/>
    <w:rsid w:val="008B4FA6"/>
    <w:rsid w:val="008B5282"/>
    <w:rsid w:val="008B7C17"/>
    <w:rsid w:val="008C2D01"/>
    <w:rsid w:val="008C40E6"/>
    <w:rsid w:val="008D0F7A"/>
    <w:rsid w:val="008D68E4"/>
    <w:rsid w:val="008E0506"/>
    <w:rsid w:val="008E0CFF"/>
    <w:rsid w:val="008E5D6B"/>
    <w:rsid w:val="008E76F0"/>
    <w:rsid w:val="008F15FE"/>
    <w:rsid w:val="008F2D29"/>
    <w:rsid w:val="008F5187"/>
    <w:rsid w:val="008F60D8"/>
    <w:rsid w:val="00902727"/>
    <w:rsid w:val="0090312B"/>
    <w:rsid w:val="0091736D"/>
    <w:rsid w:val="0093037A"/>
    <w:rsid w:val="0094154D"/>
    <w:rsid w:val="0095155F"/>
    <w:rsid w:val="00954429"/>
    <w:rsid w:val="009563CE"/>
    <w:rsid w:val="00976328"/>
    <w:rsid w:val="0097680D"/>
    <w:rsid w:val="00982438"/>
    <w:rsid w:val="0098404C"/>
    <w:rsid w:val="00985283"/>
    <w:rsid w:val="00995992"/>
    <w:rsid w:val="009A03E5"/>
    <w:rsid w:val="009A0F3B"/>
    <w:rsid w:val="009A1BB4"/>
    <w:rsid w:val="009A2628"/>
    <w:rsid w:val="009A3200"/>
    <w:rsid w:val="009B0897"/>
    <w:rsid w:val="009B7BD9"/>
    <w:rsid w:val="009C7DD5"/>
    <w:rsid w:val="009E227D"/>
    <w:rsid w:val="009E5019"/>
    <w:rsid w:val="00A04F1B"/>
    <w:rsid w:val="00A0501B"/>
    <w:rsid w:val="00A14947"/>
    <w:rsid w:val="00A32A83"/>
    <w:rsid w:val="00A368DB"/>
    <w:rsid w:val="00A423AA"/>
    <w:rsid w:val="00A53EC6"/>
    <w:rsid w:val="00A55C0F"/>
    <w:rsid w:val="00A8713F"/>
    <w:rsid w:val="00A90BA1"/>
    <w:rsid w:val="00A97A9A"/>
    <w:rsid w:val="00AA0671"/>
    <w:rsid w:val="00AA2531"/>
    <w:rsid w:val="00AB1E09"/>
    <w:rsid w:val="00AB5330"/>
    <w:rsid w:val="00AB7747"/>
    <w:rsid w:val="00AC14CE"/>
    <w:rsid w:val="00AC2A56"/>
    <w:rsid w:val="00AD055E"/>
    <w:rsid w:val="00AD47A7"/>
    <w:rsid w:val="00AF0CBF"/>
    <w:rsid w:val="00AF257F"/>
    <w:rsid w:val="00AF33CF"/>
    <w:rsid w:val="00AF4D50"/>
    <w:rsid w:val="00AF6179"/>
    <w:rsid w:val="00B1295A"/>
    <w:rsid w:val="00B20A45"/>
    <w:rsid w:val="00B22C5C"/>
    <w:rsid w:val="00B24F30"/>
    <w:rsid w:val="00B31ABF"/>
    <w:rsid w:val="00B33BE3"/>
    <w:rsid w:val="00B53B5D"/>
    <w:rsid w:val="00B6055E"/>
    <w:rsid w:val="00B6317D"/>
    <w:rsid w:val="00B7723F"/>
    <w:rsid w:val="00B80534"/>
    <w:rsid w:val="00B8433C"/>
    <w:rsid w:val="00B87491"/>
    <w:rsid w:val="00BA29E9"/>
    <w:rsid w:val="00BA7142"/>
    <w:rsid w:val="00BB237C"/>
    <w:rsid w:val="00BB41A3"/>
    <w:rsid w:val="00BC32DC"/>
    <w:rsid w:val="00BC35B6"/>
    <w:rsid w:val="00BD1B51"/>
    <w:rsid w:val="00BD4596"/>
    <w:rsid w:val="00BE1405"/>
    <w:rsid w:val="00BE312D"/>
    <w:rsid w:val="00BF1C20"/>
    <w:rsid w:val="00C10578"/>
    <w:rsid w:val="00C135BC"/>
    <w:rsid w:val="00C15C95"/>
    <w:rsid w:val="00C2596A"/>
    <w:rsid w:val="00C27537"/>
    <w:rsid w:val="00C328FE"/>
    <w:rsid w:val="00C33507"/>
    <w:rsid w:val="00C4409D"/>
    <w:rsid w:val="00C44E72"/>
    <w:rsid w:val="00C45A06"/>
    <w:rsid w:val="00C47E5B"/>
    <w:rsid w:val="00C61E4B"/>
    <w:rsid w:val="00C64BFF"/>
    <w:rsid w:val="00C704E9"/>
    <w:rsid w:val="00C763C9"/>
    <w:rsid w:val="00C80057"/>
    <w:rsid w:val="00C82232"/>
    <w:rsid w:val="00C82913"/>
    <w:rsid w:val="00C972B1"/>
    <w:rsid w:val="00CA2CCE"/>
    <w:rsid w:val="00CA43FD"/>
    <w:rsid w:val="00CA7EF8"/>
    <w:rsid w:val="00CC489B"/>
    <w:rsid w:val="00CD2BCD"/>
    <w:rsid w:val="00CD3A4C"/>
    <w:rsid w:val="00CE10E9"/>
    <w:rsid w:val="00CE2910"/>
    <w:rsid w:val="00CE5393"/>
    <w:rsid w:val="00CF36BE"/>
    <w:rsid w:val="00CF6000"/>
    <w:rsid w:val="00D003F3"/>
    <w:rsid w:val="00D0364F"/>
    <w:rsid w:val="00D06834"/>
    <w:rsid w:val="00D308ED"/>
    <w:rsid w:val="00D36D86"/>
    <w:rsid w:val="00D428AA"/>
    <w:rsid w:val="00D50A34"/>
    <w:rsid w:val="00D53EFA"/>
    <w:rsid w:val="00D94A7C"/>
    <w:rsid w:val="00D95896"/>
    <w:rsid w:val="00DB2983"/>
    <w:rsid w:val="00DC1257"/>
    <w:rsid w:val="00DC3DC0"/>
    <w:rsid w:val="00DC5B2B"/>
    <w:rsid w:val="00DD318D"/>
    <w:rsid w:val="00DF2E12"/>
    <w:rsid w:val="00DF514A"/>
    <w:rsid w:val="00DF6690"/>
    <w:rsid w:val="00DF6804"/>
    <w:rsid w:val="00E0358D"/>
    <w:rsid w:val="00E04323"/>
    <w:rsid w:val="00E070A2"/>
    <w:rsid w:val="00E2656A"/>
    <w:rsid w:val="00E412D0"/>
    <w:rsid w:val="00E56322"/>
    <w:rsid w:val="00E60982"/>
    <w:rsid w:val="00E62C62"/>
    <w:rsid w:val="00E654C1"/>
    <w:rsid w:val="00E65D97"/>
    <w:rsid w:val="00E72A5A"/>
    <w:rsid w:val="00E73354"/>
    <w:rsid w:val="00E9242D"/>
    <w:rsid w:val="00EB5255"/>
    <w:rsid w:val="00EB5C47"/>
    <w:rsid w:val="00ED0639"/>
    <w:rsid w:val="00EF4755"/>
    <w:rsid w:val="00EF7135"/>
    <w:rsid w:val="00F027DB"/>
    <w:rsid w:val="00F14A7A"/>
    <w:rsid w:val="00F22985"/>
    <w:rsid w:val="00F3383E"/>
    <w:rsid w:val="00F465A7"/>
    <w:rsid w:val="00F50B7C"/>
    <w:rsid w:val="00F550E6"/>
    <w:rsid w:val="00F74345"/>
    <w:rsid w:val="00F80A0A"/>
    <w:rsid w:val="00F82B19"/>
    <w:rsid w:val="00F9212D"/>
    <w:rsid w:val="00F965DA"/>
    <w:rsid w:val="00FA406A"/>
    <w:rsid w:val="00FB503A"/>
    <w:rsid w:val="00FB516C"/>
    <w:rsid w:val="00FD0236"/>
    <w:rsid w:val="00FD18F4"/>
    <w:rsid w:val="00FD54DB"/>
    <w:rsid w:val="00FD619F"/>
    <w:rsid w:val="01290F7E"/>
    <w:rsid w:val="015D1E09"/>
    <w:rsid w:val="01A249C3"/>
    <w:rsid w:val="01DD3C4D"/>
    <w:rsid w:val="02697903"/>
    <w:rsid w:val="02F96569"/>
    <w:rsid w:val="03BE7AAE"/>
    <w:rsid w:val="03EA7B21"/>
    <w:rsid w:val="047F0FEB"/>
    <w:rsid w:val="04E23328"/>
    <w:rsid w:val="05485B7B"/>
    <w:rsid w:val="05F83EAE"/>
    <w:rsid w:val="05FB35B9"/>
    <w:rsid w:val="063E7D85"/>
    <w:rsid w:val="06BB0913"/>
    <w:rsid w:val="06C722C1"/>
    <w:rsid w:val="07293586"/>
    <w:rsid w:val="07295285"/>
    <w:rsid w:val="07636392"/>
    <w:rsid w:val="07770C56"/>
    <w:rsid w:val="079C6249"/>
    <w:rsid w:val="07BC36D4"/>
    <w:rsid w:val="07FE4738"/>
    <w:rsid w:val="08D87341"/>
    <w:rsid w:val="091D0DD3"/>
    <w:rsid w:val="092217DD"/>
    <w:rsid w:val="093A7294"/>
    <w:rsid w:val="09E75DAD"/>
    <w:rsid w:val="09F0715E"/>
    <w:rsid w:val="0A263993"/>
    <w:rsid w:val="0A2D3AC2"/>
    <w:rsid w:val="0A6F38B0"/>
    <w:rsid w:val="0A81421A"/>
    <w:rsid w:val="0AA755DF"/>
    <w:rsid w:val="0ABC5423"/>
    <w:rsid w:val="0B120D44"/>
    <w:rsid w:val="0BD27BF6"/>
    <w:rsid w:val="0C09009F"/>
    <w:rsid w:val="0C3B3C7D"/>
    <w:rsid w:val="0C5C32BC"/>
    <w:rsid w:val="0CAB2EAE"/>
    <w:rsid w:val="0CCF0636"/>
    <w:rsid w:val="0D621C7D"/>
    <w:rsid w:val="0E4A5A62"/>
    <w:rsid w:val="0E57246B"/>
    <w:rsid w:val="0E73034D"/>
    <w:rsid w:val="0F13775A"/>
    <w:rsid w:val="0F1B4006"/>
    <w:rsid w:val="0F5F45FE"/>
    <w:rsid w:val="0F9A112B"/>
    <w:rsid w:val="0FB3423F"/>
    <w:rsid w:val="0FC7704D"/>
    <w:rsid w:val="0FE91B7A"/>
    <w:rsid w:val="106D2F64"/>
    <w:rsid w:val="108A31F2"/>
    <w:rsid w:val="10B63710"/>
    <w:rsid w:val="10B93AD7"/>
    <w:rsid w:val="10F10820"/>
    <w:rsid w:val="111C2F7A"/>
    <w:rsid w:val="11665CA1"/>
    <w:rsid w:val="116E48C1"/>
    <w:rsid w:val="120174E4"/>
    <w:rsid w:val="12802254"/>
    <w:rsid w:val="13951726"/>
    <w:rsid w:val="141817CE"/>
    <w:rsid w:val="141F6347"/>
    <w:rsid w:val="14396509"/>
    <w:rsid w:val="148B5887"/>
    <w:rsid w:val="14952CF7"/>
    <w:rsid w:val="14DD2C3C"/>
    <w:rsid w:val="15180592"/>
    <w:rsid w:val="15C70A44"/>
    <w:rsid w:val="15E97DB9"/>
    <w:rsid w:val="16087E1D"/>
    <w:rsid w:val="175D7112"/>
    <w:rsid w:val="17701D14"/>
    <w:rsid w:val="17735226"/>
    <w:rsid w:val="178A7480"/>
    <w:rsid w:val="17CD4941"/>
    <w:rsid w:val="189F624C"/>
    <w:rsid w:val="1A197394"/>
    <w:rsid w:val="1A1C66C0"/>
    <w:rsid w:val="1A304E0A"/>
    <w:rsid w:val="1A42393B"/>
    <w:rsid w:val="1A945577"/>
    <w:rsid w:val="1AAD45DE"/>
    <w:rsid w:val="1B046F80"/>
    <w:rsid w:val="1B3267B5"/>
    <w:rsid w:val="1B40161D"/>
    <w:rsid w:val="1B441859"/>
    <w:rsid w:val="1B6606B1"/>
    <w:rsid w:val="1BCC7695"/>
    <w:rsid w:val="1C5E7925"/>
    <w:rsid w:val="1CFD070F"/>
    <w:rsid w:val="1D5F6196"/>
    <w:rsid w:val="1D6132A5"/>
    <w:rsid w:val="1D8E56D5"/>
    <w:rsid w:val="1E7A43DA"/>
    <w:rsid w:val="1F8774DA"/>
    <w:rsid w:val="1FE1347D"/>
    <w:rsid w:val="1FE7539E"/>
    <w:rsid w:val="20671BE0"/>
    <w:rsid w:val="20963CB8"/>
    <w:rsid w:val="20A81A1B"/>
    <w:rsid w:val="20AE1B47"/>
    <w:rsid w:val="20B07FB6"/>
    <w:rsid w:val="20B646FB"/>
    <w:rsid w:val="20B84EF0"/>
    <w:rsid w:val="20C27BBB"/>
    <w:rsid w:val="213B74B1"/>
    <w:rsid w:val="215A2310"/>
    <w:rsid w:val="21DE318A"/>
    <w:rsid w:val="21EF5B80"/>
    <w:rsid w:val="221A55CD"/>
    <w:rsid w:val="22576990"/>
    <w:rsid w:val="229F5E27"/>
    <w:rsid w:val="22F47480"/>
    <w:rsid w:val="236A4649"/>
    <w:rsid w:val="23DE1C48"/>
    <w:rsid w:val="240210CD"/>
    <w:rsid w:val="24BF09F7"/>
    <w:rsid w:val="252D53FE"/>
    <w:rsid w:val="25EC2D81"/>
    <w:rsid w:val="25F74973"/>
    <w:rsid w:val="26C04FF5"/>
    <w:rsid w:val="277057A2"/>
    <w:rsid w:val="28D57D5D"/>
    <w:rsid w:val="29206EB8"/>
    <w:rsid w:val="29595666"/>
    <w:rsid w:val="29874881"/>
    <w:rsid w:val="29E325E0"/>
    <w:rsid w:val="2A097F53"/>
    <w:rsid w:val="2A1561E4"/>
    <w:rsid w:val="2A452503"/>
    <w:rsid w:val="2A554419"/>
    <w:rsid w:val="2BA936A8"/>
    <w:rsid w:val="2C2D7F09"/>
    <w:rsid w:val="2C315A5A"/>
    <w:rsid w:val="2C4B1C25"/>
    <w:rsid w:val="2C766B45"/>
    <w:rsid w:val="2CBA0563"/>
    <w:rsid w:val="2D9E56F5"/>
    <w:rsid w:val="2DB63420"/>
    <w:rsid w:val="2DD02B28"/>
    <w:rsid w:val="2E667F96"/>
    <w:rsid w:val="2E700C2F"/>
    <w:rsid w:val="2E7D577C"/>
    <w:rsid w:val="2E8226AB"/>
    <w:rsid w:val="2EDE0F29"/>
    <w:rsid w:val="2F837A4C"/>
    <w:rsid w:val="2F9432ED"/>
    <w:rsid w:val="2FBF283D"/>
    <w:rsid w:val="2FD065E6"/>
    <w:rsid w:val="2FD96870"/>
    <w:rsid w:val="3035585F"/>
    <w:rsid w:val="30580BC9"/>
    <w:rsid w:val="311E2ED7"/>
    <w:rsid w:val="315619EE"/>
    <w:rsid w:val="315C449C"/>
    <w:rsid w:val="31B82709"/>
    <w:rsid w:val="31D05482"/>
    <w:rsid w:val="32400B34"/>
    <w:rsid w:val="32472899"/>
    <w:rsid w:val="329E6876"/>
    <w:rsid w:val="32A44717"/>
    <w:rsid w:val="333015F2"/>
    <w:rsid w:val="334B6320"/>
    <w:rsid w:val="33D934D4"/>
    <w:rsid w:val="33FE2F6A"/>
    <w:rsid w:val="340D2764"/>
    <w:rsid w:val="340E07E5"/>
    <w:rsid w:val="34235BF7"/>
    <w:rsid w:val="343B542D"/>
    <w:rsid w:val="356C2617"/>
    <w:rsid w:val="358C5FA8"/>
    <w:rsid w:val="35C15DF1"/>
    <w:rsid w:val="36074A7F"/>
    <w:rsid w:val="362F5B1E"/>
    <w:rsid w:val="36344DB2"/>
    <w:rsid w:val="364B2120"/>
    <w:rsid w:val="36913D9A"/>
    <w:rsid w:val="36923549"/>
    <w:rsid w:val="3699568D"/>
    <w:rsid w:val="36B75FBF"/>
    <w:rsid w:val="36BD0C45"/>
    <w:rsid w:val="36F6663C"/>
    <w:rsid w:val="37BF3CB2"/>
    <w:rsid w:val="37E00298"/>
    <w:rsid w:val="38517386"/>
    <w:rsid w:val="38B302F9"/>
    <w:rsid w:val="38BB0829"/>
    <w:rsid w:val="38C85737"/>
    <w:rsid w:val="38F12CD3"/>
    <w:rsid w:val="38F94775"/>
    <w:rsid w:val="392971ED"/>
    <w:rsid w:val="39325651"/>
    <w:rsid w:val="3A056ACA"/>
    <w:rsid w:val="3A872856"/>
    <w:rsid w:val="3B1D42F5"/>
    <w:rsid w:val="3B3763D1"/>
    <w:rsid w:val="3B872360"/>
    <w:rsid w:val="3BAC19BF"/>
    <w:rsid w:val="3C127C02"/>
    <w:rsid w:val="3C2F6E1E"/>
    <w:rsid w:val="3C4F64BA"/>
    <w:rsid w:val="3C8215A8"/>
    <w:rsid w:val="3CDA245A"/>
    <w:rsid w:val="3CF17FD1"/>
    <w:rsid w:val="3D1E06B7"/>
    <w:rsid w:val="3D375BF2"/>
    <w:rsid w:val="3D5A0F8B"/>
    <w:rsid w:val="3DF21B38"/>
    <w:rsid w:val="3EB27577"/>
    <w:rsid w:val="3EDA0523"/>
    <w:rsid w:val="3F122481"/>
    <w:rsid w:val="407A6407"/>
    <w:rsid w:val="41EF2605"/>
    <w:rsid w:val="4200449D"/>
    <w:rsid w:val="420060D0"/>
    <w:rsid w:val="423A3BCC"/>
    <w:rsid w:val="424E57D2"/>
    <w:rsid w:val="42B26C49"/>
    <w:rsid w:val="42CB4DCE"/>
    <w:rsid w:val="42FC2D82"/>
    <w:rsid w:val="433A6FE6"/>
    <w:rsid w:val="43480868"/>
    <w:rsid w:val="43505326"/>
    <w:rsid w:val="4350713C"/>
    <w:rsid w:val="436653E0"/>
    <w:rsid w:val="43C4431A"/>
    <w:rsid w:val="441137B8"/>
    <w:rsid w:val="44693C3A"/>
    <w:rsid w:val="447B4624"/>
    <w:rsid w:val="44B951CC"/>
    <w:rsid w:val="44C46F12"/>
    <w:rsid w:val="44CD14E0"/>
    <w:rsid w:val="44F20B0B"/>
    <w:rsid w:val="452E5F4C"/>
    <w:rsid w:val="45612018"/>
    <w:rsid w:val="458946E9"/>
    <w:rsid w:val="458E5BBD"/>
    <w:rsid w:val="45A47C0E"/>
    <w:rsid w:val="46577FD6"/>
    <w:rsid w:val="46A0303A"/>
    <w:rsid w:val="46D955A7"/>
    <w:rsid w:val="46E46852"/>
    <w:rsid w:val="47133957"/>
    <w:rsid w:val="47A07E0C"/>
    <w:rsid w:val="47B6609F"/>
    <w:rsid w:val="4824463D"/>
    <w:rsid w:val="4870272E"/>
    <w:rsid w:val="487D7A79"/>
    <w:rsid w:val="48955535"/>
    <w:rsid w:val="48BF66E6"/>
    <w:rsid w:val="49144199"/>
    <w:rsid w:val="49870E8A"/>
    <w:rsid w:val="49C6719A"/>
    <w:rsid w:val="49D53501"/>
    <w:rsid w:val="49DC7715"/>
    <w:rsid w:val="4A023139"/>
    <w:rsid w:val="4A7B576F"/>
    <w:rsid w:val="4AF561A9"/>
    <w:rsid w:val="4B030B71"/>
    <w:rsid w:val="4B9F2CBD"/>
    <w:rsid w:val="4BB219FC"/>
    <w:rsid w:val="4C045A1E"/>
    <w:rsid w:val="4C394A12"/>
    <w:rsid w:val="4C4A0649"/>
    <w:rsid w:val="4C63297A"/>
    <w:rsid w:val="4C7E5ECA"/>
    <w:rsid w:val="4C876AA5"/>
    <w:rsid w:val="4CB75F07"/>
    <w:rsid w:val="4D0E00FB"/>
    <w:rsid w:val="4D176606"/>
    <w:rsid w:val="4DB90B76"/>
    <w:rsid w:val="4DDC25D7"/>
    <w:rsid w:val="4DEC4FB0"/>
    <w:rsid w:val="4E075D8A"/>
    <w:rsid w:val="4E404208"/>
    <w:rsid w:val="4EB66F0E"/>
    <w:rsid w:val="4EC00FAD"/>
    <w:rsid w:val="4F4A13B0"/>
    <w:rsid w:val="4F9843DC"/>
    <w:rsid w:val="4FC62A8C"/>
    <w:rsid w:val="4FE20F0D"/>
    <w:rsid w:val="4FE41A35"/>
    <w:rsid w:val="4FE51552"/>
    <w:rsid w:val="50325D21"/>
    <w:rsid w:val="50504C4B"/>
    <w:rsid w:val="509C6E7C"/>
    <w:rsid w:val="50D740F5"/>
    <w:rsid w:val="5162104E"/>
    <w:rsid w:val="51BA678C"/>
    <w:rsid w:val="52F61A46"/>
    <w:rsid w:val="52F91536"/>
    <w:rsid w:val="53206AC2"/>
    <w:rsid w:val="53A039CC"/>
    <w:rsid w:val="53A1505A"/>
    <w:rsid w:val="53A45945"/>
    <w:rsid w:val="53EC16AB"/>
    <w:rsid w:val="54063E08"/>
    <w:rsid w:val="543437E8"/>
    <w:rsid w:val="54DF6509"/>
    <w:rsid w:val="54F73313"/>
    <w:rsid w:val="54F80955"/>
    <w:rsid w:val="555170A7"/>
    <w:rsid w:val="55797008"/>
    <w:rsid w:val="5587536D"/>
    <w:rsid w:val="559B174B"/>
    <w:rsid w:val="55CE0CF4"/>
    <w:rsid w:val="56290384"/>
    <w:rsid w:val="56375DED"/>
    <w:rsid w:val="56492D8C"/>
    <w:rsid w:val="56B22A9C"/>
    <w:rsid w:val="570D735E"/>
    <w:rsid w:val="57A63A7D"/>
    <w:rsid w:val="57B72A76"/>
    <w:rsid w:val="57C3426C"/>
    <w:rsid w:val="57CE1F93"/>
    <w:rsid w:val="588743D1"/>
    <w:rsid w:val="5887701A"/>
    <w:rsid w:val="58A8162D"/>
    <w:rsid w:val="5951674F"/>
    <w:rsid w:val="597E04A2"/>
    <w:rsid w:val="599E7105"/>
    <w:rsid w:val="59C0439F"/>
    <w:rsid w:val="59E720E8"/>
    <w:rsid w:val="5ABE2233"/>
    <w:rsid w:val="5AFE72EF"/>
    <w:rsid w:val="5B7A53F5"/>
    <w:rsid w:val="5BDF5D95"/>
    <w:rsid w:val="5BFE7528"/>
    <w:rsid w:val="5C090A3C"/>
    <w:rsid w:val="5C8E3077"/>
    <w:rsid w:val="5D8C2B4C"/>
    <w:rsid w:val="5E2467F1"/>
    <w:rsid w:val="5F1A2B43"/>
    <w:rsid w:val="5FB837BB"/>
    <w:rsid w:val="5FC159C7"/>
    <w:rsid w:val="60CC405A"/>
    <w:rsid w:val="6109503A"/>
    <w:rsid w:val="61E215D8"/>
    <w:rsid w:val="61E433B1"/>
    <w:rsid w:val="621B3775"/>
    <w:rsid w:val="62364782"/>
    <w:rsid w:val="623D6E87"/>
    <w:rsid w:val="62E230C3"/>
    <w:rsid w:val="63367C3C"/>
    <w:rsid w:val="6394356A"/>
    <w:rsid w:val="63C61B2C"/>
    <w:rsid w:val="63D40BE9"/>
    <w:rsid w:val="64102431"/>
    <w:rsid w:val="645962D8"/>
    <w:rsid w:val="64A5243A"/>
    <w:rsid w:val="64C12D70"/>
    <w:rsid w:val="64F531DE"/>
    <w:rsid w:val="65373578"/>
    <w:rsid w:val="66707909"/>
    <w:rsid w:val="671F124A"/>
    <w:rsid w:val="677A33C6"/>
    <w:rsid w:val="67BA2652"/>
    <w:rsid w:val="681F6961"/>
    <w:rsid w:val="68610A2F"/>
    <w:rsid w:val="68805514"/>
    <w:rsid w:val="68D65F71"/>
    <w:rsid w:val="69316E2F"/>
    <w:rsid w:val="694E2071"/>
    <w:rsid w:val="69766163"/>
    <w:rsid w:val="697A3B33"/>
    <w:rsid w:val="69D44760"/>
    <w:rsid w:val="69DD5D78"/>
    <w:rsid w:val="6A520EC7"/>
    <w:rsid w:val="6AF87E20"/>
    <w:rsid w:val="6B322639"/>
    <w:rsid w:val="6BF95CAB"/>
    <w:rsid w:val="6C636C38"/>
    <w:rsid w:val="6C9B79FA"/>
    <w:rsid w:val="6D5667D5"/>
    <w:rsid w:val="6D5C2BAF"/>
    <w:rsid w:val="6DB34098"/>
    <w:rsid w:val="6DB545B6"/>
    <w:rsid w:val="6DE02FB4"/>
    <w:rsid w:val="6E4462C3"/>
    <w:rsid w:val="6E514CED"/>
    <w:rsid w:val="6EB26D11"/>
    <w:rsid w:val="6EB563D5"/>
    <w:rsid w:val="6ED92677"/>
    <w:rsid w:val="6F225983"/>
    <w:rsid w:val="6F995718"/>
    <w:rsid w:val="6FFC5590"/>
    <w:rsid w:val="706D1DD0"/>
    <w:rsid w:val="70856B87"/>
    <w:rsid w:val="70D527EE"/>
    <w:rsid w:val="713E1B6C"/>
    <w:rsid w:val="715B5300"/>
    <w:rsid w:val="71D27F8A"/>
    <w:rsid w:val="72553024"/>
    <w:rsid w:val="729F3378"/>
    <w:rsid w:val="72A02B79"/>
    <w:rsid w:val="72FF4856"/>
    <w:rsid w:val="73122968"/>
    <w:rsid w:val="731F5D5E"/>
    <w:rsid w:val="73223D39"/>
    <w:rsid w:val="73C51AD5"/>
    <w:rsid w:val="740022CC"/>
    <w:rsid w:val="741E793C"/>
    <w:rsid w:val="745E3944"/>
    <w:rsid w:val="74F02CA9"/>
    <w:rsid w:val="753909E8"/>
    <w:rsid w:val="756C2C03"/>
    <w:rsid w:val="75B74C0D"/>
    <w:rsid w:val="75D57A5B"/>
    <w:rsid w:val="76200A04"/>
    <w:rsid w:val="7635099D"/>
    <w:rsid w:val="76402E54"/>
    <w:rsid w:val="77762421"/>
    <w:rsid w:val="77B56B1F"/>
    <w:rsid w:val="780F09F4"/>
    <w:rsid w:val="78313BF4"/>
    <w:rsid w:val="78A90480"/>
    <w:rsid w:val="790A1A19"/>
    <w:rsid w:val="7A1642FF"/>
    <w:rsid w:val="7A364017"/>
    <w:rsid w:val="7A8265E1"/>
    <w:rsid w:val="7ABD0126"/>
    <w:rsid w:val="7ABF729A"/>
    <w:rsid w:val="7B686D42"/>
    <w:rsid w:val="7B841746"/>
    <w:rsid w:val="7B9B0B2D"/>
    <w:rsid w:val="7BAE6AB2"/>
    <w:rsid w:val="7C036657"/>
    <w:rsid w:val="7C3B5358"/>
    <w:rsid w:val="7C67427B"/>
    <w:rsid w:val="7C6C5AC7"/>
    <w:rsid w:val="7C851D06"/>
    <w:rsid w:val="7C8C202C"/>
    <w:rsid w:val="7CC6544B"/>
    <w:rsid w:val="7CF91FAF"/>
    <w:rsid w:val="7D0239FF"/>
    <w:rsid w:val="7D11228E"/>
    <w:rsid w:val="7D5E40CD"/>
    <w:rsid w:val="7DC15B2F"/>
    <w:rsid w:val="7DCD56F2"/>
    <w:rsid w:val="7E555885"/>
    <w:rsid w:val="7F001CE7"/>
    <w:rsid w:val="7F466F7C"/>
    <w:rsid w:val="7FBC3520"/>
    <w:rsid w:val="7FE47E50"/>
    <w:rsid w:val="7FF151B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semiHidden="0" w:name="heading 2" w:locked="1"/>
    <w:lsdException w:qFormat="1" w:uiPriority="0" w:semiHidden="0" w:name="heading 3" w:locked="1"/>
    <w:lsdException w:qFormat="1" w:uiPriority="9"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0" w:semiHidden="0" w:name="toc 1" w:locked="1"/>
    <w:lsdException w:qFormat="1" w:unhideWhenUsed="0" w:uiPriority="0" w:semiHidden="0" w:name="toc 2" w:locked="1"/>
    <w:lsdException w:qFormat="1"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ocked="1"/>
    <w:lsdException w:unhideWhenUsed="0" w:uiPriority="0" w:semiHidden="0" w:name="footnote text" w:locked="1"/>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unhideWhenUsed="0" w:uiPriority="0" w:semiHidden="0" w:name="annotation reference"/>
    <w:lsdException w:unhideWhenUsed="0" w:uiPriority="0" w:semiHidden="0" w:name="line number" w:locked="1"/>
    <w:lsdException w:unhideWhenUsed="0" w:uiPriority="0" w:semiHidden="0" w:name="page number"/>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unhideWhenUsed="0" w:uiPriority="0" w:semiHidden="0" w:name="Date"/>
    <w:lsdException w:unhideWhenUsed="0" w:uiPriority="0" w:semiHidden="0" w:name="Body Text First Indent"/>
    <w:lsdException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unhideWhenUsed="0" w:uiPriority="0" w:semiHidden="0" w:name="Plain Text" w:locked="1"/>
    <w:lsdException w:unhideWhenUsed="0" w:uiPriority="0" w:semiHidden="0" w:name="E-mail Signature" w:locked="1"/>
    <w:lsdException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unhideWhenUsed="0" w:uiPriority="0" w:semiHidden="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nhideWhenUsed="0" w:uiPriority="0" w:semiHidden="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napToGrid w:val="0"/>
      <w:spacing w:line="360" w:lineRule="auto"/>
      <w:ind w:firstLine="72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3"/>
    <w:next w:val="1"/>
    <w:link w:val="15"/>
    <w:autoRedefine/>
    <w:qFormat/>
    <w:locked/>
    <w:uiPriority w:val="99"/>
    <w:pPr>
      <w:keepNext/>
      <w:overflowPunct w:val="0"/>
      <w:adjustRightInd w:val="0"/>
      <w:snapToGrid w:val="0"/>
      <w:spacing w:beforeAutospacing="0" w:afterAutospacing="0" w:line="360" w:lineRule="auto"/>
      <w:ind w:left="0" w:firstLine="0" w:firstLineChars="0"/>
      <w:outlineLvl w:val="0"/>
    </w:pPr>
    <w:rPr>
      <w:rFonts w:ascii="Times New Roman" w:hAnsi="Times New Roman"/>
      <w:bCs/>
      <w:color w:val="000000"/>
      <w:kern w:val="44"/>
      <w:sz w:val="30"/>
      <w:szCs w:val="30"/>
    </w:rPr>
  </w:style>
  <w:style w:type="paragraph" w:styleId="4">
    <w:name w:val="heading 2"/>
    <w:basedOn w:val="2"/>
    <w:next w:val="1"/>
    <w:autoRedefine/>
    <w:unhideWhenUsed/>
    <w:qFormat/>
    <w:locked/>
    <w:uiPriority w:val="0"/>
    <w:pPr>
      <w:keepNext/>
      <w:keepLines/>
      <w:spacing w:beforeLines="0" w:beforeAutospacing="0" w:afterLines="0" w:afterAutospacing="0" w:line="360" w:lineRule="auto"/>
      <w:jc w:val="left"/>
      <w:outlineLvl w:val="1"/>
    </w:pPr>
    <w:rPr>
      <w:rFonts w:ascii="Times New Roman" w:hAnsi="Times New Roman" w:eastAsia="宋体"/>
      <w:sz w:val="28"/>
      <w:szCs w:val="28"/>
    </w:rPr>
  </w:style>
  <w:style w:type="paragraph" w:styleId="5">
    <w:name w:val="heading 3"/>
    <w:basedOn w:val="1"/>
    <w:next w:val="1"/>
    <w:autoRedefine/>
    <w:unhideWhenUsed/>
    <w:qFormat/>
    <w:locked/>
    <w:uiPriority w:val="0"/>
    <w:pPr>
      <w:keepNext/>
      <w:keepLines/>
      <w:adjustRightInd w:val="0"/>
      <w:snapToGrid w:val="0"/>
      <w:spacing w:beforeLines="0" w:beforeAutospacing="0" w:afterLines="0" w:afterAutospacing="0" w:line="360" w:lineRule="auto"/>
      <w:ind w:firstLine="0" w:firstLineChars="0"/>
      <w:outlineLvl w:val="2"/>
    </w:pPr>
    <w:rPr>
      <w:b/>
      <w:bCs/>
    </w:rPr>
  </w:style>
  <w:style w:type="paragraph" w:styleId="6">
    <w:name w:val="heading 4"/>
    <w:basedOn w:val="1"/>
    <w:next w:val="1"/>
    <w:autoRedefine/>
    <w:unhideWhenUsed/>
    <w:qFormat/>
    <w:locked/>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3">
    <w:name w:val="Title"/>
    <w:basedOn w:val="1"/>
    <w:autoRedefine/>
    <w:qFormat/>
    <w:locked/>
    <w:uiPriority w:val="0"/>
    <w:pPr>
      <w:spacing w:beforeLines="0" w:beforeAutospacing="0" w:afterLines="0" w:afterAutospacing="0"/>
      <w:jc w:val="center"/>
      <w:outlineLvl w:val="0"/>
    </w:pPr>
    <w:rPr>
      <w:rFonts w:ascii="Arial" w:hAnsi="Arial"/>
      <w:b/>
      <w:sz w:val="32"/>
    </w:rPr>
  </w:style>
  <w:style w:type="paragraph" w:styleId="7">
    <w:name w:val="toc 3"/>
    <w:basedOn w:val="1"/>
    <w:next w:val="1"/>
    <w:autoRedefine/>
    <w:qFormat/>
    <w:locked/>
    <w:uiPriority w:val="0"/>
    <w:pPr>
      <w:ind w:left="840" w:leftChars="400"/>
    </w:p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autoRedefine/>
    <w:qFormat/>
    <w:locked/>
    <w:uiPriority w:val="0"/>
  </w:style>
  <w:style w:type="paragraph" w:styleId="11">
    <w:name w:val="toc 2"/>
    <w:basedOn w:val="1"/>
    <w:next w:val="1"/>
    <w:autoRedefine/>
    <w:qFormat/>
    <w:locked/>
    <w:uiPriority w:val="0"/>
    <w:pPr>
      <w:ind w:left="420" w:leftChars="200"/>
    </w:pPr>
  </w:style>
  <w:style w:type="table" w:styleId="13">
    <w:name w:val="Table Grid"/>
    <w:basedOn w:val="12"/>
    <w:autoRedefine/>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标题 1 Char"/>
    <w:link w:val="2"/>
    <w:autoRedefine/>
    <w:qFormat/>
    <w:uiPriority w:val="99"/>
    <w:rPr>
      <w:rFonts w:ascii="Times New Roman" w:hAnsi="Times New Roman" w:eastAsia="宋体"/>
      <w:b/>
      <w:bCs/>
      <w:color w:val="000000"/>
      <w:kern w:val="44"/>
      <w:sz w:val="30"/>
      <w:szCs w:val="30"/>
    </w:rPr>
  </w:style>
  <w:style w:type="character" w:customStyle="1" w:styleId="16">
    <w:name w:val="表格 Char"/>
    <w:link w:val="17"/>
    <w:autoRedefine/>
    <w:qFormat/>
    <w:locked/>
    <w:uiPriority w:val="0"/>
    <w:rPr>
      <w:rFonts w:ascii="Times New Roman" w:hAnsi="Times New Roman" w:eastAsia="宋体"/>
      <w:sz w:val="21"/>
      <w:szCs w:val="21"/>
    </w:rPr>
  </w:style>
  <w:style w:type="paragraph" w:customStyle="1" w:styleId="17">
    <w:name w:val="表格"/>
    <w:basedOn w:val="1"/>
    <w:link w:val="16"/>
    <w:autoRedefine/>
    <w:qFormat/>
    <w:uiPriority w:val="0"/>
    <w:pPr>
      <w:adjustRightInd w:val="0"/>
      <w:snapToGrid w:val="0"/>
      <w:spacing w:line="240" w:lineRule="auto"/>
      <w:ind w:firstLine="0" w:firstLineChars="0"/>
      <w:jc w:val="center"/>
    </w:pPr>
    <w:rPr>
      <w:kern w:val="0"/>
      <w:sz w:val="21"/>
      <w:szCs w:val="21"/>
    </w:rPr>
  </w:style>
  <w:style w:type="paragraph" w:customStyle="1" w:styleId="18">
    <w:name w:val="表头"/>
    <w:basedOn w:val="17"/>
    <w:next w:val="17"/>
    <w:autoRedefine/>
    <w:qFormat/>
    <w:uiPriority w:val="0"/>
    <w:pPr>
      <w:spacing w:line="240" w:lineRule="auto"/>
      <w:ind w:firstLine="0"/>
    </w:pPr>
    <w:rPr>
      <w:b/>
      <w:bCs/>
    </w:rPr>
  </w:style>
  <w:style w:type="paragraph" w:customStyle="1" w:styleId="19">
    <w:name w:val="附图附表"/>
    <w:basedOn w:val="2"/>
    <w:next w:val="17"/>
    <w:autoRedefine/>
    <w:qFormat/>
    <w:uiPriority w:val="0"/>
    <w:pPr>
      <w:spacing w:line="360" w:lineRule="auto"/>
      <w:jc w:val="left"/>
    </w:pPr>
    <w:rPr>
      <w:rFonts w:hint="eastAsia"/>
      <w:snapToGrid w:val="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7" Type="http://schemas.openxmlformats.org/officeDocument/2006/relationships/fontTable" Target="fontTable.xml"/><Relationship Id="rId56" Type="http://schemas.openxmlformats.org/officeDocument/2006/relationships/customXml" Target="../customXml/item1.xml"/><Relationship Id="rId55" Type="http://schemas.openxmlformats.org/officeDocument/2006/relationships/image" Target="media/image23.wmf"/><Relationship Id="rId54" Type="http://schemas.openxmlformats.org/officeDocument/2006/relationships/oleObject" Target="embeddings/oleObject24.bin"/><Relationship Id="rId53" Type="http://schemas.openxmlformats.org/officeDocument/2006/relationships/image" Target="media/image22.wmf"/><Relationship Id="rId52" Type="http://schemas.openxmlformats.org/officeDocument/2006/relationships/oleObject" Target="embeddings/oleObject23.bin"/><Relationship Id="rId51" Type="http://schemas.openxmlformats.org/officeDocument/2006/relationships/image" Target="media/image21.wmf"/><Relationship Id="rId50" Type="http://schemas.openxmlformats.org/officeDocument/2006/relationships/oleObject" Target="embeddings/oleObject22.bin"/><Relationship Id="rId5" Type="http://schemas.openxmlformats.org/officeDocument/2006/relationships/footer" Target="footer1.xml"/><Relationship Id="rId49" Type="http://schemas.openxmlformats.org/officeDocument/2006/relationships/image" Target="media/image20.wmf"/><Relationship Id="rId48" Type="http://schemas.openxmlformats.org/officeDocument/2006/relationships/oleObject" Target="embeddings/oleObject21.bin"/><Relationship Id="rId47" Type="http://schemas.openxmlformats.org/officeDocument/2006/relationships/image" Target="media/image19.wmf"/><Relationship Id="rId46" Type="http://schemas.openxmlformats.org/officeDocument/2006/relationships/oleObject" Target="embeddings/oleObject20.bin"/><Relationship Id="rId45" Type="http://schemas.openxmlformats.org/officeDocument/2006/relationships/image" Target="media/image18.wmf"/><Relationship Id="rId44" Type="http://schemas.openxmlformats.org/officeDocument/2006/relationships/oleObject" Target="embeddings/oleObject19.bin"/><Relationship Id="rId43" Type="http://schemas.openxmlformats.org/officeDocument/2006/relationships/oleObject" Target="embeddings/oleObject18.bin"/><Relationship Id="rId42" Type="http://schemas.openxmlformats.org/officeDocument/2006/relationships/oleObject" Target="embeddings/oleObject17.bin"/><Relationship Id="rId41" Type="http://schemas.openxmlformats.org/officeDocument/2006/relationships/oleObject" Target="embeddings/oleObject16.bin"/><Relationship Id="rId40" Type="http://schemas.openxmlformats.org/officeDocument/2006/relationships/image" Target="media/image17.wmf"/><Relationship Id="rId4" Type="http://schemas.openxmlformats.org/officeDocument/2006/relationships/endnotes" Target="endnotes.xml"/><Relationship Id="rId39" Type="http://schemas.openxmlformats.org/officeDocument/2006/relationships/oleObject" Target="embeddings/oleObject15.bin"/><Relationship Id="rId38" Type="http://schemas.openxmlformats.org/officeDocument/2006/relationships/image" Target="media/image16.wmf"/><Relationship Id="rId37" Type="http://schemas.openxmlformats.org/officeDocument/2006/relationships/oleObject" Target="embeddings/oleObject14.bin"/><Relationship Id="rId36" Type="http://schemas.openxmlformats.org/officeDocument/2006/relationships/image" Target="media/image15.emf"/><Relationship Id="rId35" Type="http://schemas.openxmlformats.org/officeDocument/2006/relationships/oleObject" Target="embeddings/oleObject13.bin"/><Relationship Id="rId34" Type="http://schemas.openxmlformats.org/officeDocument/2006/relationships/image" Target="media/image14.png"/><Relationship Id="rId33" Type="http://schemas.openxmlformats.org/officeDocument/2006/relationships/image" Target="media/image13.png"/><Relationship Id="rId32" Type="http://schemas.openxmlformats.org/officeDocument/2006/relationships/image" Target="media/image12.wmf"/><Relationship Id="rId31" Type="http://schemas.openxmlformats.org/officeDocument/2006/relationships/oleObject" Target="embeddings/oleObject12.bin"/><Relationship Id="rId30" Type="http://schemas.openxmlformats.org/officeDocument/2006/relationships/image" Target="media/image11.wmf"/><Relationship Id="rId3" Type="http://schemas.openxmlformats.org/officeDocument/2006/relationships/footnotes" Target="footnotes.xml"/><Relationship Id="rId29" Type="http://schemas.openxmlformats.org/officeDocument/2006/relationships/oleObject" Target="embeddings/oleObject11.bin"/><Relationship Id="rId28" Type="http://schemas.openxmlformats.org/officeDocument/2006/relationships/image" Target="media/image10.wmf"/><Relationship Id="rId27" Type="http://schemas.openxmlformats.org/officeDocument/2006/relationships/oleObject" Target="embeddings/oleObject10.bin"/><Relationship Id="rId26" Type="http://schemas.openxmlformats.org/officeDocument/2006/relationships/image" Target="media/image9.emf"/><Relationship Id="rId25" Type="http://schemas.openxmlformats.org/officeDocument/2006/relationships/oleObject" Target="embeddings/oleObject9.bin"/><Relationship Id="rId24" Type="http://schemas.openxmlformats.org/officeDocument/2006/relationships/image" Target="media/image8.emf"/><Relationship Id="rId23" Type="http://schemas.openxmlformats.org/officeDocument/2006/relationships/oleObject" Target="embeddings/oleObject8.bin"/><Relationship Id="rId22" Type="http://schemas.openxmlformats.org/officeDocument/2006/relationships/image" Target="media/image7.emf"/><Relationship Id="rId21" Type="http://schemas.openxmlformats.org/officeDocument/2006/relationships/oleObject" Target="embeddings/oleObject7.bin"/><Relationship Id="rId20" Type="http://schemas.openxmlformats.org/officeDocument/2006/relationships/image" Target="media/image6.e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5.emf"/><Relationship Id="rId17" Type="http://schemas.openxmlformats.org/officeDocument/2006/relationships/oleObject" Target="embeddings/oleObject5.bin"/><Relationship Id="rId16" Type="http://schemas.openxmlformats.org/officeDocument/2006/relationships/image" Target="media/image4.emf"/><Relationship Id="rId15" Type="http://schemas.openxmlformats.org/officeDocument/2006/relationships/oleObject" Target="embeddings/oleObject4.bin"/><Relationship Id="rId14" Type="http://schemas.openxmlformats.org/officeDocument/2006/relationships/image" Target="media/image3.emf"/><Relationship Id="rId13" Type="http://schemas.openxmlformats.org/officeDocument/2006/relationships/oleObject" Target="embeddings/oleObject3.bin"/><Relationship Id="rId12" Type="http://schemas.openxmlformats.org/officeDocument/2006/relationships/image" Target="media/image2.wmf"/><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85</Pages>
  <Words>8896</Words>
  <Characters>9281</Characters>
  <Lines>13</Lines>
  <Paragraphs>3</Paragraphs>
  <TotalTime>1</TotalTime>
  <ScaleCrop>false</ScaleCrop>
  <LinksUpToDate>false</LinksUpToDate>
  <CharactersWithSpaces>9412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邓婷</cp:lastModifiedBy>
  <cp:lastPrinted>2020-12-29T02:43:00Z</cp:lastPrinted>
  <dcterms:modified xsi:type="dcterms:W3CDTF">2024-12-13T03:01:10Z</dcterms:modified>
  <dc:title>附件2</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E28243E35D2440929F34B08FE45DFA46_13</vt:lpwstr>
  </property>
</Properties>
</file>