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Spec="center" w:tblpY="1428"/>
        <w:tblOverlap w:val="never"/>
        <w:tblW w:w="104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879"/>
        <w:gridCol w:w="588"/>
        <w:gridCol w:w="481"/>
        <w:gridCol w:w="1295"/>
        <w:gridCol w:w="336"/>
        <w:gridCol w:w="1356"/>
        <w:gridCol w:w="504"/>
        <w:gridCol w:w="300"/>
        <w:gridCol w:w="1152"/>
        <w:gridCol w:w="420"/>
        <w:gridCol w:w="8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10478" w:type="dxa"/>
            <w:gridSpan w:val="13"/>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649" w:type="dxa"/>
            <w:gridSpan w:val="1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5"/>
                <w:rFonts w:eastAsia="仿宋_GB2312"/>
                <w:sz w:val="24"/>
                <w:szCs w:val="24"/>
                <w:lang w:val="en-US" w:eastAsia="zh-CN" w:bidi="ar"/>
              </w:rPr>
              <w:t>)</w:t>
            </w:r>
          </w:p>
        </w:tc>
        <w:tc>
          <w:tcPr>
            <w:tcW w:w="82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921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imes New Roman" w:hAnsi="Times New Roman" w:eastAsia="宋体" w:cs="Times New Roman"/>
                <w:i w:val="0"/>
                <w:iCs w:val="0"/>
                <w:color w:val="000000"/>
                <w:sz w:val="20"/>
                <w:szCs w:val="20"/>
                <w:u w:val="none"/>
                <w:lang w:eastAsia="zh-CN"/>
              </w:rPr>
            </w:pPr>
            <w:r>
              <w:rPr>
                <w:rFonts w:hint="default" w:ascii="Times New Roman" w:hAnsi="Times New Roman" w:eastAsia="宋体" w:cs="Times New Roman"/>
                <w:i w:val="0"/>
                <w:iCs w:val="0"/>
                <w:color w:val="000000"/>
                <w:sz w:val="20"/>
                <w:szCs w:val="20"/>
                <w:u w:val="none"/>
              </w:rPr>
              <w:t>蒸湘</w:t>
            </w:r>
            <w:r>
              <w:rPr>
                <w:rFonts w:hint="eastAsia" w:cs="Times New Roman"/>
                <w:i w:val="0"/>
                <w:iCs w:val="0"/>
                <w:color w:val="000000"/>
                <w:sz w:val="20"/>
                <w:szCs w:val="20"/>
                <w:u w:val="none"/>
                <w:lang w:eastAsia="zh-CN"/>
              </w:rPr>
              <w:t>区人民代表大会常务委员会办公室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7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4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986.24</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986.24</w:t>
            </w:r>
          </w:p>
        </w:tc>
        <w:tc>
          <w:tcPr>
            <w:tcW w:w="10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824.24</w:t>
            </w: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7" w:hRule="atLeast"/>
          <w:jc w:val="center"/>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921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1.负责区人民代表大会会议、区人大常委会会议、区人大常委会主任会议和以区人大常委会名义召开的其他会议的准备工作及会议期间的有关服务工作。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2.负责党的方针政策、国家法律法规、省本级地方性法规、重大工作部署和领导重要批示贯彻落实情况的督促检查。</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3.负责区人大常委会主要领导同志的文稿服务工作和区人大常委会领导同志重要公务活动的组织安排。</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4.负责人民代表大会制度、地方人大工作的理论研究工作。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5.负责区人大常委会机关有关执法检查、视察调研等重大活动的具体组织工作。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6.对涉及全区人大工作的重大问题进行调查研究，提出调查研究报告，为区人大常委</w:t>
            </w:r>
            <w:bookmarkStart w:id="0" w:name="_GoBack"/>
            <w:bookmarkEnd w:id="0"/>
            <w:r>
              <w:rPr>
                <w:rFonts w:hint="eastAsia" w:ascii="宋体" w:hAnsi="宋体" w:eastAsia="宋体" w:cs="宋体"/>
                <w:color w:val="000000"/>
                <w:kern w:val="2"/>
                <w:sz w:val="18"/>
                <w:szCs w:val="18"/>
                <w:lang w:val="en-US" w:eastAsia="zh-CN"/>
              </w:rPr>
              <w:t>会领导决策提供参谋服务。</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7.会同有关部门做好上级</w:t>
            </w:r>
            <w:r>
              <w:rPr>
                <w:rFonts w:hint="eastAsia" w:ascii="宋体" w:hAnsi="宋体" w:cs="宋体"/>
                <w:color w:val="000000"/>
                <w:kern w:val="2"/>
                <w:sz w:val="18"/>
                <w:szCs w:val="18"/>
                <w:lang w:val="en-US" w:eastAsia="zh-CN"/>
              </w:rPr>
              <w:t>人大常委会领导</w:t>
            </w:r>
            <w:r>
              <w:rPr>
                <w:rFonts w:hint="eastAsia" w:ascii="宋体" w:hAnsi="宋体" w:eastAsia="宋体" w:cs="宋体"/>
                <w:color w:val="000000"/>
                <w:kern w:val="2"/>
                <w:sz w:val="18"/>
                <w:szCs w:val="18"/>
                <w:lang w:val="en-US" w:eastAsia="zh-CN"/>
              </w:rPr>
              <w:t>和外地县区</w:t>
            </w:r>
            <w:r>
              <w:rPr>
                <w:rFonts w:hint="eastAsia" w:ascii="宋体" w:hAnsi="宋体" w:cs="宋体"/>
                <w:color w:val="000000"/>
                <w:kern w:val="2"/>
                <w:sz w:val="18"/>
                <w:szCs w:val="18"/>
                <w:lang w:val="en-US" w:eastAsia="zh-CN"/>
              </w:rPr>
              <w:t>人大常委会领导</w:t>
            </w:r>
            <w:r>
              <w:rPr>
                <w:rFonts w:hint="eastAsia" w:ascii="宋体" w:hAnsi="宋体" w:eastAsia="宋体" w:cs="宋体"/>
                <w:color w:val="000000"/>
                <w:kern w:val="2"/>
                <w:sz w:val="18"/>
                <w:szCs w:val="18"/>
                <w:lang w:val="en-US" w:eastAsia="zh-CN"/>
              </w:rPr>
              <w:t>来蒸湘区考察工作期间的公务接待工作。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8.承办区人大常委会及其主任(党组)会议</w:t>
            </w:r>
            <w:r>
              <w:rPr>
                <w:rFonts w:hint="eastAsia" w:ascii="宋体" w:hAnsi="宋体" w:cs="宋体"/>
                <w:color w:val="000000"/>
                <w:kern w:val="2"/>
                <w:sz w:val="18"/>
                <w:szCs w:val="18"/>
                <w:lang w:val="en-US" w:eastAsia="zh-CN"/>
              </w:rPr>
              <w:t>、主任会议</w:t>
            </w:r>
            <w:r>
              <w:rPr>
                <w:rFonts w:hint="eastAsia" w:ascii="宋体" w:hAnsi="宋体" w:eastAsia="宋体" w:cs="宋体"/>
                <w:color w:val="000000"/>
                <w:kern w:val="2"/>
                <w:sz w:val="18"/>
                <w:szCs w:val="18"/>
                <w:lang w:val="en-US" w:eastAsia="zh-CN"/>
              </w:rPr>
              <w:t>交办的其他事项。</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9.办理区人民代表大会选举、罢免和常务委员会人事任免的具体工作。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10.归口办理联系全国人民代表大会代表、省人民代表大会代表、市人民代表大会代表和区人民代表大会代表的具体工作。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11.办理和督促办理区人民代表大会代表提出的建议、批评和意见，以及代表的来信来访。</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12.办理区人民代表大会代表资格审查的具体工作。</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val="en-US" w:eastAsia="zh-CN"/>
              </w:rPr>
            </w:pPr>
            <w:r>
              <w:rPr>
                <w:rFonts w:hint="eastAsia" w:ascii="宋体" w:hAnsi="宋体" w:eastAsia="宋体" w:cs="宋体"/>
                <w:color w:val="000000"/>
                <w:kern w:val="2"/>
                <w:sz w:val="18"/>
                <w:szCs w:val="18"/>
                <w:lang w:val="en-US" w:eastAsia="zh-CN"/>
              </w:rPr>
              <w:t>13.办理市人民代表大会代表的罢免、补选、辞职和区人民代表大会代表的补选、另行选举，以及常务委员会和各专门委员会组成人员辞职的具体工作。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921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1</w:t>
            </w:r>
            <w:r>
              <w:rPr>
                <w:rFonts w:hint="eastAsia" w:ascii="宋体" w:hAnsi="宋体" w:cs="宋体"/>
                <w:color w:val="000000"/>
                <w:kern w:val="2"/>
                <w:sz w:val="18"/>
                <w:szCs w:val="18"/>
                <w:lang w:eastAsia="zh-CN"/>
              </w:rPr>
              <w:t>、</w:t>
            </w:r>
            <w:r>
              <w:rPr>
                <w:rFonts w:hint="eastAsia" w:ascii="宋体" w:hAnsi="宋体" w:eastAsia="宋体" w:cs="宋体"/>
                <w:color w:val="000000"/>
                <w:kern w:val="2"/>
                <w:sz w:val="18"/>
                <w:szCs w:val="18"/>
              </w:rPr>
              <w:t>保障单位正常运行和人员开支。</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lang w:eastAsia="zh-CN"/>
              </w:rPr>
            </w:pPr>
            <w:r>
              <w:rPr>
                <w:rFonts w:hint="eastAsia" w:ascii="宋体" w:hAnsi="宋体" w:eastAsia="宋体" w:cs="宋体"/>
                <w:color w:val="000000"/>
                <w:kern w:val="2"/>
                <w:sz w:val="18"/>
                <w:szCs w:val="18"/>
              </w:rPr>
              <w:t>2</w:t>
            </w:r>
            <w:r>
              <w:rPr>
                <w:rFonts w:hint="eastAsia" w:ascii="宋体" w:hAnsi="宋体" w:cs="宋体"/>
                <w:color w:val="000000"/>
                <w:kern w:val="2"/>
                <w:sz w:val="18"/>
                <w:szCs w:val="18"/>
                <w:lang w:eastAsia="zh-CN"/>
              </w:rPr>
              <w:t>、</w:t>
            </w:r>
            <w:r>
              <w:rPr>
                <w:rFonts w:hint="eastAsia" w:ascii="宋体" w:hAnsi="宋体" w:eastAsia="宋体" w:cs="宋体"/>
                <w:color w:val="000000"/>
                <w:kern w:val="2"/>
                <w:sz w:val="18"/>
                <w:szCs w:val="18"/>
              </w:rPr>
              <w:t>严格遵守财务规定，确保各项工作正常开展</w:t>
            </w:r>
            <w:r>
              <w:rPr>
                <w:rFonts w:hint="eastAsia" w:ascii="宋体" w:hAnsi="宋体" w:cs="宋体"/>
                <w:color w:val="000000"/>
                <w:kern w:val="2"/>
                <w:sz w:val="18"/>
                <w:szCs w:val="18"/>
                <w:lang w:eastAsia="zh-CN"/>
              </w:rPr>
              <w:t>。</w:t>
            </w:r>
          </w:p>
          <w:p>
            <w:pPr>
              <w:keepNext w:val="0"/>
              <w:keepLines w:val="0"/>
              <w:pageBreakBefore w:val="0"/>
              <w:numPr>
                <w:ilvl w:val="0"/>
                <w:numId w:val="0"/>
              </w:numPr>
              <w:kinsoku/>
              <w:wordWrap/>
              <w:overflowPunct/>
              <w:topLinePunct w:val="0"/>
              <w:autoSpaceDE/>
              <w:autoSpaceDN/>
              <w:bidi w:val="0"/>
              <w:adjustRightInd/>
              <w:snapToGrid/>
              <w:spacing w:line="300" w:lineRule="exact"/>
              <w:ind w:leftChars="0"/>
              <w:jc w:val="both"/>
              <w:rPr>
                <w:rFonts w:hint="eastAsia" w:ascii="宋体" w:hAnsi="宋体" w:eastAsia="宋体" w:cs="宋体"/>
                <w:color w:val="000000"/>
                <w:kern w:val="2"/>
                <w:sz w:val="18"/>
                <w:szCs w:val="18"/>
              </w:rPr>
            </w:pPr>
            <w:r>
              <w:rPr>
                <w:rFonts w:hint="eastAsia" w:ascii="宋体" w:hAnsi="宋体" w:eastAsia="宋体" w:cs="宋体"/>
                <w:color w:val="000000"/>
                <w:kern w:val="2"/>
                <w:sz w:val="18"/>
                <w:szCs w:val="18"/>
              </w:rPr>
              <w:t>3</w:t>
            </w:r>
            <w:r>
              <w:rPr>
                <w:rFonts w:hint="eastAsia" w:ascii="宋体" w:hAnsi="宋体" w:cs="宋体"/>
                <w:color w:val="000000"/>
                <w:kern w:val="2"/>
                <w:sz w:val="18"/>
                <w:szCs w:val="18"/>
                <w:lang w:eastAsia="zh-CN"/>
              </w:rPr>
              <w:t>、</w:t>
            </w:r>
            <w:r>
              <w:rPr>
                <w:rFonts w:hint="eastAsia" w:ascii="宋体" w:hAnsi="宋体" w:eastAsia="宋体" w:cs="宋体"/>
                <w:color w:val="000000"/>
                <w:kern w:val="2"/>
                <w:sz w:val="18"/>
                <w:szCs w:val="18"/>
              </w:rPr>
              <w:t>加强监督检查，发挥最佳经济效益。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Style w:val="6"/>
                <w:lang w:val="en-US" w:eastAsia="zh-CN" w:bidi="ar"/>
              </w:rPr>
              <w:t>一级指标</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i w:val="0"/>
                <w:iCs w:val="0"/>
                <w:color w:val="000000"/>
                <w:sz w:val="20"/>
                <w:szCs w:val="20"/>
                <w:u w:val="none"/>
              </w:rPr>
            </w:pPr>
            <w:r>
              <w:rPr>
                <w:rStyle w:val="6"/>
                <w:lang w:val="en-US" w:eastAsia="zh-CN" w:bidi="ar"/>
              </w:rPr>
              <w:t>二级指标</w:t>
            </w:r>
          </w:p>
        </w:tc>
        <w:tc>
          <w:tcPr>
            <w:tcW w:w="2112"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产出指标</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数量</w:t>
            </w:r>
            <w:r>
              <w:rPr>
                <w:rFonts w:hint="eastAsia" w:ascii="宋体" w:hAnsi="宋体" w:eastAsia="宋体" w:cs="宋体"/>
                <w:i w:val="0"/>
                <w:iCs w:val="0"/>
                <w:color w:val="000000"/>
                <w:kern w:val="0"/>
                <w:sz w:val="20"/>
                <w:szCs w:val="20"/>
                <w:u w:val="none"/>
                <w:lang w:val="en-US" w:eastAsia="zh-CN" w:bidi="ar"/>
              </w:rPr>
              <w:t>指标</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资金分配规范性、使用合理性</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规范合理使用资金</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规范合理使用资金</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467" w:type="dxa"/>
            <w:gridSpan w:val="2"/>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质量</w:t>
            </w:r>
            <w:r>
              <w:rPr>
                <w:rFonts w:hint="eastAsia" w:ascii="宋体" w:hAnsi="宋体" w:eastAsia="宋体" w:cs="宋体"/>
                <w:i w:val="0"/>
                <w:iCs w:val="0"/>
                <w:color w:val="000000"/>
                <w:kern w:val="0"/>
                <w:sz w:val="20"/>
                <w:szCs w:val="20"/>
                <w:u w:val="none"/>
                <w:lang w:val="en-US" w:eastAsia="zh-CN" w:bidi="ar"/>
              </w:rPr>
              <w:t>指标</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按质按量完成</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986.24</w:t>
            </w:r>
            <w:r>
              <w:rPr>
                <w:rFonts w:hint="eastAsia" w:ascii="宋体" w:hAnsi="宋体" w:eastAsia="宋体" w:cs="宋体"/>
                <w:i w:val="0"/>
                <w:iCs w:val="0"/>
                <w:color w:val="000000"/>
                <w:kern w:val="0"/>
                <w:sz w:val="20"/>
                <w:szCs w:val="20"/>
                <w:u w:val="none"/>
                <w:lang w:val="en-US" w:eastAsia="zh-CN" w:bidi="ar"/>
              </w:rPr>
              <w:t>万</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986.24</w:t>
            </w:r>
            <w:r>
              <w:rPr>
                <w:rFonts w:hint="eastAsia" w:ascii="宋体" w:hAnsi="宋体" w:eastAsia="宋体" w:cs="宋体"/>
                <w:i w:val="0"/>
                <w:iCs w:val="0"/>
                <w:color w:val="000000"/>
                <w:kern w:val="0"/>
                <w:sz w:val="20"/>
                <w:szCs w:val="20"/>
                <w:u w:val="none"/>
                <w:lang w:val="en-US" w:eastAsia="zh-CN" w:bidi="ar"/>
              </w:rPr>
              <w:t>万</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工作完成及时率</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r>
              <w:rPr>
                <w:rFonts w:hint="eastAsia" w:ascii="宋体" w:hAnsi="宋体" w:cs="宋体"/>
                <w:i w:val="0"/>
                <w:iCs w:val="0"/>
                <w:color w:val="000000"/>
                <w:kern w:val="0"/>
                <w:sz w:val="20"/>
                <w:szCs w:val="20"/>
                <w:u w:val="none"/>
                <w:lang w:val="en-US" w:eastAsia="zh-CN" w:bidi="ar"/>
              </w:rPr>
              <w:t>%</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r>
              <w:rPr>
                <w:rFonts w:hint="eastAsia" w:ascii="宋体" w:hAnsi="宋体" w:cs="宋体"/>
                <w:i w:val="0"/>
                <w:iCs w:val="0"/>
                <w:color w:val="000000"/>
                <w:kern w:val="0"/>
                <w:sz w:val="20"/>
                <w:szCs w:val="20"/>
                <w:u w:val="none"/>
                <w:lang w:val="en-US" w:eastAsia="zh-CN" w:bidi="ar"/>
              </w:rPr>
              <w:t>%</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保障人大常委会机关工作及代表活动正常开展</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防范财政资金风险</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促进社会和谐发展</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w:t>
            </w:r>
            <w:r>
              <w:rPr>
                <w:rFonts w:hint="eastAsia" w:ascii="宋体" w:hAnsi="宋体" w:cs="宋体"/>
                <w:i w:val="0"/>
                <w:iCs w:val="0"/>
                <w:color w:val="000000"/>
                <w:kern w:val="0"/>
                <w:sz w:val="20"/>
                <w:szCs w:val="20"/>
                <w:u w:val="none"/>
                <w:lang w:val="en-US" w:eastAsia="zh-CN" w:bidi="ar"/>
              </w:rPr>
              <w:t>社会和谐发展</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w:t>
            </w:r>
            <w:r>
              <w:rPr>
                <w:rFonts w:hint="eastAsia" w:ascii="宋体" w:hAnsi="宋体" w:cs="宋体"/>
                <w:i w:val="0"/>
                <w:iCs w:val="0"/>
                <w:color w:val="000000"/>
                <w:kern w:val="0"/>
                <w:sz w:val="20"/>
                <w:szCs w:val="20"/>
                <w:u w:val="none"/>
                <w:lang w:val="en-US" w:eastAsia="zh-CN" w:bidi="ar"/>
              </w:rPr>
              <w:t>社会和谐发展</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促进环境保护</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促进环境保护</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促进环境保护</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20"/>
                <w:szCs w:val="20"/>
                <w:u w:val="none"/>
              </w:rPr>
            </w:pP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2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社会公众满意度</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r>
              <w:rPr>
                <w:rFonts w:hint="eastAsia" w:ascii="宋体" w:hAnsi="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0"/>
                <w:szCs w:val="20"/>
                <w:u w:val="none"/>
                <w:lang w:val="en-US" w:eastAsia="zh-CN" w:bidi="ar"/>
              </w:rPr>
              <w:t>%</w:t>
            </w:r>
          </w:p>
        </w:tc>
        <w:tc>
          <w:tcPr>
            <w:tcW w:w="18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r>
              <w:rPr>
                <w:rFonts w:hint="eastAsia" w:ascii="宋体" w:hAnsi="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0"/>
                <w:szCs w:val="20"/>
                <w:u w:val="none"/>
                <w:lang w:val="en-US" w:eastAsia="zh-CN" w:bidi="ar"/>
              </w:rPr>
              <w:t>%</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zE2N2NhMWM4ODI0YjE2MTJhMjliMTI3MjI0YTMifQ=="/>
  </w:docVars>
  <w:rsids>
    <w:rsidRoot w:val="7D666904"/>
    <w:rsid w:val="0D3E52A0"/>
    <w:rsid w:val="0DDD0AFB"/>
    <w:rsid w:val="10A456BF"/>
    <w:rsid w:val="16AE21E2"/>
    <w:rsid w:val="1FFE1506"/>
    <w:rsid w:val="235144CB"/>
    <w:rsid w:val="4BEC03A5"/>
    <w:rsid w:val="57CB582C"/>
    <w:rsid w:val="61193193"/>
    <w:rsid w:val="637A7B03"/>
    <w:rsid w:val="73FE7D18"/>
    <w:rsid w:val="7D666904"/>
    <w:rsid w:val="7D9B6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5">
    <w:name w:val="font61"/>
    <w:basedOn w:val="4"/>
    <w:autoRedefine/>
    <w:qFormat/>
    <w:uiPriority w:val="0"/>
    <w:rPr>
      <w:rFonts w:hint="default" w:ascii="Times New Roman" w:hAnsi="Times New Roman" w:cs="Times New Roman"/>
      <w:color w:val="000000"/>
      <w:sz w:val="18"/>
      <w:szCs w:val="18"/>
      <w:u w:val="none"/>
    </w:rPr>
  </w:style>
  <w:style w:type="character" w:customStyle="1" w:styleId="6">
    <w:name w:val="font31"/>
    <w:basedOn w:val="4"/>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邓婷</cp:lastModifiedBy>
  <dcterms:modified xsi:type="dcterms:W3CDTF">2024-04-28T08:09:39Z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F3325C0C378942AE82BECDFA1FA29410_11</vt:lpwstr>
  </property>
</Properties>
</file>