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306.59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306.59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282.59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负责全区招商引资、促消费、外贸、外资等相关工作。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抓住重大商会活动举办的大好机遇，搞好节会招商，不断加大招商引资工作力度。</w:t>
            </w:r>
          </w:p>
          <w:p>
            <w:pPr>
              <w:jc w:val="left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2、持续做好促消费。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3、推动内联引资，加大外贸企业帮扶力度，鼓励跨境电商企业出海抢单拓市。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数量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内联引资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63.56亿元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质量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外贸增速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17%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时效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</w:rPr>
              <w:t>招商引资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成本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</w:rPr>
              <w:t>招商引资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经济</w:t>
            </w: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</w:rPr>
              <w:t>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益指标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无资金风险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社会效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益指标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促进企业投资落地，带动商贸企业健康发展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开展招商活动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4场以上，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促消费活动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2场以上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生态效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益指标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防范生态破坏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无生态环保风险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可持续影响指标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可持续</w:t>
            </w: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可持续</w:t>
            </w: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服务对象满意度指标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商贸企业</w:t>
            </w:r>
            <w:bookmarkStart w:id="0" w:name="_GoBack"/>
            <w:bookmarkEnd w:id="0"/>
            <w:r>
              <w:rPr>
                <w:rFonts w:hint="eastAsia" w:eastAsia="仿宋"/>
                <w:b w:val="0"/>
                <w:bCs w:val="0"/>
                <w:kern w:val="0"/>
                <w:szCs w:val="21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企业满意度超过90%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YWIxZmQ4NDRjZGU4MThkNzRiYmQ3ODYzN2ExN2YifQ=="/>
  </w:docVars>
  <w:rsids>
    <w:rsidRoot w:val="7D666904"/>
    <w:rsid w:val="37F0319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孙权SQ</cp:lastModifiedBy>
  <dcterms:modified xsi:type="dcterms:W3CDTF">2023-12-18T11:42:41Z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E92FB4014050430888C89349A5BB648F_13</vt:lpwstr>
  </property>
</Properties>
</file>