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  <w:r>
              <w:rPr>
                <w:rStyle w:val="5"/>
                <w:rFonts w:hint="eastAsia" w:eastAsia="仿宋_GB2312"/>
                <w:sz w:val="24"/>
                <w:szCs w:val="24"/>
                <w:lang w:val="en-US" w:eastAsia="zh-CN" w:bidi="ar"/>
              </w:rPr>
              <w:t>：衡阳市蒸湘区卫生计生综合监督执法局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eastAsia="仿宋_GB2312"/>
                <w:sz w:val="24"/>
                <w:szCs w:val="24"/>
                <w:lang w:val="en-US" w:eastAsia="zh-CN" w:bidi="ar"/>
              </w:rPr>
              <w:t>衡阳市蒸湘区卫生计生综</w:t>
            </w:r>
            <w:bookmarkStart w:id="0" w:name="_GoBack"/>
            <w:bookmarkEnd w:id="0"/>
            <w:r>
              <w:rPr>
                <w:rStyle w:val="5"/>
                <w:rFonts w:hint="eastAsia" w:eastAsia="仿宋_GB2312"/>
                <w:sz w:val="24"/>
                <w:szCs w:val="24"/>
                <w:lang w:val="en-US" w:eastAsia="zh-CN" w:bidi="ar"/>
              </w:rPr>
              <w:t>合监督执法局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47.42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47.42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47.42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</w:pPr>
            <w:r>
              <w:rPr>
                <w:sz w:val="22"/>
                <w:szCs w:val="22"/>
              </w:rPr>
              <w:t>承担区内的日常卫生和计生监督职责</w:t>
            </w:r>
            <w:r>
              <w:rPr>
                <w:rFonts w:hint="eastAsia"/>
                <w:sz w:val="22"/>
                <w:szCs w:val="22"/>
                <w:lang w:eastAsia="zh-CN"/>
              </w:rPr>
              <w:t>、</w:t>
            </w:r>
            <w:r>
              <w:rPr>
                <w:sz w:val="22"/>
                <w:szCs w:val="22"/>
              </w:rPr>
              <w:t>开展经常性的卫生监督检查</w:t>
            </w:r>
            <w:r>
              <w:rPr>
                <w:rFonts w:hint="eastAsia"/>
                <w:sz w:val="22"/>
                <w:szCs w:val="22"/>
                <w:lang w:eastAsia="zh-CN"/>
              </w:rPr>
              <w:t>、</w:t>
            </w:r>
            <w:r>
              <w:rPr>
                <w:sz w:val="22"/>
                <w:szCs w:val="22"/>
              </w:rPr>
              <w:t>受理违法行为的投诉举报、查处卫生违法案件。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</w:rPr>
              <w:t>完成省市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</w:rPr>
              <w:t>业务主管部门以及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</w:rPr>
              <w:t>委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</w:rPr>
              <w:t>政府下达的各工作任务和工作指标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卫生监督检查工作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各项工作具体指标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各项工作任完成预期目标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完成率达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90%以上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&gt;90%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不超过预期总成本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总预算数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≤总预算数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完成时间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300"/>
              <w:jc w:val="both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完成时间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≤1年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防范财政风险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加强财政资金使用管理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保进改善民生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保进改善民生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&gt;95%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促进环境保护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生态环境普及全民参与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营造良好的保护环境氛围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意度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&gt;95%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原版宋体" w:hAnsi="原版宋体" w:cs="Times New Roman"/>
                <w:color w:val="000000"/>
                <w:sz w:val="20"/>
                <w:szCs w:val="20"/>
                <w:lang w:val="en-US" w:eastAsia="zh-CN"/>
              </w:rPr>
              <w:t>&gt;95%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原版宋体">
    <w:altName w:val="宋体"/>
    <w:panose1 w:val="02010600030101010101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NzUxYjVhYzMwODQ3ZGNkNDhlZTNhY2UyNDViYzEifQ=="/>
  </w:docVars>
  <w:rsids>
    <w:rsidRoot w:val="7D666904"/>
    <w:rsid w:val="1B4C2CD0"/>
    <w:rsid w:val="1D8B05A9"/>
    <w:rsid w:val="26467763"/>
    <w:rsid w:val="2A1619CB"/>
    <w:rsid w:val="3004528B"/>
    <w:rsid w:val="40704517"/>
    <w:rsid w:val="5B817179"/>
    <w:rsid w:val="6E4D5707"/>
    <w:rsid w:val="6F5C2F96"/>
    <w:rsid w:val="79B27B9B"/>
    <w:rsid w:val="7BB57B47"/>
    <w:rsid w:val="7D666904"/>
    <w:rsid w:val="7EE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cp:lastPrinted>2023-11-23T00:26:41Z</cp:lastPrinted>
  <dcterms:modified xsi:type="dcterms:W3CDTF">2023-11-23T00:28:45Z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F3325C0C378942AE82BECDFA1FA29410_11</vt:lpwstr>
  </property>
</Properties>
</file>