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15" w:tblpY="1428"/>
        <w:tblOverlap w:val="never"/>
        <w:tblW w:w="99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蒸湘区部门整体支出绩效目标表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填报单位（盖章</w:t>
            </w:r>
            <w:r>
              <w:rPr>
                <w:rStyle w:val="7"/>
                <w:rFonts w:eastAsia="仿宋_GB2312"/>
                <w:sz w:val="24"/>
                <w:szCs w:val="24"/>
                <w:lang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蒸湘区产业发展事务中心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按支出性质分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1、贯彻执行</w:t>
            </w:r>
            <w:r>
              <w:rPr>
                <w:rFonts w:hint="eastAsia"/>
                <w:color w:val="333333"/>
                <w:sz w:val="18"/>
                <w:szCs w:val="18"/>
                <w:lang w:eastAsia="zh-CN"/>
              </w:rPr>
              <w:t>国家、省、市</w:t>
            </w:r>
            <w:r>
              <w:rPr>
                <w:rFonts w:hint="eastAsia"/>
                <w:color w:val="333333"/>
                <w:sz w:val="18"/>
                <w:szCs w:val="18"/>
              </w:rPr>
              <w:t>有关产业发展和创新创业的法律法规和方针政策，执行上级党委、政府的决策、决议和规定。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2、牵头编制钢管深加工产业园区、呆鹰岭工业聚集区、高新技术包装产业园和区委、区政府决定的其他发展区域内的产业发展总体规划和开发建设规划，牵头研拟产业发展区域内准入负面清单、指导目录、准入标准和管理办法，经区政府批准报市相关职能部</w:t>
            </w:r>
            <w:bookmarkStart w:id="0" w:name="_GoBack"/>
            <w:bookmarkEnd w:id="0"/>
            <w:r>
              <w:rPr>
                <w:rFonts w:hint="eastAsia"/>
                <w:color w:val="333333"/>
                <w:sz w:val="18"/>
                <w:szCs w:val="18"/>
              </w:rPr>
              <w:t>门核准后组织实施。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3、承担产业发展区域内的产业经济发展、招商引资和建设管理的事务性工作。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4、配合产业发展区域内集体土地征收征用事务性工作。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5、负责做好产业发展区域内的对外宣传、企业指导、协调和各项服务工作协助、督促产业发展区域内企业的各项统计数据的收集、上报。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6、牵头组织产业发展区域内基础设施建设和维护事务性工作；牵头组织区域内重要基础设施、重点公共服务平台等配套建设和规模大、带动作用强的重大项目实施指导协调区域内上述设施、项目的建设实施。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7、开展对产业发展区域内企业安全生产和节能环保的指导、服务，协调、协助相关执法部门实施行政执法，督促企业有序健康运转。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8、协调落实产业发展区域内优化营商环境和企业赋码保护，加快中小微企业、孵化基地、双创基地建设，加强对中小微企业的服务。</w:t>
            </w:r>
            <w:r>
              <w:rPr>
                <w:rFonts w:hint="eastAsia" w:ascii="等线" w:hAnsi="等线" w:eastAsia="等线"/>
                <w:color w:val="333333"/>
                <w:sz w:val="18"/>
                <w:szCs w:val="18"/>
              </w:rPr>
              <w:t> </w:t>
            </w:r>
          </w:p>
          <w:p>
            <w:pPr>
              <w:pStyle w:val="4"/>
              <w:spacing w:before="0" w:beforeAutospacing="0" w:after="0" w:afterAutospacing="0" w:line="260" w:lineRule="atLeast"/>
              <w:ind w:firstLine="360" w:firstLineChars="200"/>
              <w:rPr>
                <w:rFonts w:ascii="微软雅黑" w:hAnsi="微软雅黑" w:eastAsia="微软雅黑"/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9、承办区委、区政府交办的其它事项。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保障单位正常运转和人员开支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督促企业有序健康运转，发挥最佳经济效益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8"/>
                <w:rFonts w:hint="default"/>
                <w:lang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8"/>
                <w:rFonts w:hint="default"/>
                <w:lang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完成链办各项工作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完成链办各项工作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综合管理水平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综合管理水平明显提高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明显提高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年度任务所需经费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年度任务所需经费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工作完成及时率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工作完成率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组织企业开展各项工作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组织企业开展各项工作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可持续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优化企业营商环境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优化企业营商环境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rFonts w:hint="eastAsi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27B8A"/>
    <w:multiLevelType w:val="multilevel"/>
    <w:tmpl w:val="5D827B8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zE2N2NhMWM4ODI0YjE2MTJhMjliMTI3MjI0YTMifQ=="/>
  </w:docVars>
  <w:rsids>
    <w:rsidRoot w:val="7D666904"/>
    <w:rsid w:val="001D3CD2"/>
    <w:rsid w:val="005671C5"/>
    <w:rsid w:val="0075220E"/>
    <w:rsid w:val="009023C6"/>
    <w:rsid w:val="00AE7CD0"/>
    <w:rsid w:val="00B47825"/>
    <w:rsid w:val="00C4745B"/>
    <w:rsid w:val="00CA4542"/>
    <w:rsid w:val="00E20B6D"/>
    <w:rsid w:val="00E648E2"/>
    <w:rsid w:val="00F1724D"/>
    <w:rsid w:val="707C5FCA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61"/>
    <w:basedOn w:val="6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页眉 字符"/>
    <w:basedOn w:val="6"/>
    <w:link w:val="3"/>
    <w:uiPriority w:val="0"/>
    <w:rPr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927</Characters>
  <Lines>7</Lines>
  <Paragraphs>2</Paragraphs>
  <TotalTime>125</TotalTime>
  <ScaleCrop>false</ScaleCrop>
  <LinksUpToDate>false</LinksUpToDate>
  <CharactersWithSpaces>1087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邓婷</cp:lastModifiedBy>
  <dcterms:modified xsi:type="dcterms:W3CDTF">2024-04-28T08:06:35Z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F3325C0C378942AE82BECDFA1FA29410_11</vt:lpwstr>
  </property>
</Properties>
</file>