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36"/>
          <w:szCs w:val="36"/>
          <w:shd w:val="clear" w:fill="FFFFFF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36"/>
          <w:szCs w:val="36"/>
          <w:shd w:val="clear" w:fill="FFFFFF"/>
          <w:lang w:eastAsia="zh-CN"/>
        </w:rPr>
        <w:t>目录</w:t>
      </w:r>
    </w:p>
    <w:p>
      <w:pPr>
        <w:numPr>
          <w:ilvl w:val="0"/>
          <w:numId w:val="1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</w:rPr>
        <w:t>关</w:t>
      </w: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</w:rPr>
        <w:t>于全区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</w:rPr>
        <w:t>2021年财政决算（草案）的报告</w:t>
      </w:r>
    </w:p>
    <w:p>
      <w:pPr>
        <w:numPr>
          <w:numId w:val="0"/>
        </w:numPr>
        <w:ind w:firstLine="290" w:firstLineChars="100"/>
        <w:jc w:val="left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1、一般公共预算收支决算情况</w:t>
      </w:r>
    </w:p>
    <w:p>
      <w:pPr>
        <w:numPr>
          <w:numId w:val="0"/>
        </w:numPr>
        <w:ind w:firstLine="290" w:firstLineChars="100"/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2、政府性基金预算执行情况</w:t>
      </w:r>
    </w:p>
    <w:p>
      <w:pPr>
        <w:numPr>
          <w:numId w:val="0"/>
        </w:numPr>
        <w:ind w:firstLine="290" w:firstLineChars="100"/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3、国有资本经营预算执行情况</w:t>
      </w:r>
    </w:p>
    <w:p>
      <w:pPr>
        <w:numPr>
          <w:numId w:val="0"/>
        </w:numPr>
        <w:ind w:firstLine="290" w:firstLineChars="100"/>
        <w:jc w:val="both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4、社保基金预算执行情况</w:t>
      </w:r>
    </w:p>
    <w:p>
      <w:pPr>
        <w:numPr>
          <w:numId w:val="0"/>
        </w:numPr>
        <w:ind w:firstLine="290" w:firstLineChars="100"/>
        <w:jc w:val="both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5、2021年财政债券资金情况</w:t>
      </w:r>
    </w:p>
    <w:p>
      <w:pPr>
        <w:numPr>
          <w:numId w:val="0"/>
        </w:numPr>
        <w:ind w:firstLine="290" w:firstLineChars="100"/>
        <w:jc w:val="both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6、2021年全区财政预算执行效果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二、转移支付执行情况说明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三、举借政府债务情况说明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四、预算绩效工作开展情况说明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五、公开重大政策和重点项目绩效执行结果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六、一般公共预算决算情况</w:t>
      </w:r>
    </w:p>
    <w:p>
      <w:pPr>
        <w:numPr>
          <w:numId w:val="0"/>
        </w:numPr>
        <w:ind w:firstLine="290" w:firstLineChars="100"/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1、一般公共预算收入表</w:t>
      </w:r>
    </w:p>
    <w:p>
      <w:pPr>
        <w:numPr>
          <w:numId w:val="0"/>
        </w:numPr>
        <w:ind w:firstLine="290" w:firstLineChars="100"/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2、一般公共预算支出表</w:t>
      </w:r>
    </w:p>
    <w:p>
      <w:pPr>
        <w:numPr>
          <w:numId w:val="0"/>
        </w:numPr>
        <w:ind w:firstLine="290" w:firstLineChars="100"/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3、一般公共预算本级支出表</w:t>
      </w:r>
    </w:p>
    <w:p>
      <w:pPr>
        <w:numPr>
          <w:numId w:val="0"/>
        </w:numPr>
        <w:ind w:firstLine="290" w:firstLineChars="100"/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4、一般公共预算本级基本支出表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七、政府性基金预算决算情况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1、政府性基金收入表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2、政府性基金支出表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3、本级政府性基金支出表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4、政府性基金转移支付表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 5、政府专项债务限额和余额情况表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八、国有资本经营预算决算情况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1、国有资本经营预算收入表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2、国有资本经营预算支出表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3、本级国有资本经营预算支出表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4、对下安排转移支付的应当公开国有资本经营预算转移支付表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九、社会保险基金预算决算情况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1、社会保险基金收入表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2、社会保险基金支出表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十、地方政府债务情况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1、2021年末本地区、本级及所属地区地方政府债务限额、余额决算数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2、2021年末本地区、本级及所属地区地方政府债券发行、还本付息决算数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 xml:space="preserve">  3、2021年末本地区、本级及所属地区债券资金使用安排</w:t>
      </w:r>
    </w:p>
    <w:p>
      <w:pPr>
        <w:numPr>
          <w:numId w:val="0"/>
        </w:numPr>
        <w:jc w:val="both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十一、2021年度蒸湘区三公经费决算执行情况说明公开表</w:t>
      </w:r>
    </w:p>
    <w:p>
      <w:pPr>
        <w:numPr>
          <w:numId w:val="0"/>
        </w:numPr>
        <w:jc w:val="both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D7F990"/>
    <w:multiLevelType w:val="singleLevel"/>
    <w:tmpl w:val="31D7F9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zMDNjODFiNTFjMTczOTU2MDM2OGRjM2RkZmQ5ODkifQ=="/>
  </w:docVars>
  <w:rsids>
    <w:rsidRoot w:val="176011C0"/>
    <w:rsid w:val="1760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2023-10-07T08:18:00Z</dcterms:created>
  <dc:creator>Soul</dc:creator>
  <cp:lastModifiedBy>Soul</cp:lastModifiedBy>
  <dcterms:modified xsi:type="dcterms:W3CDTF">2023-10-08T08:25:14Z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753C244620504BE09591AFF3FFC73E65_11</vt:lpwstr>
  </property>
</Properties>
</file>