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公开重大政策和重点项目绩效执行结果</w:t>
      </w:r>
    </w:p>
    <w:p>
      <w:pPr>
        <w:jc w:val="center"/>
        <w:rPr>
          <w:rFonts w:ascii="宋体" w:hAnsi="宋体" w:eastAsia="宋体"/>
          <w:sz w:val="44"/>
          <w:szCs w:val="44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财政部《财政支出绩效评价管理暂行办法》及省厅相关文件精神，我区研究制定了预算绩效管理相关制度，并提请区政府出台了《蒸湘区预算绩效管理实施方案》、《蒸湘区财政专项资金监督检查暂行办法》、《蒸湘区财政性投资工程造价评审管理办法》。区直部门对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年度财政支出开展绩效自评工作。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zMDNjODFiNTFjMTczOTU2MDM2OGRjM2RkZmQ5ODkifQ=="/>
  </w:docVars>
  <w:rsids>
    <w:rsidRoot w:val="00000000"/>
    <w:rsid w:val="26FF0648"/>
    <w:rsid w:val="6039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2023-10-08T07:53:00Z</dcterms:created>
  <dc:creator>Administrator1</dc:creator>
  <cp:lastModifiedBy>小汪同学</cp:lastModifiedBy>
  <dcterms:modified xsi:type="dcterms:W3CDTF">2023-12-15T08:42:42Z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CAC47C3CB47143CBB55F4A8E42E7B22D_12</vt:lpwstr>
  </property>
</Properties>
</file>