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44"/>
          <w:szCs w:val="44"/>
        </w:rPr>
        <w:t>年转移支付执行情况说明</w:t>
      </w:r>
    </w:p>
    <w:p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p>
      <w:pPr>
        <w:ind w:firstLine="420" w:firstLineChars="150"/>
        <w:rPr>
          <w:rFonts w:hint="default" w:asciiTheme="minorEastAsia" w:hAnsiTheme="min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根据城区财政体制算账，并与市财政结算。202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</w:t>
      </w:r>
      <w:r>
        <w:rPr>
          <w:rFonts w:hint="eastAsia" w:asciiTheme="majorEastAsia" w:hAnsiTheme="majorEastAsia" w:eastAsiaTheme="majorEastAsia"/>
          <w:sz w:val="28"/>
          <w:szCs w:val="28"/>
        </w:rPr>
        <w:t>年全区一般公共预算收入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57129</w:t>
      </w:r>
      <w:r>
        <w:rPr>
          <w:rFonts w:hint="eastAsia" w:asciiTheme="majorEastAsia" w:hAnsiTheme="majorEastAsia" w:eastAsiaTheme="majorEastAsia"/>
          <w:sz w:val="28"/>
          <w:szCs w:val="28"/>
        </w:rPr>
        <w:t>万元，返还性收入4037万元，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一般性转移支付收入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55612万元</w:t>
      </w:r>
      <w:r>
        <w:rPr>
          <w:rFonts w:hint="eastAsia" w:asciiTheme="majorEastAsia" w:hAnsiTheme="majorEastAsia" w:eastAsiaTheme="majorEastAsia"/>
          <w:sz w:val="28"/>
          <w:szCs w:val="28"/>
        </w:rPr>
        <w:t>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专项转移支付收入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26665万元，上年结余24106万元，调入资金13638万元，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债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务转贷收入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4649万元。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zMDNjODFiNTFjMTczOTU2MDM2OGRjM2RkZmQ5ODkifQ=="/>
  </w:docVars>
  <w:rsids>
    <w:rsidRoot w:val="001B31D2"/>
    <w:rsid w:val="001B31D2"/>
    <w:rsid w:val="005250AF"/>
    <w:rsid w:val="24B31286"/>
    <w:rsid w:val="3C20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109</Characters>
  <Lines>1</Lines>
  <Paragraphs>1</Paragraphs>
  <TotalTime>37</TotalTime>
  <ScaleCrop>false</ScaleCrop>
  <LinksUpToDate>false</LinksUpToDate>
  <CharactersWithSpaces>109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2021-11-17T00:43:00Z</dcterms:created>
  <dc:creator>Administrator1</dc:creator>
  <cp:lastModifiedBy>小汪同学</cp:lastModifiedBy>
  <dcterms:modified xsi:type="dcterms:W3CDTF">2023-12-15T08:26:13Z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D4EDA7A333FE450C861CCD9F314E0257</vt:lpwstr>
  </property>
</Properties>
</file>