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afterAutospacing="0"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蒸湘</w:t>
      </w:r>
      <w:r>
        <w:rPr>
          <w:rFonts w:hint="eastAsia" w:ascii="方正小标宋简体" w:hAnsi="Times New Roman" w:eastAsia="方正小标宋简体"/>
          <w:sz w:val="44"/>
          <w:szCs w:val="44"/>
        </w:rPr>
        <w:t>区2022</w:t>
      </w:r>
      <w:r>
        <w:rPr>
          <w:rFonts w:hint="eastAsia" w:ascii="方正小标宋简体" w:eastAsia="方正小标宋简体"/>
          <w:sz w:val="44"/>
          <w:szCs w:val="44"/>
        </w:rPr>
        <w:t>年税收返还和转移支付</w:t>
      </w:r>
    </w:p>
    <w:p>
      <w:pPr>
        <w:spacing w:after="0" w:afterAutospacing="0"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情况说明</w:t>
      </w:r>
    </w:p>
    <w:p>
      <w:pPr>
        <w:spacing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2022年，预计我区各项上级转移支付补助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72237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万元，其中税收返还性收入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4037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万元，均衡性转移收入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9000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万元，县级基本财力保障机制奖补资金收入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万元，公共安全共同财政事权转移支付收入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万元，教育共同财政事权转移支付收入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5425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文化旅游体育与传媒共同财权事权转移支付收入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230万元，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社会保障与就业共同财权事权转移支付收入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5521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万元，卫生健康共同财权事权转移支付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6702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城乡社区共同财权事权转移支付收入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6064万元，农林水共同财政事权转移支付收入3613万元，资源勘探工业信息等共同财政事权转移支付收入1532万元，自然资源海洋气象等共同财政事权转移支付收入13万元，灾害防治及应急管理共同财政事权转移支付收入51万元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其他一般转移支付收入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734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万元，专项转移支付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19200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spacing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用途分布如下：安排教育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31536.45万元，公共安全支出180.11万元，文化旅游体育与传媒支出360.21万元，社会保障和就业支出8649.71万元，卫生健康支出10499.85万元，城乡社区支出9500.15万元，农林水支出5660.22万元，资源勘探工业信息等支出2400.08万元，自然资源海洋气象等支出20.23万元，灾害防治及应急管理支出79.94万元，一般公共服务支出6489.51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120" w:lineRule="auto"/>
      </w:pPr>
      <w:r>
        <w:separator/>
      </w:r>
    </w:p>
  </w:footnote>
  <w:footnote w:type="continuationSeparator" w:id="1">
    <w:p>
      <w:pPr>
        <w:spacing w:before="0" w:after="0" w:line="12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YThhMmFjZGRlZjc2YTM3YTdlMzFhNDk2MGYyOGIifQ=="/>
  </w:docVars>
  <w:rsids>
    <w:rsidRoot w:val="00000000"/>
    <w:rsid w:val="1EA6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00" w:afterAutospacing="1" w:line="12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2023-10-08T07:50:22Z</dcterms:created>
  <dc:creator>Administrator</dc:creator>
  <cp:lastModifiedBy>:D</cp:lastModifiedBy>
  <dcterms:modified xsi:type="dcterms:W3CDTF">2023-10-08T08:30:39Z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8F309388AC1048DAB590397D42906D40_12</vt:lpwstr>
  </property>
</Properties>
</file>